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382905</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28,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-130810</wp:posOffset>
            </wp:positionV>
            <wp:extent cx="4030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1600200</wp:posOffset>
            </wp:positionH>
            <wp:positionV relativeFrom="paragraph">
              <wp:posOffset>-130810</wp:posOffset>
            </wp:positionV>
            <wp:extent cx="4064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195"/>
        </w:trPr>
        <w:tc>
          <w:tcPr>
            <w:tcW w:w="3100" w:type="dxa"/>
            <w:vAlign w:val="bottom"/>
            <w:tcBorders>
              <w:top w:val="single" w:sz="8" w:color="auto"/>
            </w:tcBorders>
          </w:tcPr>
          <w:p>
            <w:pPr>
              <w:jc w:val="center"/>
              <w:ind w:left="570"/>
              <w:spacing w:after="0" w:line="195"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63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702"/>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19"/>
                <w:szCs w:val="19"/>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May 28, 2009, Itron, Inc. (the Company) entered into an Underwriting Agreement (the Underwriting Agreement) with Canaccord Adams Inc., Canaccord Capital Corporation, and Stephens Inc. (the Underwriters). The Underwriting Agreement provides for the sale of an aggregate of 2,750,000 shares of the Company's common stock at a public offering price of $53.00 per share, including an over-allotment option of 412,500 shares. The transaction contemplated by the Underwriting Agreement is expected to close on or about June 3, 2009. The common stock is being offered and sold pursuant to the Company's shelf registration statement on Form S-3 (File No. 333-158417) (the Registration Statement), as supplemented by a prospectus supplement dated May 28,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Exhibit 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Underwriting Agreement among Canaccord Adams Inc., Canaccord Capital Corporation, Stephens Inc., and Itron, Inc.</w:t>
            </w:r>
          </w:p>
        </w:tc>
      </w:tr>
      <w:tr>
        <w:trPr>
          <w:trHeight w:val="459"/>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Information relating to Item 14 – Other Expenses of Issuance and Distribution of the Registration Statement</w:t>
            </w:r>
          </w:p>
        </w:tc>
      </w:tr>
      <w:tr>
        <w:trPr>
          <w:trHeight w:val="1388"/>
        </w:trPr>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960"/>
              <w:spacing w:after="0"/>
              <w:rPr>
                <w:sz w:val="20"/>
                <w:szCs w:val="20"/>
                <w:color w:val="auto"/>
              </w:rPr>
            </w:pPr>
            <w:r>
              <w:rPr>
                <w:rFonts w:ascii="Arial" w:cs="Arial" w:eastAsia="Arial" w:hAnsi="Arial"/>
                <w:sz w:val="18"/>
                <w:szCs w:val="18"/>
                <w:color w:val="auto"/>
              </w:rPr>
              <w:t>ITRON, INC.</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19"/>
        </w:trPr>
        <w:tc>
          <w:tcPr>
            <w:tcW w:w="4340" w:type="dxa"/>
            <w:vAlign w:val="bottom"/>
          </w:tcPr>
          <w:p>
            <w:pPr>
              <w:spacing w:after="0"/>
              <w:rPr>
                <w:sz w:val="20"/>
                <w:szCs w:val="20"/>
                <w:color w:val="auto"/>
              </w:rPr>
            </w:pPr>
            <w:r>
              <w:rPr>
                <w:rFonts w:ascii="Arial" w:cs="Arial" w:eastAsia="Arial" w:hAnsi="Arial"/>
                <w:sz w:val="18"/>
                <w:szCs w:val="18"/>
                <w:color w:val="auto"/>
              </w:rPr>
              <w:t>Dated: May 28, 2009</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By:</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/s/ Steven M. Helmbrecht</w:t>
            </w:r>
          </w:p>
        </w:tc>
      </w:tr>
      <w:tr>
        <w:trPr>
          <w:trHeight w:val="222"/>
        </w:trPr>
        <w:tc>
          <w:tcPr>
            <w:tcW w:w="4340" w:type="dxa"/>
            <w:vAlign w:val="bottom"/>
          </w:tcPr>
          <w:p>
            <w:pPr>
              <w:ind w:left="900"/>
              <w:spacing w:after="0"/>
              <w:rPr>
                <w:sz w:val="20"/>
                <w:szCs w:val="20"/>
                <w:color w:val="auto"/>
              </w:rPr>
            </w:pPr>
            <w:r>
              <w:rPr>
                <w:rFonts w:ascii="Arial" w:cs="Arial" w:eastAsia="Arial" w:hAnsi="Arial"/>
                <w:sz w:val="18"/>
                <w:szCs w:val="18"/>
                <w:color w:val="auto"/>
              </w:rPr>
              <w:t>Steven M. Helmbrecht</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4340" w:type="dxa"/>
            <w:vAlign w:val="bottom"/>
          </w:tcPr>
          <w:p>
            <w:pPr>
              <w:ind w:left="900"/>
              <w:spacing w:after="0"/>
              <w:rPr>
                <w:sz w:val="20"/>
                <w:szCs w:val="20"/>
                <w:color w:val="auto"/>
              </w:rPr>
            </w:pPr>
            <w:r>
              <w:rPr>
                <w:rFonts w:ascii="Arial" w:cs="Arial" w:eastAsia="Arial" w:hAnsi="Arial"/>
                <w:sz w:val="18"/>
                <w:szCs w:val="18"/>
                <w:color w:val="auto"/>
                <w:w w:val="94"/>
              </w:rPr>
              <w:t>Sr. Vice President and Chief Financial Officer</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1145"/>
        </w:trPr>
        <w:tc>
          <w:tcPr>
            <w:tcW w:w="4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gridSpan w:val="3"/>
          </w:tcPr>
          <w:p>
            <w:pPr>
              <w:ind w:left="3360"/>
              <w:spacing w:after="0"/>
              <w:rPr>
                <w:sz w:val="20"/>
                <w:szCs w:val="20"/>
                <w:color w:val="auto"/>
              </w:rPr>
            </w:pPr>
            <w:r>
              <w:rPr>
                <w:rFonts w:ascii="Arial" w:cs="Arial" w:eastAsia="Arial" w:hAnsi="Arial"/>
                <w:sz w:val="18"/>
                <w:szCs w:val="18"/>
                <w:color w:val="auto"/>
              </w:rPr>
              <w:t>EXHIBIT INDEX</w:t>
            </w:r>
          </w:p>
        </w:tc>
      </w:tr>
      <w:tr>
        <w:trPr>
          <w:trHeight w:val="459"/>
        </w:trPr>
        <w:tc>
          <w:tcPr>
            <w:tcW w:w="1260" w:type="dxa"/>
            <w:vAlign w:val="bottom"/>
            <w:gridSpan w:val="3"/>
          </w:tcPr>
          <w:p>
            <w:pPr>
              <w:spacing w:after="0"/>
              <w:rPr>
                <w:sz w:val="20"/>
                <w:szCs w:val="20"/>
                <w:color w:val="auto"/>
              </w:rPr>
            </w:pPr>
            <w:r>
              <w:rPr>
                <w:rFonts w:ascii="Arial" w:cs="Arial" w:eastAsia="Arial" w:hAnsi="Arial"/>
                <w:sz w:val="18"/>
                <w:szCs w:val="18"/>
                <w:color w:val="auto"/>
              </w:rPr>
              <w:t>Exhibit Number</w:t>
            </w:r>
          </w:p>
        </w:tc>
        <w:tc>
          <w:tcPr>
            <w:tcW w:w="4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r>
      <w:tr>
        <w:trPr>
          <w:trHeight w:val="385"/>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80" w:type="dxa"/>
            <w:vAlign w:val="bottom"/>
            <w:tcBorders>
              <w:bottom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Underwriting Agreement among Canaccord Adams Inc., Canaccord Capital Corporation, Stephens Inc., and Itron, Inc.</w:t>
            </w:r>
          </w:p>
        </w:tc>
        <w:tc>
          <w:tcPr>
            <w:tcW w:w="1160" w:type="dxa"/>
            <w:vAlign w:val="bottom"/>
          </w:tcPr>
          <w:p>
            <w:pPr>
              <w:spacing w:after="0"/>
              <w:rPr>
                <w:sz w:val="24"/>
                <w:szCs w:val="24"/>
                <w:color w:val="auto"/>
              </w:rPr>
            </w:pPr>
          </w:p>
        </w:tc>
      </w:tr>
      <w:tr>
        <w:trPr>
          <w:trHeight w:val="439"/>
        </w:trPr>
        <w:tc>
          <w:tcPr>
            <w:tcW w:w="1260" w:type="dxa"/>
            <w:vAlign w:val="bottom"/>
            <w:gridSpan w:val="3"/>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44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0000EE"/>
              </w:rPr>
              <w:t>Information relating to Item 14 – Other Expenses of Issuance and Distribution of the Registration Statement</w:t>
            </w:r>
          </w:p>
        </w:tc>
      </w:tr>
      <w:tr>
        <w:trPr>
          <w:trHeight w:val="1408"/>
        </w:trPr>
        <w:tc>
          <w:tcPr>
            <w:tcW w:w="2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800" w:type="dxa"/>
            <w:vAlign w:val="bottom"/>
            <w:tcBorders>
              <w:top w:val="single" w:sz="8" w:color="0000EE"/>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Item 14 – Other Expenses of Issuance and Distribution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expenses to be paid by Itron, Inc. (the Company) in connection with the issuance and distribution of the Company's common stock being offered pursuant to the shelf registration statement, File No. 333-158417 (the Registration Statement), and a prospectus supplement dated May 28, 2009 (the Prospectus Supplement), other than underwriting discounts and commissions, are set forth in the following table. All amounts are estimated except the Securities and Exchange Commission registration fee, which assumes the exercise of the over-allotment option of 412,500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600" w:type="dxa"/>
            <w:vAlign w:val="bottom"/>
          </w:tcPr>
          <w:p>
            <w:pPr>
              <w:jc w:val="right"/>
              <w:spacing w:after="0"/>
              <w:rPr>
                <w:sz w:val="20"/>
                <w:szCs w:val="20"/>
                <w:color w:val="auto"/>
              </w:rPr>
            </w:pPr>
            <w:r>
              <w:rPr>
                <w:rFonts w:ascii="Arial" w:cs="Arial" w:eastAsia="Arial" w:hAnsi="Arial"/>
                <w:sz w:val="18"/>
                <w:szCs w:val="18"/>
                <w:color w:val="auto"/>
              </w:rPr>
              <w:t>$ 8,963</w:t>
            </w:r>
          </w:p>
        </w:tc>
      </w:tr>
      <w:tr>
        <w:trPr>
          <w:trHeight w:val="459"/>
        </w:trPr>
        <w:tc>
          <w:tcPr>
            <w:tcW w:w="9820" w:type="dxa"/>
            <w:vAlign w:val="bottom"/>
          </w:tcPr>
          <w:p>
            <w:pPr>
              <w:spacing w:after="0"/>
              <w:rPr>
                <w:sz w:val="20"/>
                <w:szCs w:val="20"/>
                <w:color w:val="auto"/>
              </w:rPr>
            </w:pPr>
            <w:r>
              <w:rPr>
                <w:rFonts w:ascii="Arial" w:cs="Arial" w:eastAsia="Arial" w:hAnsi="Arial"/>
                <w:sz w:val="18"/>
                <w:szCs w:val="18"/>
                <w:color w:val="auto"/>
              </w:rPr>
              <w:t>Listing fees</w:t>
            </w:r>
          </w:p>
        </w:tc>
        <w:tc>
          <w:tcPr>
            <w:tcW w:w="1600" w:type="dxa"/>
            <w:vAlign w:val="bottom"/>
          </w:tcPr>
          <w:p>
            <w:pPr>
              <w:jc w:val="right"/>
              <w:spacing w:after="0"/>
              <w:rPr>
                <w:sz w:val="20"/>
                <w:szCs w:val="20"/>
                <w:color w:val="auto"/>
              </w:rPr>
            </w:pPr>
            <w:r>
              <w:rPr>
                <w:rFonts w:ascii="Arial" w:cs="Arial" w:eastAsia="Arial" w:hAnsi="Arial"/>
                <w:sz w:val="18"/>
                <w:szCs w:val="18"/>
                <w:color w:val="auto"/>
              </w:rPr>
              <w:t>31,625</w:t>
            </w:r>
          </w:p>
        </w:tc>
      </w:tr>
      <w:tr>
        <w:trPr>
          <w:trHeight w:val="459"/>
        </w:trPr>
        <w:tc>
          <w:tcPr>
            <w:tcW w:w="982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459"/>
        </w:trPr>
        <w:tc>
          <w:tcPr>
            <w:tcW w:w="98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459"/>
        </w:trPr>
        <w:tc>
          <w:tcPr>
            <w:tcW w:w="98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459"/>
        </w:trPr>
        <w:tc>
          <w:tcPr>
            <w:tcW w:w="98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446"/>
        </w:trPr>
        <w:tc>
          <w:tcPr>
            <w:tcW w:w="98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124,412</w:t>
            </w:r>
          </w:p>
        </w:tc>
      </w:tr>
      <w:tr>
        <w:trPr>
          <w:trHeight w:val="473"/>
        </w:trPr>
        <w:tc>
          <w:tcPr>
            <w:tcW w:w="9820" w:type="dxa"/>
            <w:vAlign w:val="bottom"/>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r>
    </w:tbl>
    <w:p>
      <w:pPr>
        <w:sectPr>
          <w:pgSz w:w="11900" w:h="16838" w:orient="portrait"/>
          <w:cols w:equalWidth="0" w:num="1">
            <w:col w:w="11420"/>
          </w:cols>
          <w:pgMar w:left="240" w:top="36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2"/>
          <w:szCs w:val="12"/>
          <w:b w:val="1"/>
          <w:bCs w:val="1"/>
          <w:u w:val="single" w:color="auto"/>
          <w:color w:val="auto"/>
        </w:rPr>
        <w:t>TRON</w:t>
      </w:r>
      <w:r>
        <w:rPr>
          <w:rFonts w:ascii="Arial" w:cs="Arial" w:eastAsia="Arial" w:hAnsi="Arial"/>
          <w:sz w:val="18"/>
          <w:szCs w:val="18"/>
          <w:b w:val="1"/>
          <w:bCs w:val="1"/>
          <w:u w:val="single" w:color="auto"/>
          <w:color w:val="auto"/>
        </w:rPr>
        <w:t>, I</w:t>
      </w:r>
      <w:r>
        <w:rPr>
          <w:rFonts w:ascii="Arial" w:cs="Arial" w:eastAsia="Arial" w:hAnsi="Arial"/>
          <w:sz w:val="12"/>
          <w:szCs w:val="12"/>
          <w:b w:val="1"/>
          <w:bCs w:val="1"/>
          <w:u w:val="single" w:color="auto"/>
          <w:color w:val="auto"/>
        </w:rPr>
        <w:t>NC</w:t>
      </w:r>
      <w:r>
        <w:rPr>
          <w:rFonts w:ascii="Arial" w:cs="Arial" w:eastAsia="Arial" w:hAnsi="Arial"/>
          <w:sz w:val="18"/>
          <w:szCs w:val="18"/>
          <w:b w:val="1"/>
          <w:bCs w:val="1"/>
          <w:u w:val="single" w:color="auto"/>
          <w:color w:val="auto"/>
        </w:rPr>
        <w:t>.</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2,750,000 Shares</w:t>
      </w:r>
    </w:p>
    <w:p>
      <w:pPr>
        <w:spacing w:after="0" w:line="25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Common Stock</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 par value)</w:t>
      </w:r>
    </w:p>
    <w:p>
      <w:pPr>
        <w:spacing w:after="0" w:line="24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U</w:t>
      </w:r>
      <w:r>
        <w:rPr>
          <w:rFonts w:ascii="Arial" w:cs="Arial" w:eastAsia="Arial" w:hAnsi="Arial"/>
          <w:sz w:val="14"/>
          <w:szCs w:val="14"/>
          <w:color w:val="auto"/>
        </w:rPr>
        <w:t>NDERWRITING</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4276090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0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NDERWRITING</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28,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Canaccord Adams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Canaccord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Cannacord Adams Inc.</w:t>
      </w:r>
    </w:p>
    <w:p>
      <w:pPr>
        <w:ind w:left="280"/>
        <w:spacing w:after="0" w:line="200" w:lineRule="auto"/>
        <w:rPr>
          <w:sz w:val="20"/>
          <w:szCs w:val="20"/>
          <w:color w:val="auto"/>
        </w:rPr>
      </w:pPr>
      <w:r>
        <w:rPr>
          <w:rFonts w:ascii="Arial" w:cs="Arial" w:eastAsia="Arial" w:hAnsi="Arial"/>
          <w:sz w:val="18"/>
          <w:szCs w:val="18"/>
          <w:color w:val="auto"/>
        </w:rPr>
        <w:t>99 High Street,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Boston, MA 02110</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Itron, Inc., a Washington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issue and sell to Canaccord Adams Inc., Canaccord Capital Corporation and Stephens Inc.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pursuant to this Underwriting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an aggregate of 2,750,000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common stock, no par value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In addition, solely for the purpose of covering over-allotments, the Company proposes to grant to the Underwriters the option to purchase from the Company up to an additional 412,500 shares of Common Stock (the “Additional Shares”). The Firm Shares and the Additional Shares are hereinafter collectively referred to as the “</w:t>
      </w:r>
      <w:r>
        <w:rPr>
          <w:rFonts w:ascii="Arial" w:cs="Arial" w:eastAsia="Arial" w:hAnsi="Arial"/>
          <w:sz w:val="16"/>
          <w:szCs w:val="16"/>
          <w:u w:val="single" w:color="auto"/>
          <w:color w:val="auto"/>
        </w:rPr>
        <w:t>Shares</w:t>
      </w:r>
      <w:r>
        <w:rPr>
          <w:rFonts w:ascii="Arial" w:cs="Arial" w:eastAsia="Arial" w:hAnsi="Arial"/>
          <w:sz w:val="16"/>
          <w:szCs w:val="16"/>
          <w:color w:val="auto"/>
        </w:rPr>
        <w:t>.” The Shares are described in the Prospectus which is referred to below. The Shares will have attached thereto share purchase rights (the “</w:t>
      </w:r>
      <w:r>
        <w:rPr>
          <w:rFonts w:ascii="Arial" w:cs="Arial" w:eastAsia="Arial" w:hAnsi="Arial"/>
          <w:sz w:val="16"/>
          <w:szCs w:val="16"/>
          <w:u w:val="single" w:color="auto"/>
          <w:color w:val="auto"/>
        </w:rPr>
        <w:t>Rights</w:t>
      </w:r>
      <w:r>
        <w:rPr>
          <w:rFonts w:ascii="Arial" w:cs="Arial" w:eastAsia="Arial" w:hAnsi="Arial"/>
          <w:sz w:val="16"/>
          <w:szCs w:val="16"/>
          <w:color w:val="auto"/>
        </w:rPr>
        <w:t>”) issued pursuant to the Rights Agreement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dated as of December 11, 2002 between the Company and Mellon Investor Services LLC, as rights agent.</w:t>
      </w:r>
    </w:p>
    <w:p>
      <w:pPr>
        <w:spacing w:after="0" w:line="19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Company has prepared and filed, in accordance with the provisions of the Securities Act of 1933, as amended, and the rules and regulations thereunder (collectively, the “</w:t>
      </w:r>
      <w:r>
        <w:rPr>
          <w:rFonts w:ascii="Arial" w:cs="Arial" w:eastAsia="Arial" w:hAnsi="Arial"/>
          <w:sz w:val="17"/>
          <w:szCs w:val="17"/>
          <w:u w:val="single" w:color="auto"/>
          <w:color w:val="auto"/>
        </w:rPr>
        <w:t>Act</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registration statement on Form S-3 (File No. 333-158417) under the Act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including a prospectus, which registration statement incorporates by reference documents which the Company has filed, or will file, in accordance with the provisions of the Securities Exchange Act of 1934, as amended, and the rules and regulations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Such registration statement has become effective under the Act.</w:t>
      </w:r>
    </w:p>
    <w:p>
      <w:pPr>
        <w:spacing w:after="0" w:line="20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Except where the context otherwise requires,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as used herein, means the registration statement, as amended at the time of such registration statement’s effectiveness for purposes of Section 11 of the Act, as such section applies to the respective Underwriters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w:t>
      </w:r>
      <w:r>
        <w:rPr>
          <w:rFonts w:ascii="Arial" w:cs="Arial" w:eastAsia="Arial" w:hAnsi="Arial"/>
          <w:sz w:val="17"/>
          <w:szCs w:val="17"/>
          <w:color w:val="auto"/>
        </w:rPr>
        <w:t>”), including (i) all documents filed as a part thereof or incorporated or deemed to be incorporated by reference therein and (ii)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w:t>
      </w:r>
    </w:p>
    <w:p>
      <w:pPr>
        <w:spacing w:after="0" w:line="20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Basic Prospectus</w:t>
      </w:r>
      <w:r>
        <w:rPr>
          <w:rFonts w:ascii="Arial" w:cs="Arial" w:eastAsia="Arial" w:hAnsi="Arial"/>
          <w:sz w:val="18"/>
          <w:szCs w:val="18"/>
          <w:color w:val="auto"/>
        </w:rPr>
        <w:t>,” as used herein, means the base prospectus included as part of the Registration Statement, in the form in which it has most recently been filed with the Commission prior to the date of this Agreement. Except where the context otherwise requires,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as used herein, means the final prospectus supplement, relating to the Shares, filed by the Company with the Commission pursuant to Rule 424(b) under the Act on or before the second business day after the date hereof (or such earlier time as may be required under the Act), in the form furnished by the Company to the Underwriters for use by the Underwriters and by dealers in connection with the offering of the Shares. Except where the context otherwise requires, “</w:t>
      </w:r>
      <w:r>
        <w:rPr>
          <w:rFonts w:ascii="Arial" w:cs="Arial" w:eastAsia="Arial" w:hAnsi="Arial"/>
          <w:sz w:val="18"/>
          <w:szCs w:val="18"/>
          <w:u w:val="single" w:color="auto"/>
          <w:color w:val="auto"/>
        </w:rPr>
        <w:t>Prospectus</w:t>
      </w:r>
      <w:r>
        <w:rPr>
          <w:rFonts w:ascii="Arial" w:cs="Arial" w:eastAsia="Arial" w:hAnsi="Arial"/>
          <w:sz w:val="18"/>
          <w:szCs w:val="18"/>
          <w:color w:val="auto"/>
        </w:rPr>
        <w:t>,” as used herein, means the Basic Prospectus as supplemented by the Prospectus Supplement.</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xml:space="preserve">,” as used herein, means the documents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 The Underwriters have not offered or sold and will not offer or sell, without the Company’s consent, any Shares by means of any “free writing prospectus” (as defined in Rule 405 under the Act) that is required to be filed by the Underwriters with the Commission pursuant to Rule 433 under the Act, other than a Permitted Free Writing Prospectus.</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Package</w:t>
      </w:r>
      <w:r>
        <w:rPr>
          <w:rFonts w:ascii="Arial" w:cs="Arial" w:eastAsia="Arial" w:hAnsi="Arial"/>
          <w:sz w:val="18"/>
          <w:szCs w:val="18"/>
          <w:color w:val="auto"/>
        </w:rPr>
        <w:t xml:space="preserve">,” as used herein, means the Basic Prospectus, together with the Permitted Free Writing Prospectuses, if any, and the information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 taken as a whole.</w:t>
      </w:r>
    </w:p>
    <w:p>
      <w:pPr>
        <w:spacing w:after="0" w:line="19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Any reference herein to the Registration Statement, the Basic Prospectus, the Prospectus Supplement, the Prospectus or any Permitted Free Writing Prospectus shall be deemed to refer to and include the documents, if any, incorporated by reference, or deemed to be incorporated by reference, therein (each an “</w:t>
      </w:r>
      <w:r>
        <w:rPr>
          <w:rFonts w:ascii="Arial" w:cs="Arial" w:eastAsia="Arial" w:hAnsi="Arial"/>
          <w:sz w:val="18"/>
          <w:szCs w:val="18"/>
          <w:u w:val="single" w:color="auto"/>
          <w:color w:val="auto"/>
        </w:rPr>
        <w:t>Incorporated Document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Incorporated Documents</w:t>
      </w:r>
      <w:r>
        <w:rPr>
          <w:rFonts w:ascii="Arial" w:cs="Arial" w:eastAsia="Arial" w:hAnsi="Arial"/>
          <w:sz w:val="18"/>
          <w:szCs w:val="18"/>
          <w:color w:val="auto"/>
        </w:rPr>
        <w:t>”), including, unless the context otherwise requires, the documents, if any, filed as exhibits to such Incorporated Documents. Any reference herein to the terms “</w:t>
      </w:r>
      <w:r>
        <w:rPr>
          <w:rFonts w:ascii="Arial" w:cs="Arial" w:eastAsia="Arial" w:hAnsi="Arial"/>
          <w:sz w:val="18"/>
          <w:szCs w:val="18"/>
          <w:u w:val="single" w:color="auto"/>
          <w:color w:val="auto"/>
        </w:rPr>
        <w:t>amend</w:t>
      </w:r>
      <w:r>
        <w:rPr>
          <w:rFonts w:ascii="Arial" w:cs="Arial" w:eastAsia="Arial" w:hAnsi="Arial"/>
          <w:sz w:val="18"/>
          <w:szCs w:val="18"/>
          <w:color w:val="auto"/>
        </w:rPr>
        <w:t>,” “</w:t>
      </w:r>
      <w:r>
        <w:rPr>
          <w:rFonts w:ascii="Arial" w:cs="Arial" w:eastAsia="Arial" w:hAnsi="Arial"/>
          <w:sz w:val="18"/>
          <w:szCs w:val="18"/>
          <w:u w:val="single" w:color="auto"/>
          <w:color w:val="auto"/>
        </w:rPr>
        <w:t>amendment</w:t>
      </w:r>
      <w:r>
        <w:rPr>
          <w:rFonts w:ascii="Arial" w:cs="Arial" w:eastAsia="Arial" w:hAnsi="Arial"/>
          <w:sz w:val="18"/>
          <w:szCs w:val="18"/>
          <w:color w:val="auto"/>
        </w:rPr>
        <w:t>” or “</w:t>
      </w:r>
      <w:r>
        <w:rPr>
          <w:rFonts w:ascii="Arial" w:cs="Arial" w:eastAsia="Arial" w:hAnsi="Arial"/>
          <w:sz w:val="18"/>
          <w:szCs w:val="18"/>
          <w:u w:val="single" w:color="auto"/>
          <w:color w:val="auto"/>
        </w:rPr>
        <w:t>supplement</w:t>
      </w:r>
      <w:r>
        <w:rPr>
          <w:rFonts w:ascii="Arial" w:cs="Arial" w:eastAsia="Arial" w:hAnsi="Arial"/>
          <w:sz w:val="18"/>
          <w:szCs w:val="18"/>
          <w:color w:val="auto"/>
        </w:rPr>
        <w:t>” with respect to the Registration Statement, the Basic Prospectus, the Prospectus Supplement, the Prospectus or any Permitted Free Writing Prospectus shall be deemed to refer to and include the filing of any document under the Exchange Act on or after the initial effective date of the Registration Statement, or the date of the Basic Prospectus, the Prospectus Supplement, the Prospectus or such Permitted Free Writing Prospectus, as the case may be, and deemed to be incorporated 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p>
      <w:pPr>
        <w:jc w:val="both"/>
        <w:ind w:right="20" w:firstLine="1297"/>
        <w:spacing w:after="0" w:line="286" w:lineRule="auto"/>
        <w:rPr>
          <w:sz w:val="20"/>
          <w:szCs w:val="20"/>
          <w:color w:val="auto"/>
        </w:rPr>
      </w:pPr>
      <w:r>
        <w:rPr>
          <w:rFonts w:ascii="Arial" w:cs="Arial" w:eastAsia="Arial" w:hAnsi="Arial"/>
          <w:sz w:val="17"/>
          <w:szCs w:val="17"/>
          <w:color w:val="auto"/>
        </w:rPr>
        <w:t>As used in this Agreement,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 day on which the NASDAQ Stock Market (“</w:t>
      </w:r>
      <w:r>
        <w:rPr>
          <w:rFonts w:ascii="Arial" w:cs="Arial" w:eastAsia="Arial" w:hAnsi="Arial"/>
          <w:sz w:val="17"/>
          <w:szCs w:val="17"/>
          <w:u w:val="single" w:color="auto"/>
          <w:color w:val="auto"/>
        </w:rPr>
        <w:t>NASDAQ</w:t>
      </w:r>
      <w:r>
        <w:rPr>
          <w:rFonts w:ascii="Arial" w:cs="Arial" w:eastAsia="Arial" w:hAnsi="Arial"/>
          <w:sz w:val="17"/>
          <w:szCs w:val="17"/>
          <w:color w:val="auto"/>
        </w:rPr>
        <w: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and the Underwriters agree as follows:</w:t>
      </w:r>
    </w:p>
    <w:p>
      <w:pPr>
        <w:spacing w:after="0" w:line="279" w:lineRule="exact"/>
        <w:rPr>
          <w:sz w:val="20"/>
          <w:szCs w:val="20"/>
          <w:color w:val="auto"/>
        </w:rPr>
      </w:pPr>
    </w:p>
    <w:p>
      <w:pPr>
        <w:jc w:val="both"/>
        <w:ind w:firstLine="656"/>
        <w:spacing w:after="0" w:line="272" w:lineRule="auto"/>
        <w:tabs>
          <w:tab w:leader="none" w:pos="999"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Sale and Purchase</w:t>
      </w:r>
      <w:r>
        <w:rPr>
          <w:rFonts w:ascii="Arial" w:cs="Arial" w:eastAsia="Arial" w:hAnsi="Arial"/>
          <w:sz w:val="17"/>
          <w:szCs w:val="17"/>
          <w:color w:val="auto"/>
        </w:rPr>
        <w:t xml:space="preserve">.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subject to adjustment in accordance herewith, in each case at a purchase price of $50.79 per Share. The Company is advised by the Underwriters that the Underwriters intend (i) to make a public offering of their respective portions of the Firm Shares as soon after the effectiveness of this Agreement as in the Underwriters’ judgment is advisable and (ii) initially to offer the Firm Shares upon the terms set forth in the Prospectus. The Underwriters may from time to time increase or decrease the public offering price after the initial public offering to such extent as the Underwriters may determine.</w:t>
      </w:r>
    </w:p>
    <w:p>
      <w:pPr>
        <w:spacing w:after="0" w:line="20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In addition, the Company hereby grants to the several Underwriters the option to purchase, and upon the basis of the warranties and representations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Company for the Firm Shares. This option may be exercised by the Underwriters at any time and from time to time on or before the thirtieth day following the date hereof,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7"/>
          <w:szCs w:val="17"/>
          <w:u w:val="single" w:color="auto"/>
          <w:color w:val="auto"/>
        </w:rPr>
        <w:t>Additional Time of Purchase</w:t>
      </w:r>
      <w:r>
        <w:rPr>
          <w:rFonts w:ascii="Arial" w:cs="Arial" w:eastAsia="Arial" w:hAnsi="Arial"/>
          <w:sz w:val="17"/>
          <w:szCs w:val="17"/>
          <w:color w:val="auto"/>
        </w:rPr>
        <w:t>”); provided, however, that the Additional Time of Purchase shall not be earlier than the Time of Purchase (as defined below) nor earlier than the second business day after the date on which the option shall have been exercised nor later than the tenth business day after the date on which the option shall have been exercised.</w:t>
      </w:r>
    </w:p>
    <w:p>
      <w:pPr>
        <w:spacing w:after="0" w:line="232" w:lineRule="exact"/>
        <w:rPr>
          <w:sz w:val="20"/>
          <w:szCs w:val="20"/>
          <w:color w:val="auto"/>
        </w:rPr>
      </w:pPr>
    </w:p>
    <w:p>
      <w:pPr>
        <w:jc w:val="both"/>
        <w:ind w:firstLine="656"/>
        <w:spacing w:after="0" w:line="255" w:lineRule="auto"/>
        <w:tabs>
          <w:tab w:leader="none" w:pos="99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of the purchase price for the Firm Shares shall be made to the Company by Federal Funds wire transfer against delivery of the certificates for the Firm Shares to the Underwriters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respective accounts of the Underwriters. Such payment and delivery shall be made at 10:00 A.M., New York City time, on June 3, 2009 (the “</w:t>
      </w:r>
      <w:r>
        <w:rPr>
          <w:rFonts w:ascii="Arial" w:cs="Arial" w:eastAsia="Arial" w:hAnsi="Arial"/>
          <w:sz w:val="18"/>
          <w:szCs w:val="18"/>
          <w:u w:val="single" w:color="auto"/>
          <w:color w:val="auto"/>
        </w:rPr>
        <w:t>Closing Date</w:t>
      </w:r>
      <w:r>
        <w:rPr>
          <w:rFonts w:ascii="Arial" w:cs="Arial" w:eastAsia="Arial" w:hAnsi="Arial"/>
          <w:sz w:val="18"/>
          <w:szCs w:val="18"/>
          <w:color w:val="auto"/>
        </w:rPr>
        <w:t>”) (unless another time shall be agreed to by the Underwriters and the Company). The time at which such payment and delivery are to be made is hereinafter sometimes called the “</w:t>
      </w:r>
      <w:r>
        <w:rPr>
          <w:rFonts w:ascii="Arial" w:cs="Arial" w:eastAsia="Arial" w:hAnsi="Arial"/>
          <w:sz w:val="18"/>
          <w:szCs w:val="18"/>
          <w:u w:val="single" w:color="auto"/>
          <w:color w:val="auto"/>
        </w:rPr>
        <w:t>Time of Purchase</w:t>
      </w:r>
      <w:r>
        <w:rPr>
          <w:rFonts w:ascii="Arial" w:cs="Arial" w:eastAsia="Arial" w:hAnsi="Arial"/>
          <w:sz w:val="18"/>
          <w:szCs w:val="18"/>
          <w:color w:val="auto"/>
        </w:rPr>
        <w:t>.” Electronic transfer of the Firm Shares shall be made to the Underwriters at the time of purchase in such names and in such denominations as the Underwriters shall specify.</w:t>
      </w:r>
    </w:p>
    <w:p>
      <w:pPr>
        <w:spacing w:after="0" w:line="22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Payment of the purchase price for the Additional Shares shall be made at the Additional Time of Purchase in the same manner and at the same office as the payment for the Firm Shares. Electronic transfer of the Firm Shares shall be made to the Underwriters at the time of purchase in such names and in such denominations as the Underwriters shall specify. The Time of Purchase and the Additional Time of Purchase are sometimes referred to herein as the Closing Dates.</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Skadden, Arps, Slate, Meagher &amp; Flom LLP at 300 South Grand Avenue, Suite 3400, Los Angeles, California 90071, at 9:00 A.M., New York City time, on the date of the closing of the purchase of the Shares.</w:t>
      </w:r>
    </w:p>
    <w:p>
      <w:pPr>
        <w:spacing w:after="0" w:line="235" w:lineRule="exact"/>
        <w:rPr>
          <w:sz w:val="20"/>
          <w:szCs w:val="20"/>
          <w:color w:val="auto"/>
        </w:rPr>
      </w:pPr>
    </w:p>
    <w:p>
      <w:pPr>
        <w:ind w:left="1000" w:hanging="344"/>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302" w:lineRule="exact"/>
        <w:rPr>
          <w:rFonts w:ascii="Arial" w:cs="Arial" w:eastAsia="Arial" w:hAnsi="Arial"/>
          <w:sz w:val="16"/>
          <w:szCs w:val="16"/>
          <w:color w:val="auto"/>
        </w:rPr>
      </w:pPr>
    </w:p>
    <w:p>
      <w:pPr>
        <w:jc w:val="both"/>
        <w:ind w:left="660" w:firstLine="1293"/>
        <w:spacing w:after="0" w:line="259" w:lineRule="auto"/>
        <w:tabs>
          <w:tab w:leader="none" w:pos="238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has heretofore become effective under the Act; no stop order of the Commission preventing or suspending the use of the Basic Prospectus, the Prospectus Supplement, the Prospectus or any Permitted Free Writing Prospectus, or the effectiveness of the Registration Statement, has been issued, and no proceedings for such purpose have been instituted or, to the Company’s knowledge, are contemplated by the Commission;</w:t>
      </w:r>
    </w:p>
    <w:p>
      <w:pPr>
        <w:spacing w:after="0" w:line="213" w:lineRule="exact"/>
        <w:rPr>
          <w:rFonts w:ascii="Arial" w:cs="Arial" w:eastAsia="Arial" w:hAnsi="Arial"/>
          <w:sz w:val="18"/>
          <w:szCs w:val="18"/>
          <w:color w:val="auto"/>
        </w:rPr>
      </w:pPr>
    </w:p>
    <w:p>
      <w:pPr>
        <w:ind w:left="5620" w:hanging="108"/>
        <w:spacing w:after="0"/>
        <w:tabs>
          <w:tab w:leader="none" w:pos="5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left="-540" w:firstLine="1293"/>
        <w:spacing w:after="0" w:line="283" w:lineRule="auto"/>
        <w:tabs>
          <w:tab w:leader="none" w:pos="122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Registration Statement complied when it became effective, complies as of the date hereof and, as amended or supplemented, at the time of purchase and at all times during which a prospectus is required by the Act to be delivered (whether physically or through compliance with Rule 172 under the Act or any similar rule) in connection with any sale of Shares, will comply, in all material respects, with the requirements of the Act; the conditions to the use of Form S-3 in connection with the offering and sale of the Shares as contemplated hereby have been satisfied; the Registration Statement constitutes an “automatic shelf registration statement” (as defined in Rule 405 under the Act); the Company has not received from the Commission a notice, pursuant to Rule 401(g)(2), of objection to the use of the automatic shelf registration statement form; as of the determination date applicable to the Registration Statement (and any amendment thereof) and the offering contemplated hereby, the Company is a “well-known seasoned issuer” as defined in Rule 405 under the Act; the Registration Statement meets, and the offering and sale of the Shares as contemplated hereby complies with, the requirements of Rule 415 under the Act (including, without limitation, Rule 415(a)(5) under the Act); the Registration Statement did not, as of the Effective Time, contain an untrue statement of a material fact or omit to state a material fact required to be stated therein or necessary to make the statements therein not misleading; the Basic Prospectus complied as of its date and the date it was filed with the Commission, complies as of the date hereof and, at the time of purchase and at all times during which a prospectus is required by the Act to be delivered (whether physically or through compliance with Rule 172 under the Act or any similar rule) in connection with any sale of Shares, will comply, in all material respects, with the requirements of the Act; the Disclosure Package does not include an untrue statement of a material fact or omit to state a material fact necessary in order to make the statements therein, in the light of the circumstances under which they were made, not misleading; each of the Prospectus Supplement and the Prospectus will comply, as of the date that it is filed with the Commission, the date of the Prospectus Supplement, the time of purchase and at all times during which a prospectus is required by the Act to be delivered (whether physically or through compliance with Rule 172 under the Act or any similar rule) in connection with any sale of Shares, in all material respects, with the requirements of the Act (in the case of the Prospectus, including, without limitation, Section 10(a) of the Act); at no time during the period that begins on the earlier of the date of the Prospectus Supplement and the date the Prospectus Supplement is filed with the Commission and ends at the later of the time of purchase and the end of the period during which a prospectus is required by the Act to be delivered (whether physically or through compliance with Rule 172 under the Act or any similar rule) in connection with any sale of Shares did or will any Prospectus Supplement or the Prospectus, as then amended or supplemented, include an untrue statement of a material fact or omit to state a material fact necessary in order to make the statements therein, in the light of the circumstances under which they were made, not misleading; each Permitted Free Writing Prospectus does not conflict with the information contained in the Registration Statement, the Disclosure Package or the Prospectus, and at no time during the period that begins on the date of such Permitted Free Writing Prospectus and ends at the time of purchase did or will any Permitted Free Writing Prospectus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 or warranty in this Section 3(b) with respect to any statement contained in the Registration Statement, the Prospectus or any Permitted Free Writing Prospectus in reliance upon and in conformity with information concerning the Underwriter and furnished in writing by or on behalf of such Underwriter to the Company expressly for use in the Registration Statement, the Prospectus or such Permitted Free Writing Prospectus; each Incorporated Document, at the time such document was filed with the Commission or at the time such document became effective, as applicable, complied, in all material respects, with the requirements of the Exchange Act and did not include an untrue statement of a material fact or omit to state a material fact necessary in order to make the statements therein, in the light of the circumstances under which they were made, not misleading;</w:t>
      </w:r>
    </w:p>
    <w:p>
      <w:pPr>
        <w:spacing w:after="0" w:line="240" w:lineRule="exact"/>
        <w:rPr>
          <w:rFonts w:ascii="Arial" w:cs="Arial" w:eastAsia="Arial" w:hAnsi="Arial"/>
          <w:sz w:val="16"/>
          <w:szCs w:val="16"/>
          <w:color w:val="auto"/>
        </w:rPr>
      </w:pPr>
    </w:p>
    <w:p>
      <w:pPr>
        <w:jc w:val="both"/>
        <w:ind w:left="-540" w:firstLine="1293"/>
        <w:spacing w:after="0" w:line="286" w:lineRule="auto"/>
        <w:tabs>
          <w:tab w:leader="none" w:pos="1172"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to the execution of this Agreement, the Company has not, directly or indirectly, offered or sold any Shares by means of any “prospectus” (within the meaning of the Act) or used any “prospectus” (within the meaning of the Act) in connection with the offer or sale of the Shares, in each case other than the Basic Prospectus and the Permitted Free Writing Prospectuses, if any; the Company has not, directly or indirectly, prepared, used or referred to any Permitted Free Writing Prospectus except in compliance with Rule 163 or with Rules 164 and 433 under the Act; assuming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any Underwriter, of any Permitted Free Writing Prospectus will satisfy the provisions of Rule 164 and Rule 433 (without reliance on subsections (b), (c) and (d) of Rule 164); the conditions set forth in one or more of subclauses (i) through (iv), inclusive, of Rule 433(b)(1) under the Act are satisfied, and the registration statement relating to the offering of the Shares contemplated hereby, as initially filed with the Commission, includes a prospectus that, other than by reason of Rule 433 or Rule 431 under the Act, satisfies the requirements of Section 10 of the Act; neither the Company nor the Underwriters are disqualified, by reason of subsection (f) or (g) of Rule 164 under the Act, from using, in connection with the offer and sale of the Shares, “free writing prospectuses” (as defined in Rule 405 under the Act) pursuant to Rules 164 and 433 under the Act; the Company is not an “ineligible issuer” (as defined in Rule 405 under the Act) as of the eligibility determination date for purposes of Rules 164 and 433 under the Act with respect to the offering of the Shares contemplated by the Registration Statement;</w:t>
      </w:r>
    </w:p>
    <w:p>
      <w:pPr>
        <w:spacing w:after="0" w:line="225" w:lineRule="exact"/>
        <w:rPr>
          <w:rFonts w:ascii="Arial" w:cs="Arial" w:eastAsia="Arial" w:hAnsi="Arial"/>
          <w:sz w:val="16"/>
          <w:szCs w:val="16"/>
          <w:color w:val="auto"/>
        </w:rPr>
      </w:pPr>
    </w:p>
    <w:p>
      <w:pPr>
        <w:jc w:val="both"/>
        <w:ind w:left="-540" w:firstLine="1293"/>
        <w:spacing w:after="0" w:line="288" w:lineRule="auto"/>
        <w:tabs>
          <w:tab w:leader="none" w:pos="1182"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the date of this Agreement, the Company has an authorized and outstanding capitalization as set forth under the heading “Actual” in the section of the Prospectus entitled “Capitalization” (and any similar sections or information, if any, contained in any Permitted Free Writing Prospectus), and, as of the time of purchase, the Company shall have an authorized and outstanding capitalization as set forth in the section of the Prospectus entitled “Capitalization” (and any similar sections or information, if any, contained in any Permitted Free Writing Prospectus) (subject, in each case, to the issuance of shares of Common Stock upon exercise of stock options and warrants disclosed as outstanding in the Registration Statement (excluding the exhibits thereto) and the Prospectus and the grant of options under existing stock option plans described in the Registration Statement (excluding the exhibits thereto) and the Prospectus); all of the issued and outstanding shares of capital stock, including the Shares, of the Company have been duly authorized and validly issued and are fully paid and non-assessable, have been issued in compliance with all applicable securities laws and were not issued in violation of any preemptive right, resale right, right of first refusal or similar right; the Shares are duly listed, and admitted and authorized for trading, subject to official notice of issuance, on NASDAQ;</w:t>
      </w:r>
    </w:p>
    <w:p>
      <w:pPr>
        <w:spacing w:after="0" w:line="196" w:lineRule="exact"/>
        <w:rPr>
          <w:rFonts w:ascii="Arial" w:cs="Arial" w:eastAsia="Arial" w:hAnsi="Arial"/>
          <w:sz w:val="16"/>
          <w:szCs w:val="16"/>
          <w:color w:val="auto"/>
        </w:rPr>
      </w:pPr>
    </w:p>
    <w:p>
      <w:pPr>
        <w:ind w:left="4420" w:hanging="108"/>
        <w:spacing w:after="0"/>
        <w:tabs>
          <w:tab w:leader="none" w:pos="4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0" w:name="page11"/>
    <w:bookmarkEnd w:id="10"/>
    <w:p>
      <w:pPr>
        <w:jc w:val="both"/>
        <w:ind w:left="4" w:firstLine="1293"/>
        <w:spacing w:after="0" w:line="259" w:lineRule="auto"/>
        <w:tabs>
          <w:tab w:leader="none" w:pos="171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Washington, with full corporate power and authority to own, lease and operate its properties and conduct its business as described in the Registration Statement, the Prospectus and the Permitted Free Writing Prospectuses, if any, to execute and deliver this Agreement and to issue, sell and deliver the Shares as contemplated herein;</w:t>
      </w:r>
    </w:p>
    <w:p>
      <w:pPr>
        <w:spacing w:after="0" w:line="240" w:lineRule="exact"/>
        <w:rPr>
          <w:rFonts w:ascii="Arial" w:cs="Arial" w:eastAsia="Arial" w:hAnsi="Arial"/>
          <w:sz w:val="18"/>
          <w:szCs w:val="18"/>
          <w:color w:val="auto"/>
        </w:rPr>
      </w:pPr>
    </w:p>
    <w:p>
      <w:pPr>
        <w:jc w:val="both"/>
        <w:ind w:left="4" w:firstLine="1293"/>
        <w:spacing w:after="0" w:line="255" w:lineRule="auto"/>
        <w:tabs>
          <w:tab w:leader="none" w:pos="169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(i) have a material adverse effect on the business, properties, financial condition, results of operations or prospects of the Company and the Subsidiaries (as defined below) taken as a whole, (ii) prevent or materially interfere with consummation of the transactions contemplated hereby or (iii) result in the delisting of shares of Common Stock from NASDAQ (the occurrence of any such effect or any such prevention or interference or any such result described in the foregoing clauses (i), (ii) and (iii) being herein referred to as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jc w:val="both"/>
        <w:ind w:left="4" w:firstLine="1293"/>
        <w:spacing w:after="0" w:line="285" w:lineRule="auto"/>
        <w:tabs>
          <w:tab w:leader="none" w:pos="1726"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has no subsidiaries (as defined under the Act) other than those listed on Exhibit 21.1 to the Company’s Annual Report on Form 10-K for the year ended December 31, 2008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except as disclosed in the Registration Statement, the Prospectus and the Permitted Free Writing Prospectuses, if any, the Company owns, directly or indirectly, all of the issued and outstanding capital stock of each of the Subsidiaries; other than the capital stock of the Subsidiaries and the Company’s ownership in PT Mecoindo (the “</w:t>
      </w:r>
      <w:r>
        <w:rPr>
          <w:rFonts w:ascii="Arial" w:cs="Arial" w:eastAsia="Arial" w:hAnsi="Arial"/>
          <w:sz w:val="16"/>
          <w:szCs w:val="16"/>
          <w:u w:val="single" w:color="auto"/>
          <w:color w:val="auto"/>
        </w:rPr>
        <w:t>Joint</w:t>
      </w:r>
      <w:r>
        <w:rPr>
          <w:rFonts w:ascii="Arial" w:cs="Arial" w:eastAsia="Arial" w:hAnsi="Arial"/>
          <w:sz w:val="16"/>
          <w:szCs w:val="16"/>
          <w:color w:val="auto"/>
        </w:rPr>
        <w:t xml:space="preserve"> </w:t>
      </w:r>
      <w:r>
        <w:rPr>
          <w:rFonts w:ascii="Arial" w:cs="Arial" w:eastAsia="Arial" w:hAnsi="Arial"/>
          <w:sz w:val="16"/>
          <w:szCs w:val="16"/>
          <w:u w:val="single" w:color="auto"/>
          <w:color w:val="auto"/>
        </w:rPr>
        <w:t>Venture</w:t>
      </w:r>
      <w:r>
        <w:rPr>
          <w:rFonts w:ascii="Arial" w:cs="Arial" w:eastAsia="Arial" w:hAnsi="Arial"/>
          <w:sz w:val="16"/>
          <w:szCs w:val="16"/>
          <w:color w:val="auto"/>
        </w:rPr>
        <w:t>”), the Company does not own, directly or indirectly, any shares of stock or any other equity interests or long-term debt securities of any corporation, firm, partnership, joint venture, association or other entity; complete and correct copies of the charters and the bylaws of the Company and Itron Luxembourg and all amendments thereto have been delivered to the Underwriters, and no changes therein will be made on or after the date hereof through and including the time of purchase; each Subsidiary has been incorporated and is validly existing as a corporation in good standing under the laws of the jurisdiction of its incorporation, with full corporate power and authority to own, lease and operate its properties and to conduct its business as described in the Registration Statement, the Prospectus and the Permitted Free Writing Prospectuses, if any; each Subsidiary is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except as disclosed in the Registration Statement, the Prospectus and the Permitted Free Writing Prospectuses, if any, with respect to the Joint Venture, all of the outstanding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except as disclosed in the Registration Statement, the Prospectus and the Permitted Free Writing Prospectuses, if any, with respect to the Joint Venture, no options, warrants or other rights to purchase, agreements or other obligations to issue or other rights to convert any obligation into shares of capital stock or ownership interests in the Subsidiaries are outstanding; the Company has no “significant subsidiary,” as that term is defined in Rule 1-02(w) of Regulation S-X under the Act, other than Itron Luxembourg;</w:t>
      </w:r>
    </w:p>
    <w:p>
      <w:pPr>
        <w:spacing w:after="0" w:line="222" w:lineRule="exact"/>
        <w:rPr>
          <w:rFonts w:ascii="Arial" w:cs="Arial" w:eastAsia="Arial" w:hAnsi="Arial"/>
          <w:sz w:val="16"/>
          <w:szCs w:val="16"/>
          <w:color w:val="auto"/>
        </w:rPr>
      </w:pPr>
    </w:p>
    <w:p>
      <w:pPr>
        <w:jc w:val="both"/>
        <w:ind w:left="4" w:firstLine="1293"/>
        <w:spacing w:after="0" w:line="257" w:lineRule="auto"/>
        <w:tabs>
          <w:tab w:leader="none" w:pos="17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the Shares, when issued and delivered against payment therefor as provided herein, will be free of any restriction upon the voting or transfer thereof pursuant to the Washington Corporation Law or the Company’s charter or bylaws or any agreement or other instrument to which the Company is a party;</w:t>
      </w:r>
    </w:p>
    <w:p>
      <w:pPr>
        <w:spacing w:after="0" w:line="242" w:lineRule="exact"/>
        <w:rPr>
          <w:rFonts w:ascii="Arial" w:cs="Arial" w:eastAsia="Arial" w:hAnsi="Arial"/>
          <w:sz w:val="18"/>
          <w:szCs w:val="18"/>
          <w:color w:val="auto"/>
        </w:rPr>
      </w:pPr>
    </w:p>
    <w:p>
      <w:pPr>
        <w:jc w:val="both"/>
        <w:ind w:left="4" w:firstLine="1293"/>
        <w:spacing w:after="0" w:line="264" w:lineRule="auto"/>
        <w:tabs>
          <w:tab w:leader="none" w:pos="168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capital stock of the Company, including the Shares, conforms in all material respects to each description thereof, if any, contained or incorporated by reference in the Registration Statement, the Prospectus and the Permitted Free Writing Prospectuses, if any; and the certificates for the Shares are in due and proper form;</w:t>
      </w:r>
    </w:p>
    <w:p>
      <w:pPr>
        <w:spacing w:after="0" w:line="235" w:lineRule="exact"/>
        <w:rPr>
          <w:rFonts w:ascii="Arial" w:cs="Arial" w:eastAsia="Arial" w:hAnsi="Arial"/>
          <w:sz w:val="18"/>
          <w:szCs w:val="18"/>
          <w:color w:val="auto"/>
        </w:rPr>
      </w:pPr>
    </w:p>
    <w:p>
      <w:pPr>
        <w:ind w:left="1684" w:hanging="387"/>
        <w:spacing w:after="0"/>
        <w:tabs>
          <w:tab w:leader="none" w:pos="168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79" w:lineRule="exact"/>
        <w:rPr>
          <w:rFonts w:ascii="Arial" w:cs="Arial" w:eastAsia="Arial" w:hAnsi="Arial"/>
          <w:sz w:val="18"/>
          <w:szCs w:val="18"/>
          <w:color w:val="auto"/>
        </w:rPr>
      </w:pPr>
    </w:p>
    <w:p>
      <w:pPr>
        <w:ind w:left="4" w:right="20" w:firstLine="1293"/>
        <w:spacing w:after="0" w:line="277" w:lineRule="auto"/>
        <w:tabs>
          <w:tab w:leader="none" w:pos="17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Rights Agreement has been duly authorized, executed and delivered by the Company; the Rights have been duly authorized by the Company and validly issued;</w:t>
      </w:r>
    </w:p>
    <w:p>
      <w:pPr>
        <w:spacing w:after="0" w:line="224" w:lineRule="exact"/>
        <w:rPr>
          <w:rFonts w:ascii="Arial" w:cs="Arial" w:eastAsia="Arial" w:hAnsi="Arial"/>
          <w:sz w:val="18"/>
          <w:szCs w:val="18"/>
          <w:color w:val="auto"/>
        </w:rPr>
      </w:pPr>
    </w:p>
    <w:p>
      <w:pPr>
        <w:jc w:val="both"/>
        <w:ind w:left="4" w:firstLine="1293"/>
        <w:spacing w:after="0" w:line="288" w:lineRule="auto"/>
        <w:tabs>
          <w:tab w:leader="none" w:pos="1686" w:val="left"/>
        </w:tabs>
        <w:numPr>
          <w:ilvl w:val="1"/>
          <w:numId w:val="7"/>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w:t>
      </w:r>
    </w:p>
    <w:p>
      <w:pPr>
        <w:jc w:val="both"/>
        <w:ind w:left="4" w:hanging="4"/>
        <w:spacing w:after="0" w:line="281" w:lineRule="auto"/>
        <w:tabs>
          <w:tab w:leader="none" w:pos="317" w:val="left"/>
        </w:tabs>
        <w:numPr>
          <w:ilvl w:val="0"/>
          <w:numId w:val="8"/>
        </w:numPr>
        <w:rPr>
          <w:rFonts w:ascii="Arial" w:cs="Arial" w:eastAsia="Arial" w:hAnsi="Arial"/>
          <w:sz w:val="16"/>
          <w:szCs w:val="16"/>
          <w:color w:val="auto"/>
        </w:rPr>
      </w:pPr>
      <w:r>
        <w:rPr>
          <w:rFonts w:ascii="Arial" w:cs="Arial" w:eastAsia="Arial" w:hAnsi="Arial"/>
          <w:sz w:val="16"/>
          <w:szCs w:val="16"/>
          <w:color w:val="auto"/>
        </w:rPr>
        <w:t>its charter or bylaws, or (B) any indenture, mortgage, deed of trust, bank loan or credit agreement or other evidence of indebtedness, or any license, lease, contract or other agreement or instrument to which it is a party or by which it or any of its properties may be bound or affected, or</w:t>
      </w:r>
    </w:p>
    <w:p>
      <w:pPr>
        <w:spacing w:after="0" w:line="1" w:lineRule="exact"/>
        <w:rPr>
          <w:rFonts w:ascii="Arial" w:cs="Arial" w:eastAsia="Arial" w:hAnsi="Arial"/>
          <w:sz w:val="16"/>
          <w:szCs w:val="16"/>
          <w:color w:val="auto"/>
        </w:rPr>
      </w:pPr>
    </w:p>
    <w:p>
      <w:pPr>
        <w:jc w:val="both"/>
        <w:ind w:left="4" w:hanging="4"/>
        <w:spacing w:after="0" w:line="254"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federal, state, local or foreign law, regulation or rule, or (D) any rule or regulation of any self-regulatory organization or other non-governmental regulatory authority (including, without limitation, the rules and regulations of NASDAQ), or (E) any decree, judgment or order applicable to it or any of its properties; except, in the cases of clause (B), (C) and (D), where such occurrence would not, individually or in the aggregate, have a Material Adverse Effect;</w:t>
      </w:r>
    </w:p>
    <w:p>
      <w:pPr>
        <w:spacing w:after="0" w:line="216" w:lineRule="exact"/>
        <w:rPr>
          <w:rFonts w:ascii="Arial" w:cs="Arial" w:eastAsia="Arial" w:hAnsi="Arial"/>
          <w:sz w:val="18"/>
          <w:szCs w:val="18"/>
          <w:color w:val="auto"/>
        </w:rPr>
      </w:pPr>
    </w:p>
    <w:p>
      <w:pPr>
        <w:ind w:left="4964" w:hanging="108"/>
        <w:spacing w:after="0"/>
        <w:tabs>
          <w:tab w:leader="none" w:pos="4964" w:val="left"/>
        </w:tabs>
        <w:numPr>
          <w:ilvl w:val="2"/>
          <w:numId w:val="9"/>
        </w:numPr>
        <w:rPr>
          <w:rFonts w:ascii="Arial" w:cs="Arial" w:eastAsia="Arial" w:hAnsi="Arial"/>
          <w:sz w:val="18"/>
          <w:szCs w:val="18"/>
          <w:color w:val="auto"/>
        </w:rPr>
      </w:pPr>
      <w:r>
        <w:rPr>
          <w:rFonts w:ascii="Arial" w:cs="Arial" w:eastAsia="Arial" w:hAnsi="Arial"/>
          <w:sz w:val="18"/>
          <w:szCs w:val="18"/>
          <w:color w:val="auto"/>
        </w:rPr>
        <w:t>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11" w:name="page12"/>
    <w:bookmarkEnd w:id="11"/>
    <w:p>
      <w:pPr>
        <w:jc w:val="both"/>
        <w:ind w:left="4" w:firstLine="1293"/>
        <w:spacing w:after="0" w:line="285" w:lineRule="auto"/>
        <w:tabs>
          <w:tab w:leader="none" w:pos="1776"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w:t>
      </w:r>
    </w:p>
    <w:p>
      <w:pPr>
        <w:spacing w:after="0" w:line="2" w:lineRule="exact"/>
        <w:rPr>
          <w:rFonts w:ascii="Arial" w:cs="Arial" w:eastAsia="Arial" w:hAnsi="Arial"/>
          <w:sz w:val="16"/>
          <w:szCs w:val="16"/>
          <w:color w:val="auto"/>
        </w:rPr>
      </w:pPr>
    </w:p>
    <w:p>
      <w:pPr>
        <w:jc w:val="both"/>
        <w:ind w:left="4" w:hanging="4"/>
        <w:spacing w:after="0" w:line="252" w:lineRule="auto"/>
        <w:tabs>
          <w:tab w:leader="none" w:pos="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charter or bylaws of the Company or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may be bound or affected, or (C) any federal, state, local or foreign law, regulation or rule, or (D) any rule or regulation of any self-regulatory organization or other non-governmental regulatory authority (including, without limitation, the rules and regulations of NASDAQ, or (E) any decree, judgment or order applicable to the Company or any of the Subsidiaries or any of their respective properties; except, in the cases of clause (B), (C) and (D), where such occurrence would not, individually or in the aggregate, have a Material Adverse Effect;</w:t>
      </w:r>
    </w:p>
    <w:p>
      <w:pPr>
        <w:spacing w:after="0" w:line="247" w:lineRule="exact"/>
        <w:rPr>
          <w:rFonts w:ascii="Arial" w:cs="Arial" w:eastAsia="Arial" w:hAnsi="Arial"/>
          <w:sz w:val="18"/>
          <w:szCs w:val="18"/>
          <w:color w:val="auto"/>
        </w:rPr>
      </w:pPr>
    </w:p>
    <w:p>
      <w:pPr>
        <w:jc w:val="both"/>
        <w:ind w:left="4" w:firstLine="1293"/>
        <w:spacing w:after="0" w:line="255" w:lineRule="auto"/>
        <w:tabs>
          <w:tab w:leader="none" w:pos="17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NASDAQ, or approval of the shareholders of the Company, is required in connection with the issuance and sale of the Shares and the related Rights or the consummation by the Company of the transactions contemplated hereby, other than (i) registration of the Shares and the Rights under the Act, which has been effected, (ii) any necessary qualification under the securities or blue sky laws of the various jurisdictions in which the Shares are being offered by the Underwriters or (iii) under the Conduct Rules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jc w:val="both"/>
        <w:ind w:left="4" w:firstLine="1293"/>
        <w:spacing w:after="0" w:line="254" w:lineRule="auto"/>
        <w:tabs>
          <w:tab w:leader="none" w:pos="17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(excluding the exhibits thereto) and the Prospectus, (i) no person has the right, contractual or otherwise, to cause the Company to issue or sell to it any shares of Common Stock or shares of any other capital stock or other equity interests of the Company, (ii) no person has any preemptive rights, resale rights, rights of first refusal or other rights to purchase any shares of Common Stock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Act any shares of Common Stock or shares of any other capital stock of or other equity interests or securities in the Company, or to include any such shares or interests or securities in the Registration Statement or the offering contemplated thereby;</w:t>
      </w:r>
    </w:p>
    <w:p>
      <w:pPr>
        <w:spacing w:after="0" w:line="246" w:lineRule="exact"/>
        <w:rPr>
          <w:rFonts w:ascii="Arial" w:cs="Arial" w:eastAsia="Arial" w:hAnsi="Arial"/>
          <w:sz w:val="18"/>
          <w:szCs w:val="18"/>
          <w:color w:val="auto"/>
        </w:rPr>
      </w:pPr>
    </w:p>
    <w:p>
      <w:pPr>
        <w:jc w:val="both"/>
        <w:ind w:left="4" w:firstLine="1293"/>
        <w:spacing w:after="0" w:line="254" w:lineRule="auto"/>
        <w:tabs>
          <w:tab w:leader="none" w:pos="17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the Company and the Subsidiaries has all necessary licenses, authorizations, consents and approvals and has made all necessary filings required under any applicable law, regulation or rule, and has obtained all necessary licenses, authorizations, consents and approvals from other persons, in order to conduct their respective businesses, except where the failure to have or obtain such licenses, authorizations, consents and approvals would not, individually or in the aggregate, have a Material Adverse Effect; neither the Company nor any of the Subsidiaries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of the Subsidiaries, except where such violation, default, revocation or modification would not, individually or in the aggregate, have a Material Adverse Effect;</w:t>
      </w:r>
    </w:p>
    <w:p>
      <w:pPr>
        <w:spacing w:after="0" w:line="246" w:lineRule="exact"/>
        <w:rPr>
          <w:rFonts w:ascii="Arial" w:cs="Arial" w:eastAsia="Arial" w:hAnsi="Arial"/>
          <w:sz w:val="18"/>
          <w:szCs w:val="18"/>
          <w:color w:val="auto"/>
        </w:rPr>
      </w:pPr>
    </w:p>
    <w:p>
      <w:pPr>
        <w:jc w:val="both"/>
        <w:ind w:left="4" w:firstLine="1293"/>
        <w:spacing w:after="0" w:line="273" w:lineRule="auto"/>
        <w:tabs>
          <w:tab w:leader="none" w:pos="1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there are no actions, suits, claims, investigations or proceedings pending or, to the Company’s knowledge, threatened or contemplated to which the Company or any of the Subsidiaries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(including, without limitation, NASDAQ), except any such action, suit, claim, investigation or proceeding which, if resolved adversely to the Company or any Subsidiary, would not, individually or in the aggregate, have a Material Adverse Effect;</w:t>
      </w:r>
    </w:p>
    <w:p>
      <w:pPr>
        <w:spacing w:after="0" w:line="232" w:lineRule="exact"/>
        <w:rPr>
          <w:rFonts w:ascii="Arial" w:cs="Arial" w:eastAsia="Arial" w:hAnsi="Arial"/>
          <w:sz w:val="17"/>
          <w:szCs w:val="17"/>
          <w:color w:val="auto"/>
        </w:rPr>
      </w:pPr>
    </w:p>
    <w:p>
      <w:pPr>
        <w:jc w:val="both"/>
        <w:ind w:left="4" w:firstLine="1293"/>
        <w:spacing w:after="0" w:line="259" w:lineRule="auto"/>
        <w:tabs>
          <w:tab w:leader="none" w:pos="17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Deloitte &amp; Touche LLP and Ernst &amp; Young LLP, each of whose report on the consolidated financial statements of the Company and the Subsidiaries is included or incorporated by reference in the Registration Statement and the Prospectus, are each an independent public accounting firm as required by the Act and by the rules of the Public Company Accounting Oversight Board and to the best of our knowledge are each registered as such;</w:t>
      </w:r>
    </w:p>
    <w:p>
      <w:pPr>
        <w:spacing w:after="0" w:line="213" w:lineRule="exact"/>
        <w:rPr>
          <w:rFonts w:ascii="Arial" w:cs="Arial" w:eastAsia="Arial" w:hAnsi="Arial"/>
          <w:sz w:val="18"/>
          <w:szCs w:val="18"/>
          <w:color w:val="auto"/>
        </w:rPr>
      </w:pPr>
    </w:p>
    <w:p>
      <w:pPr>
        <w:ind w:left="4964" w:hanging="108"/>
        <w:spacing w:after="0"/>
        <w:tabs>
          <w:tab w:leader="none" w:pos="4964" w:val="left"/>
        </w:tabs>
        <w:numPr>
          <w:ilvl w:val="2"/>
          <w:numId w:val="11"/>
        </w:numPr>
        <w:rPr>
          <w:rFonts w:ascii="Arial" w:cs="Arial" w:eastAsia="Arial" w:hAnsi="Arial"/>
          <w:sz w:val="18"/>
          <w:szCs w:val="18"/>
          <w:color w:val="auto"/>
        </w:rPr>
      </w:pPr>
      <w:r>
        <w:rPr>
          <w:rFonts w:ascii="Arial" w:cs="Arial" w:eastAsia="Arial" w:hAnsi="Arial"/>
          <w:sz w:val="18"/>
          <w:szCs w:val="18"/>
          <w:color w:val="auto"/>
        </w:rPr>
        <w:t>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12" w:name="page13"/>
    <w:bookmarkEnd w:id="12"/>
    <w:p>
      <w:pPr>
        <w:jc w:val="both"/>
        <w:ind w:left="-540" w:firstLine="1293"/>
        <w:spacing w:after="0" w:line="286" w:lineRule="auto"/>
        <w:tabs>
          <w:tab w:leader="none" w:pos="11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Prospectus and the Permitted Free Writing Prospectuses, if any, together with the related notes and schedules, present fairly the consolidated financial position of the Company and the Subsidiaries as of the dates indicated and the consolidated results of operations, cash flows and changes in shareholders’ equity of the Company for the periods specified have been prepared in compliance with the requirements of the Act and Exchange Act and in conformity with U.S. generally accepted accounting principles applied on a consistent basis during the periods involved; the other financial and statistical data contained or incorporated by reference in the Registration Statement, the Prospectus and the Permitted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Permitted Free Writing Prospectuses, if any, regarding “non-GAAP financial measures” (as such term is defined by the rules and regulations of the Commission) comply with Regulation G of the Exchange Act and Item 10 of Regulation S-K under the Act, to the extent applicable;</w:t>
      </w:r>
    </w:p>
    <w:p>
      <w:pPr>
        <w:spacing w:after="0" w:line="228" w:lineRule="exact"/>
        <w:rPr>
          <w:rFonts w:ascii="Arial" w:cs="Arial" w:eastAsia="Arial" w:hAnsi="Arial"/>
          <w:sz w:val="16"/>
          <w:szCs w:val="16"/>
          <w:color w:val="auto"/>
        </w:rPr>
      </w:pPr>
    </w:p>
    <w:p>
      <w:pPr>
        <w:jc w:val="both"/>
        <w:ind w:left="-540" w:firstLine="1293"/>
        <w:spacing w:after="0" w:line="288" w:lineRule="auto"/>
        <w:tabs>
          <w:tab w:leader="none" w:pos="11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the Prospectus and the Permitted Free Writing Prospectuses, if any, in each case excluding any amendments or supplements to the foregoing made after the execution of this Agreement, there has not been (i) any material adverse change, or any development involving a prospective material adverse change, in the business, properties, management, financial condition or results of operations of the Company and the Subsidiaries taken as a whole,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change in the capital stock of the Company, except for the issuance of stock pursuant to the exercise of stock options outstanding, or pursuant to the stock option plans of the Company in effect, in each case, as of the dates as of which information is given in the Registration Statement and the Prospectus and disclosed therein in the section entitled “Capitalization,” or outstanding indebtedness of the Company or any Subsidiaries or (v) any dividend or distribution of any kind declared, paid or made on the capital stock of the Company or any Subsidiary;</w:t>
      </w:r>
    </w:p>
    <w:p>
      <w:pPr>
        <w:spacing w:after="0" w:line="223" w:lineRule="exact"/>
        <w:rPr>
          <w:rFonts w:ascii="Arial" w:cs="Arial" w:eastAsia="Arial" w:hAnsi="Arial"/>
          <w:sz w:val="16"/>
          <w:szCs w:val="16"/>
          <w:color w:val="auto"/>
        </w:rPr>
      </w:pPr>
    </w:p>
    <w:p>
      <w:pPr>
        <w:jc w:val="both"/>
        <w:ind w:left="-540" w:firstLine="1293"/>
        <w:spacing w:after="0" w:line="264"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Company has obtained for the benefit of the Underwriters the agreement,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its directors and “officers” (within the meaning of Rule 16a-1(f) under the Exchange Act) (each a “</w:t>
      </w:r>
      <w:r>
        <w:rPr>
          <w:rFonts w:ascii="Arial" w:cs="Arial" w:eastAsia="Arial" w:hAnsi="Arial"/>
          <w:sz w:val="18"/>
          <w:szCs w:val="18"/>
          <w:u w:val="single" w:color="auto"/>
          <w:color w:val="auto"/>
        </w:rPr>
        <w:t>Lock-Up Agreement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left="-540" w:firstLine="1293"/>
        <w:spacing w:after="0" w:line="257" w:lineRule="auto"/>
        <w:tabs>
          <w:tab w:leader="none" w:pos="1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Subsidiary is, and at no time during which a prospectus is required by the Act to be delivered (whether physically or through compliance with Rule 172 under the Act or any similar rule) in connection with any sale of Shares will either of them be, and, after giving effect to the offering and sale of the Shares and the application of the proceeds thereof, neither of them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540" w:firstLine="1293"/>
        <w:spacing w:after="0" w:line="264" w:lineRule="auto"/>
        <w:tabs>
          <w:tab w:leader="none" w:pos="1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Subsidiary is and, after giving effect to the offering and sale of the Shares, neither will be a “holding company” or a “subsidiary company” of a “holding company” or an “affiliate” of a “holding company” or of a “subsidiary company,” as such terms are defined in the Public Utility Holding Company Act of 1935, as amended;</w:t>
      </w:r>
    </w:p>
    <w:p>
      <w:pPr>
        <w:spacing w:after="0" w:line="235" w:lineRule="exact"/>
        <w:rPr>
          <w:rFonts w:ascii="Arial" w:cs="Arial" w:eastAsia="Arial" w:hAnsi="Arial"/>
          <w:sz w:val="18"/>
          <w:szCs w:val="18"/>
          <w:color w:val="auto"/>
        </w:rPr>
      </w:pPr>
    </w:p>
    <w:p>
      <w:pPr>
        <w:jc w:val="both"/>
        <w:ind w:left="-540" w:firstLine="1293"/>
        <w:spacing w:after="0" w:line="255" w:lineRule="auto"/>
        <w:tabs>
          <w:tab w:leader="none" w:pos="1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each of the Subsidiaries have good and marketable title to all property (real and personal) described in the Registration Statement, the Prospectus and the Permitted Free Writing Prospectuses, if any, as being owned by any of them, free and clear of all liens, claims, security interests or other encumbrances, except such as are described in the Registration Statement, the Prospectus and the Permitted Free Writing Prospectuses, if any, or such as do not materially affect the value of such property and do not materially interfere with the use made and proposed to be made of such property by the Company and its Subsidiaries; all the property described in the Registration Statement, the Prospectus and the Permitted Free Writing Prospectuses, if any, as being held under lease by the Company or a Subsidiary is held thereby under valid, subsisting and enforceable leases;</w:t>
      </w:r>
    </w:p>
    <w:p>
      <w:pPr>
        <w:spacing w:after="0" w:line="216" w:lineRule="exact"/>
        <w:rPr>
          <w:rFonts w:ascii="Arial" w:cs="Arial" w:eastAsia="Arial" w:hAnsi="Arial"/>
          <w:sz w:val="18"/>
          <w:szCs w:val="18"/>
          <w:color w:val="auto"/>
        </w:rPr>
      </w:pPr>
    </w:p>
    <w:p>
      <w:pPr>
        <w:ind w:left="4420" w:hanging="108"/>
        <w:spacing w:after="0"/>
        <w:tabs>
          <w:tab w:leader="none" w:pos="4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3" w:name="page14"/>
    <w:bookmarkEnd w:id="13"/>
    <w:p>
      <w:pPr>
        <w:jc w:val="both"/>
        <w:ind w:left="4" w:firstLine="1293"/>
        <w:spacing w:after="0" w:line="267" w:lineRule="auto"/>
        <w:tabs>
          <w:tab w:leader="none" w:pos="1753"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and the Subsidiaries own, or have obtained valid and enforceable licenses for, or other rights to use, the inventions, patent applications, patents, trademarks (both registered and unregistered), tradenames, service names, copyrights, trade secrets and other proprietary information described in the Registration Statement, the Prospectus and the Permitted Free Writing Prospectuses, if any, as being owned or licensed by them or which are necessary for the conduct of their respective businesses as currently conducted or as proposed to be conducted, except where the failure to own, license or have such rights would not, individually or in the aggregate, have a Material Adverse Effect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there are no third parties who have or, to the Company’s knowledge, will be able to establish rights to any Intellectual Property, except for, and to the extent of, the ownership rights of the owners of the Intellectual Property which is licensed to the Company; to the knowledge of the Company, there is no infringement by third parties of any Intellectual Property; there is no pending or, to the Company’s knowledge, threatened action, suit, proceeding or claim by others challenging the Company’s rights in or to any Intellectual Property, except as would not, individually or in the aggregate, have a Material Adverse Effect, and the Company is unaware of any facts which could form a reasonable basis for any such action, suit, proceeding or claim; there is no pending or, to the Company’s knowledge, threatened action, suit, proceeding or claim by others challenging the validity, enforceability or scope of any Intellectual Property, and the Company is unaware of any facts which could form a reasonable basis for any such action, suit, proceeding or claim; there is no pending or, to the Company’s knowledge, threatened action, suit, proceeding or claim by others that the Company or any Subsidiary infringes or otherwise violates, any patent, trademark, tradename, service name, copyright, trade secret or other proprietary rights of others, and the Company is unaware of any facts which could form a reasonable basis for any such action, suit, proceeding or claim; the Company and the Subsidiaries have complied in all material respects with the terms of each agreement pursuant to which Intellectual Property has been licensed to the Company or any Subsidiary, and all such agreements are in full force and effect; to the knowledge of the Company, there is no patent or patent application that contains claims that interfere with the issued or pending claims of any of the Intellectual Property or that challenges the validity, enforceability or scope of any of the Intellectual Property; and to the knowledge of the Company, there is no prior art that may render any patent application within the Intellectual Property unpatentable that has not been disclosed to the U.S. Patent and Trademark Office;</w:t>
      </w:r>
    </w:p>
    <w:p>
      <w:pPr>
        <w:spacing w:after="0" w:line="241" w:lineRule="exact"/>
        <w:rPr>
          <w:rFonts w:ascii="Arial" w:cs="Arial" w:eastAsia="Arial" w:hAnsi="Arial"/>
          <w:sz w:val="17"/>
          <w:szCs w:val="17"/>
          <w:color w:val="auto"/>
        </w:rPr>
      </w:pPr>
    </w:p>
    <w:p>
      <w:pPr>
        <w:jc w:val="both"/>
        <w:ind w:left="4" w:firstLine="1293"/>
        <w:spacing w:after="0" w:line="284" w:lineRule="auto"/>
        <w:tabs>
          <w:tab w:leader="none" w:pos="1716" w:val="left"/>
        </w:tabs>
        <w:numPr>
          <w:ilvl w:val="1"/>
          <w:numId w:val="13"/>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engaged in any unfair labor practice; except for matters which would not, individually or in the aggregate, have a Material Adverse Effect, (i)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(B) no strike, labor dispute, slowdown or stoppage pending or, to the Company’s knowledge, threatened against the Company or any of the Subsidiaries and (C) no union representation dispute currently existing concerning the employees of the Company or any of the Subsidiaries, (ii) to the Company’s knowledge, no union organizing activities are currently taking place concerning the employees of the Company or any of the Subsidiaries and</w:t>
      </w:r>
    </w:p>
    <w:p>
      <w:pPr>
        <w:spacing w:after="0" w:line="2" w:lineRule="exact"/>
        <w:rPr>
          <w:rFonts w:ascii="Arial" w:cs="Arial" w:eastAsia="Arial" w:hAnsi="Arial"/>
          <w:sz w:val="16"/>
          <w:szCs w:val="16"/>
          <w:color w:val="auto"/>
        </w:rPr>
      </w:pPr>
    </w:p>
    <w:p>
      <w:pPr>
        <w:jc w:val="both"/>
        <w:ind w:left="4" w:hanging="4"/>
        <w:spacing w:after="0" w:line="273"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has been no violation of any federal, state, local or foreign law relating to discrimination in the hiring, promotion or pay of employees, any applicable wage or hour laws, any provision of the Worker Adjustment and Retraining Notification Act of 1988, as amended (“</w:t>
      </w:r>
      <w:r>
        <w:rPr>
          <w:rFonts w:ascii="Arial" w:cs="Arial" w:eastAsia="Arial" w:hAnsi="Arial"/>
          <w:sz w:val="17"/>
          <w:szCs w:val="17"/>
          <w:u w:val="single" w:color="auto"/>
          <w:color w:val="auto"/>
        </w:rPr>
        <w:t>WARN Act</w:t>
      </w:r>
      <w:r>
        <w:rPr>
          <w:rFonts w:ascii="Arial" w:cs="Arial" w:eastAsia="Arial" w:hAnsi="Arial"/>
          <w:sz w:val="17"/>
          <w:szCs w:val="17"/>
          <w:color w:val="auto"/>
        </w:rPr>
        <w:t>”) or the WARN Act’s state, foreign or local equivalent, or any provision of the Employee Retirement Income Security Act of 1974 or the rules and regulations promulgated thereunder concerning the employees of the Company or any of the Subsidiaries;</w:t>
      </w:r>
    </w:p>
    <w:p>
      <w:pPr>
        <w:spacing w:after="0" w:line="230" w:lineRule="exact"/>
        <w:rPr>
          <w:rFonts w:ascii="Arial" w:cs="Arial" w:eastAsia="Arial" w:hAnsi="Arial"/>
          <w:sz w:val="17"/>
          <w:szCs w:val="17"/>
          <w:color w:val="auto"/>
        </w:rPr>
      </w:pPr>
    </w:p>
    <w:p>
      <w:pPr>
        <w:jc w:val="both"/>
        <w:ind w:left="4" w:firstLine="1293"/>
        <w:spacing w:after="0" w:line="267" w:lineRule="auto"/>
        <w:tabs>
          <w:tab w:leader="none" w:pos="181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 and the Subsidiaries and their respective properties, assets and operations are in compliance with, and the Company and each of the Subsidiaries hold all permits, authorizations and approvals required under, Environmental Laws (as defined below), except to the extent that failure to so comply or to hold such permits, authorizations or approvals would not, individually or in the aggregate, have a Material Adverse Effect or would otherwise require disclosure in the Registration Statement and the Prospectus; there are no past, present or, to the Company’s knowledge, reasonably anticipated future events, conditions, circumstances, activities, practices, actions, omissions or plans that could reasonably be expected to give rise to any material costs or liabilities to the Company or any Subsidiary under, or to interfere with or prevent compliance by the Company or any Subsidiary with, Environmental Laws; except as would not, individually or in the aggregate, have a Material Adverse Effect or would otherwise require disclosure in the Registration Statement and the Prospectus, neither the Company nor any of the Subsidiaries (i) is the subject of any investigation, (ii) has received any notice or claim, (iii) is a party to or affected by any pending or, to the Company’s knowledge, threatened action, suit or proceeding, (iv) is bound by any judgment, decree or order or (v) has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any material (including, without limitation, pollutants, contaminants, hazardous or toxic substances or wastes) that is regulated by or may give rise to liability under any Environmental Law);</w:t>
      </w:r>
    </w:p>
    <w:p>
      <w:pPr>
        <w:spacing w:after="0" w:line="246" w:lineRule="exact"/>
        <w:rPr>
          <w:rFonts w:ascii="Arial" w:cs="Arial" w:eastAsia="Arial" w:hAnsi="Arial"/>
          <w:sz w:val="17"/>
          <w:szCs w:val="17"/>
          <w:color w:val="auto"/>
        </w:rPr>
      </w:pPr>
    </w:p>
    <w:p>
      <w:pPr>
        <w:jc w:val="both"/>
        <w:ind w:left="4" w:firstLine="1293"/>
        <w:spacing w:after="0" w:line="302" w:lineRule="auto"/>
        <w:tabs>
          <w:tab w:leader="none" w:pos="1816"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 the ordinary course of their business, the Company and each of the Subsidiaries conduct periodic reviews of the effect of the Environmental Laws on their respective businesses, operations and properties, in the course of which they identify and evaluate associated costs and liabilities (including, without limitation, any capital or operating expenditures required for cleanup, closure of properties or compliance with the Environmental Laws or any permit, license or approval, any related constraints on operating activities and any potential liabilities to third parties);</w:t>
      </w:r>
    </w:p>
    <w:p>
      <w:pPr>
        <w:spacing w:after="0" w:line="181" w:lineRule="exact"/>
        <w:rPr>
          <w:rFonts w:ascii="Arial" w:cs="Arial" w:eastAsia="Arial" w:hAnsi="Arial"/>
          <w:sz w:val="16"/>
          <w:szCs w:val="16"/>
          <w:color w:val="auto"/>
        </w:rPr>
      </w:pPr>
    </w:p>
    <w:p>
      <w:pPr>
        <w:ind w:left="4964" w:hanging="108"/>
        <w:spacing w:after="0"/>
        <w:tabs>
          <w:tab w:leader="none" w:pos="4964" w:val="left"/>
        </w:tabs>
        <w:numPr>
          <w:ilvl w:val="2"/>
          <w:numId w:val="14"/>
        </w:numPr>
        <w:rPr>
          <w:rFonts w:ascii="Arial" w:cs="Arial" w:eastAsia="Arial" w:hAnsi="Arial"/>
          <w:sz w:val="18"/>
          <w:szCs w:val="18"/>
          <w:color w:val="auto"/>
        </w:rPr>
      </w:pPr>
      <w:r>
        <w:rPr>
          <w:rFonts w:ascii="Arial" w:cs="Arial" w:eastAsia="Arial" w:hAnsi="Arial"/>
          <w:sz w:val="18"/>
          <w:szCs w:val="18"/>
          <w:color w:val="auto"/>
        </w:rPr>
        <w:t>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14" w:name="page15"/>
    <w:bookmarkEnd w:id="14"/>
    <w:p>
      <w:pPr>
        <w:jc w:val="both"/>
        <w:ind w:left="-540" w:firstLine="1293"/>
        <w:spacing w:after="0" w:line="259" w:lineRule="auto"/>
        <w:tabs>
          <w:tab w:leader="none" w:pos="1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tax returns required to be filed by the Company or any of the Subsidiaries have been timely filed,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w:t>
      </w:r>
    </w:p>
    <w:p>
      <w:pPr>
        <w:spacing w:after="0" w:line="240" w:lineRule="exact"/>
        <w:rPr>
          <w:rFonts w:ascii="Arial" w:cs="Arial" w:eastAsia="Arial" w:hAnsi="Arial"/>
          <w:sz w:val="18"/>
          <w:szCs w:val="18"/>
          <w:color w:val="auto"/>
        </w:rPr>
      </w:pPr>
    </w:p>
    <w:p>
      <w:pPr>
        <w:jc w:val="both"/>
        <w:ind w:left="-540" w:firstLine="1293"/>
        <w:spacing w:after="0" w:line="276" w:lineRule="auto"/>
        <w:tabs>
          <w:tab w:leader="none" w:pos="12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each of the Subsidiaries maintain insurance covering their respective properties, operations, personnel and businesses as the Company reasonably deems adequate; such insurance insures against such losses and risks to an extent which is adequate in accordance with customary industry practice to protect the Company and the Subsidiaries and their respective businesses; all such insurance is fully in force on the date hereof and will be fully in force at the time of purchase; neither the Company nor any Subsidiary has reason to believe that it will not be able to renew any such insurance as and when such insurance expires;</w:t>
      </w:r>
    </w:p>
    <w:p>
      <w:pPr>
        <w:spacing w:after="0" w:line="226" w:lineRule="exact"/>
        <w:rPr>
          <w:rFonts w:ascii="Arial" w:cs="Arial" w:eastAsia="Arial" w:hAnsi="Arial"/>
          <w:sz w:val="17"/>
          <w:szCs w:val="17"/>
          <w:color w:val="auto"/>
        </w:rPr>
      </w:pPr>
    </w:p>
    <w:p>
      <w:pPr>
        <w:jc w:val="both"/>
        <w:ind w:left="-540" w:firstLine="1293"/>
        <w:spacing w:after="0" w:line="276" w:lineRule="auto"/>
        <w:tabs>
          <w:tab w:leader="none" w:pos="12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neither the Company nor any Subsidiary has sent or received any communication regarding termination of, or intent not to renew, any of the contracts or agreements referred to or described in the Prospectus or any Permitted Free Writing Prospectus, or referred to or described in, or filed as an exhibit to, the Registration Statement or any Incorporated Document, and no such termination or non-renewal has been threatened by the Company or any Subsidiary or, to the Company’s knowledge, any other party to any such contract or agreement, except for such terminations or non-renewals which would not, individually or in the aggregate, have a Material Adverse Effect;</w:t>
      </w:r>
    </w:p>
    <w:p>
      <w:pPr>
        <w:spacing w:after="0" w:line="226" w:lineRule="exact"/>
        <w:rPr>
          <w:rFonts w:ascii="Arial" w:cs="Arial" w:eastAsia="Arial" w:hAnsi="Arial"/>
          <w:sz w:val="17"/>
          <w:szCs w:val="17"/>
          <w:color w:val="auto"/>
        </w:rPr>
      </w:pPr>
    </w:p>
    <w:p>
      <w:pPr>
        <w:jc w:val="both"/>
        <w:ind w:left="-540" w:firstLine="1293"/>
        <w:spacing w:after="0" w:line="297" w:lineRule="auto"/>
        <w:tabs>
          <w:tab w:leader="none" w:pos="12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and each of the Subsidiaries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12" w:lineRule="exact"/>
        <w:rPr>
          <w:rFonts w:ascii="Arial" w:cs="Arial" w:eastAsia="Arial" w:hAnsi="Arial"/>
          <w:sz w:val="16"/>
          <w:szCs w:val="16"/>
          <w:color w:val="auto"/>
        </w:rPr>
      </w:pPr>
    </w:p>
    <w:p>
      <w:pPr>
        <w:jc w:val="both"/>
        <w:ind w:left="-540" w:firstLine="1293"/>
        <w:spacing w:after="0" w:line="285" w:lineRule="auto"/>
        <w:tabs>
          <w:tab w:leader="none" w:pos="127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established and maintains and evaluates “disclosure controls and procedures” (as such term is defined in Rule 13a-15 and 15d-15 under the Exchange Act) and “internal control over financial reporting” (as such term is defined in Rule 13a-15 and 15d-15 under the Exchange Act); such disclosure controls and procedures are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the Company’s independent auditors and the Audit Committee of the Board of Directors of the Company have been advised of: (i) all significant deficiencies, if any, in the design or operation of internal controls which could adversely affect the Company’s ability to record, process, summarize and report financial data; and (ii) all fraud, if any, whether or not material, that involves management or other employees who have a role in the Company’s internal controls; all material weaknesses, if any, in internal controls have been identified to the Company’s independent auditors;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the principal executive officers (or their equivalents) and principal financial officers (or their equivalents) of the Company have made all certifications required by the Sarbanes-Oxley Act of 2002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and any related rules and regulations promulgated by the Commission, and the statements contained in each such certification are complete and correct; the Company, the Subsidiaries and the Company’s directors and officers are each in compliance in all material respects with all applicable effective provisions of the Sarbanes-Oxley Act and the rules and regulations of the Commission and NASDAQ promulgated thereunder;</w:t>
      </w:r>
    </w:p>
    <w:p>
      <w:pPr>
        <w:spacing w:after="0" w:line="231" w:lineRule="exact"/>
        <w:rPr>
          <w:rFonts w:ascii="Arial" w:cs="Arial" w:eastAsia="Arial" w:hAnsi="Arial"/>
          <w:sz w:val="16"/>
          <w:szCs w:val="16"/>
          <w:color w:val="auto"/>
        </w:rPr>
      </w:pPr>
    </w:p>
    <w:p>
      <w:pPr>
        <w:jc w:val="both"/>
        <w:ind w:left="-540" w:firstLine="1293"/>
        <w:spacing w:after="0" w:line="264" w:lineRule="auto"/>
        <w:tabs>
          <w:tab w:leader="none" w:pos="12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“forward-looking statement” (within the meaning of Section 27A of the Act or Section 21E of the Exchange Act) contained or incorporated by reference in the Registration Statement, the Prospectus and the Permitted Free Writing Prospectuses, if any, has been made or reaffirmed with a reasonable basis and in good faith;</w:t>
      </w:r>
    </w:p>
    <w:p>
      <w:pPr>
        <w:spacing w:after="0" w:line="235" w:lineRule="exact"/>
        <w:rPr>
          <w:rFonts w:ascii="Arial" w:cs="Arial" w:eastAsia="Arial" w:hAnsi="Arial"/>
          <w:sz w:val="18"/>
          <w:szCs w:val="18"/>
          <w:color w:val="auto"/>
        </w:rPr>
      </w:pPr>
    </w:p>
    <w:p>
      <w:pPr>
        <w:jc w:val="both"/>
        <w:ind w:left="-540" w:firstLine="1293"/>
        <w:spacing w:after="0" w:line="286" w:lineRule="auto"/>
        <w:tabs>
          <w:tab w:leader="none" w:pos="119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statistical or market-related data included or incorporated by reference in the Registration Statement, the Prospectus and the Permitted Free Writing Prospectuses, if any, are based on or derived from sources that the Company reasonably believes to be reliable and accurate, and the Company has obtained the written consent to the use of such data from such sources to the extent required;</w:t>
      </w:r>
    </w:p>
    <w:p>
      <w:pPr>
        <w:spacing w:after="0" w:line="192" w:lineRule="exact"/>
        <w:rPr>
          <w:rFonts w:ascii="Arial" w:cs="Arial" w:eastAsia="Arial" w:hAnsi="Arial"/>
          <w:sz w:val="17"/>
          <w:szCs w:val="17"/>
          <w:color w:val="auto"/>
        </w:rPr>
      </w:pPr>
    </w:p>
    <w:p>
      <w:pPr>
        <w:ind w:left="4420" w:hanging="108"/>
        <w:spacing w:after="0"/>
        <w:tabs>
          <w:tab w:leader="none" w:pos="4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5" w:name="page16"/>
    <w:bookmarkEnd w:id="15"/>
    <w:p>
      <w:pPr>
        <w:jc w:val="both"/>
        <w:ind w:left="-540" w:firstLine="1293"/>
        <w:spacing w:after="0" w:line="25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nor any of the Subsidiaries nor, to the knowledge of the Company, any director, officer, agent, employee or affiliate of the Company or any of the Subsidiaries is aware of or has taken any action, directly or indirectly, that would result in a violation by such persons of the Foreign Corrupt Practices Act of 1977, as amended, and the rules and regulations thereunder; and the Company, the Subsidiaries and, to the knowledge of the Company, its affiliates have instituted and maintain policies and procedures designed to ensure continued compliance therewith;</w:t>
      </w:r>
    </w:p>
    <w:p>
      <w:pPr>
        <w:spacing w:after="0" w:line="242" w:lineRule="exact"/>
        <w:rPr>
          <w:rFonts w:ascii="Arial" w:cs="Arial" w:eastAsia="Arial" w:hAnsi="Arial"/>
          <w:sz w:val="18"/>
          <w:szCs w:val="18"/>
          <w:color w:val="auto"/>
        </w:rPr>
      </w:pPr>
    </w:p>
    <w:p>
      <w:pPr>
        <w:jc w:val="both"/>
        <w:ind w:left="-540" w:firstLine="1293"/>
        <w:spacing w:after="0" w:line="273" w:lineRule="auto"/>
        <w:tabs>
          <w:tab w:leader="none" w:pos="12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operations of the Company and the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232" w:lineRule="exact"/>
        <w:rPr>
          <w:rFonts w:ascii="Arial" w:cs="Arial" w:eastAsia="Arial" w:hAnsi="Arial"/>
          <w:sz w:val="17"/>
          <w:szCs w:val="17"/>
          <w:color w:val="auto"/>
        </w:rPr>
      </w:pPr>
    </w:p>
    <w:p>
      <w:pPr>
        <w:jc w:val="both"/>
        <w:ind w:left="-540" w:firstLine="1293"/>
        <w:spacing w:after="0" w:line="276"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neither the Company nor any of the Subsidiaries nor, to the knowledge of the Company, any director, officer, agent, employee or affiliate of the Company or any of the Subsidiaries is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and the Company will not directly or indirectly use the proceeds of the offering of the Shares contemplated hereby,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226" w:lineRule="exact"/>
        <w:rPr>
          <w:rFonts w:ascii="Arial" w:cs="Arial" w:eastAsia="Arial" w:hAnsi="Arial"/>
          <w:sz w:val="17"/>
          <w:szCs w:val="17"/>
          <w:color w:val="auto"/>
        </w:rPr>
      </w:pPr>
    </w:p>
    <w:p>
      <w:pPr>
        <w:jc w:val="both"/>
        <w:ind w:left="-540" w:firstLine="1293"/>
        <w:spacing w:after="0" w:line="259" w:lineRule="auto"/>
        <w:tabs>
          <w:tab w:leader="none" w:pos="13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(excluding the exhibits thereto) and the Prospectus;</w:t>
      </w:r>
    </w:p>
    <w:p>
      <w:pPr>
        <w:spacing w:after="0" w:line="240" w:lineRule="exact"/>
        <w:rPr>
          <w:rFonts w:ascii="Arial" w:cs="Arial" w:eastAsia="Arial" w:hAnsi="Arial"/>
          <w:sz w:val="18"/>
          <w:szCs w:val="18"/>
          <w:color w:val="auto"/>
        </w:rPr>
      </w:pPr>
    </w:p>
    <w:p>
      <w:pPr>
        <w:jc w:val="both"/>
        <w:ind w:left="-540" w:firstLine="1293"/>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235" w:lineRule="exact"/>
        <w:rPr>
          <w:rFonts w:ascii="Arial" w:cs="Arial" w:eastAsia="Arial" w:hAnsi="Arial"/>
          <w:sz w:val="18"/>
          <w:szCs w:val="18"/>
          <w:color w:val="auto"/>
        </w:rPr>
      </w:pPr>
    </w:p>
    <w:p>
      <w:pPr>
        <w:ind w:left="1260" w:hanging="507"/>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not received any notice from NASDAQ regarding the delisting of the Common Stock from NASDAQ;</w:t>
      </w:r>
    </w:p>
    <w:p>
      <w:pPr>
        <w:spacing w:after="0" w:line="290" w:lineRule="exact"/>
        <w:rPr>
          <w:rFonts w:ascii="Arial" w:cs="Arial" w:eastAsia="Arial" w:hAnsi="Arial"/>
          <w:sz w:val="17"/>
          <w:szCs w:val="17"/>
          <w:color w:val="auto"/>
        </w:rPr>
      </w:pPr>
    </w:p>
    <w:p>
      <w:pPr>
        <w:jc w:val="both"/>
        <w:ind w:left="-540" w:firstLine="1293"/>
        <w:spacing w:after="0" w:line="264" w:lineRule="auto"/>
        <w:tabs>
          <w:tab w:leader="none" w:pos="12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235" w:lineRule="exact"/>
        <w:rPr>
          <w:rFonts w:ascii="Arial" w:cs="Arial" w:eastAsia="Arial" w:hAnsi="Arial"/>
          <w:sz w:val="18"/>
          <w:szCs w:val="18"/>
          <w:color w:val="auto"/>
        </w:rPr>
      </w:pPr>
    </w:p>
    <w:p>
      <w:pPr>
        <w:jc w:val="both"/>
        <w:ind w:left="-540" w:firstLine="1293"/>
        <w:spacing w:after="0" w:line="259" w:lineRule="auto"/>
        <w:tabs>
          <w:tab w:leader="none" w:pos="12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nor any of the Subsidiaries nor any of their respective directors, officers or, to the knowledge of the Company, any of their affiliates or controlling persons has taken, directly or indirectly, any action designed, or which has constituted or might reasonably be expected to cause or result in the stabilization or manipulation of the price of any security of the Company to facilitate the sale or resale of the Shares;</w:t>
      </w:r>
    </w:p>
    <w:p>
      <w:pPr>
        <w:spacing w:after="0" w:line="240" w:lineRule="exact"/>
        <w:rPr>
          <w:rFonts w:ascii="Arial" w:cs="Arial" w:eastAsia="Arial" w:hAnsi="Arial"/>
          <w:sz w:val="18"/>
          <w:szCs w:val="18"/>
          <w:color w:val="auto"/>
        </w:rPr>
      </w:pPr>
    </w:p>
    <w:p>
      <w:pPr>
        <w:jc w:val="both"/>
        <w:ind w:left="-540" w:firstLine="1293"/>
        <w:spacing w:after="0" w:line="279" w:lineRule="auto"/>
        <w:tabs>
          <w:tab w:leader="none" w:pos="123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(excluding the exhibits thereto) and the Prospectus; and</w:t>
      </w:r>
    </w:p>
    <w:p>
      <w:pPr>
        <w:spacing w:after="0" w:line="198" w:lineRule="exact"/>
        <w:rPr>
          <w:rFonts w:ascii="Arial" w:cs="Arial" w:eastAsia="Arial" w:hAnsi="Arial"/>
          <w:sz w:val="17"/>
          <w:szCs w:val="17"/>
          <w:color w:val="auto"/>
        </w:rPr>
      </w:pPr>
    </w:p>
    <w:p>
      <w:pPr>
        <w:ind w:left="4420" w:hanging="108"/>
        <w:spacing w:after="0"/>
        <w:tabs>
          <w:tab w:leader="none" w:pos="4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6" w:name="page17"/>
    <w:bookmarkEnd w:id="16"/>
    <w:p>
      <w:pPr>
        <w:jc w:val="both"/>
        <w:ind w:left="660" w:firstLine="1293"/>
        <w:spacing w:after="0" w:line="253" w:lineRule="auto"/>
        <w:tabs>
          <w:tab w:leader="none" w:pos="24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statements in the Prospectus Supplement under the heading “United States Federal Income Tax Consequences to Non-U.S. Holders,” in the Company’s Form 8-A registration statement for the Common Stock filed on September 18, 1993 and in the Company’s Form 8-A registration statement for the Rights filed on December 16, 2002, in the Company’s Annual Report on Form 10-K for the year ended December 31, 2008 under Part I—Item I—“Business—Other Business Considerations,” under Part I—Item 1A—“Risk Factors—Changes in environmental regulations, violations of the regulations or future environmental liabilities could cause us to incur significant costs and adversely affect our operations,” and under Part I—Item 3—“Legal Proceedings,” and in the Company’s Quarterly Report on Form 10-Q for the quarter ended March 31, 2009 under Part II—Item I—“Legal Proceedings,” in each case insofar as such statements constitute summaries of documents or legal proceedings or refer to matters of law or legal conclusions, are accurate and complete in all material respects and present fairly the information purported to be shown.</w:t>
      </w:r>
    </w:p>
    <w:p>
      <w:pPr>
        <w:spacing w:after="0" w:line="2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addition, any certificate signed by any officer of the Company or any of the Subsidiaries and delivered to the Underwriters or counsel for the Underwriters in connection with the offering of the Shares shall be deemed to be a representation and warranty by the Company, as to matters covered thereby, to each Underwriter.</w:t>
      </w:r>
    </w:p>
    <w:p>
      <w:pPr>
        <w:spacing w:after="0" w:line="235"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w:t>
      </w:r>
      <w:r>
        <w:rPr>
          <w:rFonts w:ascii="Arial" w:cs="Arial" w:eastAsia="Arial" w:hAnsi="Arial"/>
          <w:sz w:val="18"/>
          <w:szCs w:val="18"/>
          <w:color w:val="auto"/>
        </w:rPr>
        <w:t>. The Company hereby agrees:</w:t>
      </w:r>
    </w:p>
    <w:p>
      <w:pPr>
        <w:spacing w:after="0" w:line="279" w:lineRule="exact"/>
        <w:rPr>
          <w:rFonts w:ascii="Arial" w:cs="Arial" w:eastAsia="Arial" w:hAnsi="Arial"/>
          <w:sz w:val="18"/>
          <w:szCs w:val="18"/>
          <w:color w:val="auto"/>
        </w:rPr>
      </w:pPr>
    </w:p>
    <w:p>
      <w:pPr>
        <w:jc w:val="both"/>
        <w:ind w:left="660" w:firstLine="1293"/>
        <w:spacing w:after="0" w:line="255" w:lineRule="auto"/>
        <w:tabs>
          <w:tab w:leader="none" w:pos="23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to furnish such information as may be required and otherwise to cooperate in qualifying the Shares and the Rights for offering and sale under the securities or blue sky laws of such states or other jurisdictions as the Underwriters may designate and to maintain such qualifications in effect so long as the Underwriters may request for the distribution of the Shares and the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as a foreign corporation or to consent to the service of process under the laws of any such jurisdiction (except service of process with respect to the offering and sale of the Shares); and to promptly advise the Underwriters of the receipt by the Company of any notification with respect to the suspension of the qualification of the Shares for offer or sale in any jurisdiction or the initiation or threatening of any proceeding for such purpose;</w:t>
      </w:r>
    </w:p>
    <w:p>
      <w:pPr>
        <w:spacing w:after="0" w:line="243" w:lineRule="exact"/>
        <w:rPr>
          <w:rFonts w:ascii="Arial" w:cs="Arial" w:eastAsia="Arial" w:hAnsi="Arial"/>
          <w:sz w:val="18"/>
          <w:szCs w:val="18"/>
          <w:color w:val="auto"/>
        </w:rPr>
      </w:pPr>
    </w:p>
    <w:p>
      <w:pPr>
        <w:jc w:val="both"/>
        <w:ind w:left="660" w:firstLine="1293"/>
        <w:spacing w:after="0" w:line="270" w:lineRule="auto"/>
        <w:tabs>
          <w:tab w:leader="none" w:pos="238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make available to the Underwriters in New York City, as soon as practicable after this Agreement becomes effective, and thereafter from time to time to furnish to the Underwriters, as many copies of the Prospectus (or of the Prospectus as amended or supplemented if the Company shall have made any amendments or supplements thereto after the Effective Time) as the Underwriters may reasonably request for the purposes contemplated by the Act; in case any Underwriter is required to deliver (whether physically or through compliance with Rule 172 under the Act or any similar rule), in connection with the sale of the Shares, a prospectus after the nine-month period referred to in Section 10(a)(3) of the Act, or after the time a post-effective amendment to the Registration Statement is required pursuant to Item 512(a) of Regulation S-K under the Act, the Company will prepare, at its expense, promptly upon request such amendment or amendments to the Registration Statement and the Prospectus as may be necessary to permit compliance with the requirements of Section 10(a)(3) of the Act or Item 512(a) of Regulation S-K under the Act, as the case may be;</w:t>
      </w:r>
    </w:p>
    <w:p>
      <w:pPr>
        <w:spacing w:after="0" w:line="235" w:lineRule="exact"/>
        <w:rPr>
          <w:rFonts w:ascii="Arial" w:cs="Arial" w:eastAsia="Arial" w:hAnsi="Arial"/>
          <w:sz w:val="17"/>
          <w:szCs w:val="17"/>
          <w:color w:val="auto"/>
        </w:rPr>
      </w:pPr>
    </w:p>
    <w:p>
      <w:pPr>
        <w:jc w:val="both"/>
        <w:ind w:left="660" w:firstLine="1293"/>
        <w:spacing w:after="0" w:line="255" w:lineRule="auto"/>
        <w:tabs>
          <w:tab w:leader="none" w:pos="23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at the time this Agreement is executed and delivered, it is necessary or appropriate for a post-effective amendment to the Registration Statement to be filed with the Commission and become effective before the Shares may be sold, the Company will use its best efforts to cause such post-effective amendment to be filed and become effective; and the Company will advise the Underwriters promptly and, if requested by the Underwriters, will confirm such advice in writing, (i) when such post-effective amendment has become effective, and (ii) if Rule 430A under the Act is used, when the Prospectus is filed with the Commission pursuant to Rule 424(b) under the Act (which the Company agrees to file in a timely manner in accordance with such Rules);</w:t>
      </w:r>
    </w:p>
    <w:p>
      <w:pPr>
        <w:spacing w:after="0" w:line="247" w:lineRule="exact"/>
        <w:rPr>
          <w:rFonts w:ascii="Arial" w:cs="Arial" w:eastAsia="Arial" w:hAnsi="Arial"/>
          <w:sz w:val="18"/>
          <w:szCs w:val="18"/>
          <w:color w:val="auto"/>
        </w:rPr>
      </w:pPr>
    </w:p>
    <w:p>
      <w:pPr>
        <w:jc w:val="both"/>
        <w:ind w:left="660" w:firstLine="1293"/>
        <w:spacing w:after="0" w:line="269" w:lineRule="auto"/>
        <w:tabs>
          <w:tab w:leader="none" w:pos="23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if, at any time during the period when a prospectus is required by the Act to be delivered (whether physically or through compliance with Rule 172 under the Act or any similar rule) in connection with any sale of Shares, the Registration Statement shall cease to comply with the requirements of the Act with respect to eligibility for the use of the form on which the Registration Statement was filed with the Commission or the Registration Statement shall cease to be an “automatic shelf registration statement” (as defined in Rule 405 under the Act) or the Company shall have received, from the Commission, a notice, pursuant to Rule 401(g)(2), of objection to the use of the form on which the Registration Statement was filed with the Commission, to (i) promptly notify the Underwriters, (ii) promptly file with the Commission a new registration statement under the Act, relating to the Shares, or a post-effective amendment to the Registration Statement, which new registration statement or post-effective amendment shall comply with the requirements of the Act and shall be in a form satisfactory to the Underwriters, (iii) use its best efforts to cause such new registration statement or post-effective amendment to become effective under the Act as soon as practicable, (iv) promptly notify the Underwriters of such effectiveness and (v) take all other action necessary or appropriate to permit the public offering and sale of the Shares to continue as contemplated in the Prospectus; all references herein to the Registration Statement shall be deemed to include each such new registration statement or post-effective amendment, if any;</w:t>
      </w:r>
    </w:p>
    <w:p>
      <w:pPr>
        <w:spacing w:after="0" w:line="206" w:lineRule="exact"/>
        <w:rPr>
          <w:rFonts w:ascii="Arial" w:cs="Arial" w:eastAsia="Arial" w:hAnsi="Arial"/>
          <w:sz w:val="17"/>
          <w:szCs w:val="17"/>
          <w:color w:val="auto"/>
        </w:rPr>
      </w:pPr>
    </w:p>
    <w:p>
      <w:pPr>
        <w:ind w:left="5580" w:hanging="113"/>
        <w:spacing w:after="0"/>
        <w:tabs>
          <w:tab w:leader="none" w:pos="55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 w:name="page18"/>
    <w:bookmarkEnd w:id="17"/>
    <w:p>
      <w:pPr>
        <w:jc w:val="both"/>
        <w:ind w:left="-540" w:firstLine="1293"/>
        <w:spacing w:after="0" w:line="269" w:lineRule="auto"/>
        <w:tabs>
          <w:tab w:leader="none" w:pos="1172"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if the third anniversary of the initial effective date of the Registration Statement (within the meaning of Rule 415(a)(5) under the Act) shall occur at any time during the period when a prospectus is required by the Act to be delivered (whether physically or through compliance with Rule 172 under the Act or any similar rule) in connection with any sale of Shares, to file with the Commission, prior to such third anniversary, a new registration statement under the Act relating to the Shares, which new registration statement shall comply with the requirements of the Act (including, without limitation, Rule 415(a)(6) under the Act) and shall be in a form satisfactory to the Underwriters; such new registration statement shall constitute an “automatic shelf registration statement” (as defined in Rule 405 under the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is not then eligible to file an “automatic shelf registration statement” (as defined in Rule 405 under the Act), then such new registration statement need not constitute an “automatic shelf registration statement” (as defined in Rule 405 under the Act), but the Company shall use its best efforts to cause such new registration statement to become effective under the Act as soon as practicable, but in any event within 180 days after such third anniversary and promptly notify the Underwriters of such effectiveness; the Company shall take all other action necessary or appropriate to permit the public offering and sale of the Shares to continue as contemplated in the Prospectus; all references herein to the Registration Statement shall be deemed to include each such new registration statement, if any;</w:t>
      </w:r>
    </w:p>
    <w:p>
      <w:pPr>
        <w:spacing w:after="0" w:line="233" w:lineRule="exact"/>
        <w:rPr>
          <w:rFonts w:ascii="Arial" w:cs="Arial" w:eastAsia="Arial" w:hAnsi="Arial"/>
          <w:sz w:val="17"/>
          <w:szCs w:val="17"/>
          <w:color w:val="auto"/>
        </w:rPr>
      </w:pPr>
    </w:p>
    <w:p>
      <w:pPr>
        <w:jc w:val="both"/>
        <w:ind w:left="-540" w:firstLine="1293"/>
        <w:spacing w:after="0" w:line="254"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advise the Underwriters promptly, confirming such advice in writing, of any request by the Commission for amendments or supplements to the Registration Statement, the Prospectus or any Permitted Free Writing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reasonable best efforts to obtain the lifting or removal of such order as soon as possible; to advise the Underwriters promptly of any proposal to amend or supplement the Registration Statement or the Prospectus, and to provide the Underwriters and Underwriters’ counsel copies of any such documents for review and comment a reasonable amount of time prior to any proposed filing and to file no such amendment or supplement to which the Underwriters shall object in writing;</w:t>
      </w:r>
    </w:p>
    <w:p>
      <w:pPr>
        <w:spacing w:after="0" w:line="246" w:lineRule="exact"/>
        <w:rPr>
          <w:rFonts w:ascii="Arial" w:cs="Arial" w:eastAsia="Arial" w:hAnsi="Arial"/>
          <w:sz w:val="18"/>
          <w:szCs w:val="18"/>
          <w:color w:val="auto"/>
        </w:rPr>
      </w:pPr>
    </w:p>
    <w:p>
      <w:pPr>
        <w:jc w:val="both"/>
        <w:ind w:left="-540" w:firstLine="1293"/>
        <w:spacing w:after="0" w:line="255" w:lineRule="auto"/>
        <w:tabs>
          <w:tab w:leader="none" w:pos="12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Section 4(f)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sale of Shares; and to provide the Underwriters, for the Underwriters’ review and comment, with a copy of such reports and statements and other documents to be filed by the Company pursuant to Section 13, 14 or 15(d) of the Exchange Act during such period a reasonable amount of time prior to any proposed filing, and to file no such report, statement or document to which the Underwriters shall have objected in writing; and to promptly notify the Underwriters of such filing;</w:t>
      </w:r>
    </w:p>
    <w:p>
      <w:pPr>
        <w:spacing w:after="0" w:line="243" w:lineRule="exact"/>
        <w:rPr>
          <w:rFonts w:ascii="Arial" w:cs="Arial" w:eastAsia="Arial" w:hAnsi="Arial"/>
          <w:sz w:val="18"/>
          <w:szCs w:val="18"/>
          <w:color w:val="auto"/>
        </w:rPr>
      </w:pPr>
    </w:p>
    <w:p>
      <w:pPr>
        <w:jc w:val="both"/>
        <w:ind w:left="-540" w:firstLine="1293"/>
        <w:spacing w:after="0" w:line="264" w:lineRule="auto"/>
        <w:tabs>
          <w:tab w:leader="none" w:pos="1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pay the fees applicable to the Registration Statement in connection with the offering of the Shares within the time required by Rule 456(b)(1)(i) under the Act (without reliance on the proviso to Rule 456(b)(1)(i) under the Act) and in compliance with Rule 456(b) and Rule 457(r) under the Act;</w:t>
      </w:r>
    </w:p>
    <w:p>
      <w:pPr>
        <w:spacing w:after="0" w:line="235" w:lineRule="exact"/>
        <w:rPr>
          <w:rFonts w:ascii="Arial" w:cs="Arial" w:eastAsia="Arial" w:hAnsi="Arial"/>
          <w:sz w:val="18"/>
          <w:szCs w:val="18"/>
          <w:color w:val="auto"/>
        </w:rPr>
      </w:pPr>
    </w:p>
    <w:p>
      <w:pPr>
        <w:jc w:val="both"/>
        <w:ind w:left="-540" w:firstLine="1293"/>
        <w:spacing w:after="0" w:line="271" w:lineRule="auto"/>
        <w:tabs>
          <w:tab w:leader="none" w:pos="11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advise the Underwriters promptly of the happening of any event within the period during which a prospectus is required by the Act to be delivered (whether physically or through compliance with Rule 172 under the Act or any similar rule) in connection with any sale of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Underwriters promptly if, during such period, it shall become necessary to amend or supplement the Prospectus to cause the Prospectus to comply with the requirements of the Act, and, in each case, during such time, subject to Section 4(f) hereof, to prepare and furnish, at the Company’s expense, to the Underwriters promptly such amendments or supplements to such Prospectus as may be necessary to reflect any such change or to effect such compliance;</w:t>
      </w:r>
    </w:p>
    <w:p>
      <w:pPr>
        <w:spacing w:after="0" w:line="232" w:lineRule="exact"/>
        <w:rPr>
          <w:rFonts w:ascii="Arial" w:cs="Arial" w:eastAsia="Arial" w:hAnsi="Arial"/>
          <w:sz w:val="17"/>
          <w:szCs w:val="17"/>
          <w:color w:val="auto"/>
        </w:rPr>
      </w:pPr>
    </w:p>
    <w:p>
      <w:pPr>
        <w:jc w:val="both"/>
        <w:ind w:left="-540" w:firstLine="1293"/>
        <w:spacing w:after="0" w:line="259" w:lineRule="auto"/>
        <w:tabs>
          <w:tab w:leader="none" w:pos="11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generally available to its security holders, and to deliver to the Underwriters,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 than August 28, 2010;</w:t>
      </w:r>
    </w:p>
    <w:p>
      <w:pPr>
        <w:spacing w:after="0" w:line="213" w:lineRule="exact"/>
        <w:rPr>
          <w:rFonts w:ascii="Arial" w:cs="Arial" w:eastAsia="Arial" w:hAnsi="Arial"/>
          <w:sz w:val="18"/>
          <w:szCs w:val="18"/>
          <w:color w:val="auto"/>
        </w:rPr>
      </w:pPr>
    </w:p>
    <w:p>
      <w:pPr>
        <w:ind w:left="4380" w:hanging="110"/>
        <w:spacing w:after="0"/>
        <w:tabs>
          <w:tab w:leader="none" w:pos="4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8" w:name="page19"/>
    <w:bookmarkEnd w:id="18"/>
    <w:p>
      <w:pPr>
        <w:ind w:firstLine="1293"/>
        <w:spacing w:after="0" w:line="277" w:lineRule="auto"/>
        <w:tabs>
          <w:tab w:leader="none" w:pos="17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furnish to the Underwriters two copies of the Registration Statement, as initially filed with the Commission, and of all amendments thereto (including all exhibits thereto and documents incorporated by reference therein);</w:t>
      </w:r>
    </w:p>
    <w:p>
      <w:pPr>
        <w:spacing w:after="0" w:line="224" w:lineRule="exact"/>
        <w:rPr>
          <w:rFonts w:ascii="Arial" w:cs="Arial" w:eastAsia="Arial" w:hAnsi="Arial"/>
          <w:sz w:val="18"/>
          <w:szCs w:val="18"/>
          <w:color w:val="auto"/>
        </w:rPr>
      </w:pPr>
    </w:p>
    <w:p>
      <w:pPr>
        <w:jc w:val="both"/>
        <w:ind w:firstLine="1293"/>
        <w:spacing w:after="0" w:line="259" w:lineRule="auto"/>
        <w:tabs>
          <w:tab w:leader="none" w:pos="16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furnish to the Underwriters as early as practicable prior to the time of purchase, but not later than two business days prior thereto, a copy of the latest available unaudited interim and monthly consolidated financial statements, if any, of the Company and the Subsidiaries which have been read by the Company’s independent registered public accountants, as stated in their letter to be furnished pursuant to Sections 6(d) and (e) hereof;</w:t>
      </w:r>
    </w:p>
    <w:p>
      <w:pPr>
        <w:spacing w:after="0" w:line="240" w:lineRule="exact"/>
        <w:rPr>
          <w:rFonts w:ascii="Arial" w:cs="Arial" w:eastAsia="Arial" w:hAnsi="Arial"/>
          <w:sz w:val="18"/>
          <w:szCs w:val="18"/>
          <w:color w:val="auto"/>
        </w:rPr>
      </w:pPr>
    </w:p>
    <w:p>
      <w:pPr>
        <w:ind w:left="1780" w:hanging="487"/>
        <w:spacing w:after="0"/>
        <w:tabs>
          <w:tab w:leader="none" w:pos="1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apply the net proceeds from the sale of the Shares in the manner set forth under the caption “Use of Proceeds”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Prospectus Supplement;</w:t>
      </w:r>
    </w:p>
    <w:p>
      <w:pPr>
        <w:spacing w:after="0" w:line="264" w:lineRule="exact"/>
        <w:rPr>
          <w:rFonts w:ascii="Arial" w:cs="Arial" w:eastAsia="Arial" w:hAnsi="Arial"/>
          <w:sz w:val="16"/>
          <w:szCs w:val="16"/>
          <w:color w:val="auto"/>
        </w:rPr>
      </w:pPr>
    </w:p>
    <w:p>
      <w:pPr>
        <w:jc w:val="both"/>
        <w:ind w:firstLine="1293"/>
        <w:spacing w:after="0" w:line="267" w:lineRule="auto"/>
        <w:tabs>
          <w:tab w:leader="none" w:pos="1722"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to pay all costs, expenses, fees and taxes in connection with (i) the preparation and filing of the Registration Statement, each Basic Prospectus, the Prospectus Supplement, the Prospectus, each Permitted Free Writing Prospectus and any amendments or supplements thereto, and the printing and furnishing of copies of each thereof to the Underwriters and to dealers (including costs of mailing and shipment), (ii) the registration, issue, sale and delivery of the Shares including any stock or transfer taxes and stamp or similar duties payable upon the sale, issuance or delivery of the Shares to the Underwriters, (iii) the producing, word processing and/or printing of this Agreement, any agreement among underwriters, any dealer agreements, any powers of attorney and any closing documents (including compilations thereof) and the reproduction and/or printing and furnishing of copies of each thereof to the Underwriters and (except closing documents) to dealers (including costs of mailing and shipment), (iv) the qualification of the Shares for offering and sale under state or foreign laws and the determination of their eligibility for investment under state or foreign law (including the legal fees and filing fees and other disbursements of counsel for the Underwriters) and the printing and furnishing of copies of any blue sky surveys or legal investment surveys to the Underwriters and to dealers, (v) any listing of the Shares on any securities exchange or qualification of the Shares for quotation on NASDAQ, (vi) any filing for review of the public offering of the Shares by FINRA, including the legal fees and filing fees and other disbursements of counsel to the Underwriters relating to FINRA matters, (vii) the fees and disbursements of any transfer agent or registrar for the Shares, (viii) the costs and expenses of the Company relating to presentations or meetings undertaken in connection with the marketing of the offering and sale of the Shares to prospective investors and the Underwriters’ sales forces, including, without limitation, expenses associated with the production of road show slides and graphics, fees and expenses of any consultants engaged in connection with the road show presentations, travel, lodging and other expenses incurred by the officers of the Company and any such consultants, and the cost of any aircraft chartered in connection with the road show, and (ix) the performance of the Company’s other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Company be required to pay the legal fees for counsel to the Underwriters, except as provided herein;</w:t>
      </w:r>
    </w:p>
    <w:p>
      <w:pPr>
        <w:spacing w:after="0" w:line="243" w:lineRule="exact"/>
        <w:rPr>
          <w:rFonts w:ascii="Arial" w:cs="Arial" w:eastAsia="Arial" w:hAnsi="Arial"/>
          <w:sz w:val="17"/>
          <w:szCs w:val="17"/>
          <w:color w:val="auto"/>
        </w:rPr>
      </w:pPr>
    </w:p>
    <w:p>
      <w:pPr>
        <w:ind w:left="1720" w:hanging="427"/>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Rule 433(d) under the Act (without reliance on Rule 164(b) under the Act) and with Rule 433(g) under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Act;</w:t>
      </w:r>
    </w:p>
    <w:p>
      <w:pPr>
        <w:spacing w:after="0" w:line="264" w:lineRule="exact"/>
        <w:rPr>
          <w:rFonts w:ascii="Arial" w:cs="Arial" w:eastAsia="Arial" w:hAnsi="Arial"/>
          <w:sz w:val="17"/>
          <w:szCs w:val="17"/>
          <w:color w:val="auto"/>
        </w:rPr>
      </w:pPr>
    </w:p>
    <w:p>
      <w:pPr>
        <w:jc w:val="both"/>
        <w:ind w:firstLine="1293"/>
        <w:spacing w:after="0" w:line="285" w:lineRule="auto"/>
        <w:tabs>
          <w:tab w:leader="none" w:pos="17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beginning on the date hereof and ending on, and including, the date that is 60 days after the date of the Prospectus Supplement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without the prior written consent of the Underwriters, not to (i) issue,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other securities of the Company that are substantially similar to Common Stock, or any securities convertible into or exchangeable or exercisable for, or any warrants or other rights to purchase, the foregoing, (ii) file or cause to become effective a registration statement under the Act relating to the offer and sale of any Common Stock, or any other securities of the Company that are substantially similar to Common Stock, or any securities convertible into or exchangeable or exercisable for, or any warrants or other rights to purchase, the foregoing, (iii) enter into any swap or other arrangement that transfers to another, in whole or in part, any of the economic consequences of ownership of Common Stock, or any other 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 (iv) publicly announce an intention to effect any transaction specified in clause (i), (ii) or (iii), except, in each case, for (A) the registration of the offer and sale of the Shares as contemplated by this Agreement, (B) issuances of Common Stock upon the exercise of options or warrants disclosed as outstanding in the Registration Statement (excluding the exhibits thereto) and the Prospectus, and (C) the issuance of employee stock options not exercisable (other than pursuant to provisions for automatic acceleration of exercisability in connection with a change in control of the Company) during the Lock-Up Period pursuant to stock option plans described in the Registration Statement (excluding the exhibits thereto) and the Prospectus;</w:t>
      </w:r>
    </w:p>
    <w:p>
      <w:pPr>
        <w:spacing w:after="0" w:line="202" w:lineRule="exact"/>
        <w:rPr>
          <w:rFonts w:ascii="Arial" w:cs="Arial" w:eastAsia="Arial" w:hAnsi="Arial"/>
          <w:sz w:val="16"/>
          <w:szCs w:val="16"/>
          <w:color w:val="auto"/>
        </w:rPr>
      </w:pPr>
    </w:p>
    <w:p>
      <w:pPr>
        <w:ind w:left="4920" w:hanging="113"/>
        <w:spacing w:after="0"/>
        <w:tabs>
          <w:tab w:leader="none" w:pos="4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19" w:name="page20"/>
    <w:bookmarkEnd w:id="19"/>
    <w:p>
      <w:pPr>
        <w:jc w:val="both"/>
        <w:ind w:left="4" w:firstLine="1293"/>
        <w:spacing w:after="0" w:line="264" w:lineRule="auto"/>
        <w:tabs>
          <w:tab w:leader="none" w:pos="17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prior to the time of purchase to issue no press release or other communication directly or indirectly and hold no press conferences with respect to the Company or any Subsidiary, the financial condition, results of operations, business, properties, assets, or liabilities of the Company or any Subsidiary, or the offering of the Shares, without the Underwriters’ prior consent;</w:t>
      </w:r>
    </w:p>
    <w:p>
      <w:pPr>
        <w:spacing w:after="0" w:line="235" w:lineRule="exact"/>
        <w:rPr>
          <w:rFonts w:ascii="Arial" w:cs="Arial" w:eastAsia="Arial" w:hAnsi="Arial"/>
          <w:sz w:val="18"/>
          <w:szCs w:val="18"/>
          <w:color w:val="auto"/>
        </w:rPr>
      </w:pPr>
    </w:p>
    <w:p>
      <w:pPr>
        <w:jc w:val="both"/>
        <w:ind w:left="4" w:firstLine="1293"/>
        <w:spacing w:after="0" w:line="264" w:lineRule="auto"/>
        <w:tabs>
          <w:tab w:leader="none" w:pos="16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at any time at or after the execution of this Agreement, to, directly or indirectly, offer or sell any Shares by means of any “prospectus” (within the meaning of the Act), or use any “prospectus” (within the meaning of the Act) in connection with the offer or sale of the Shares, in each case other than the Prospectus;</w:t>
      </w:r>
    </w:p>
    <w:p>
      <w:pPr>
        <w:spacing w:after="0" w:line="235" w:lineRule="exact"/>
        <w:rPr>
          <w:rFonts w:ascii="Arial" w:cs="Arial" w:eastAsia="Arial" w:hAnsi="Arial"/>
          <w:sz w:val="18"/>
          <w:szCs w:val="18"/>
          <w:color w:val="auto"/>
        </w:rPr>
      </w:pPr>
    </w:p>
    <w:p>
      <w:pPr>
        <w:jc w:val="both"/>
        <w:ind w:left="4" w:firstLine="1293"/>
        <w:spacing w:after="0" w:line="264" w:lineRule="auto"/>
        <w:tabs>
          <w:tab w:leader="none" w:pos="17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to, and to cause the Subsidiaries not to, take, directly or indirectly, any action designed, or which will constitute, or has constituted, or might reasonably be expected to cause or result in the stabilization or manipulation of the price of any security of the Company to facilitate the sale or resale of the Shares;</w:t>
      </w:r>
    </w:p>
    <w:p>
      <w:pPr>
        <w:spacing w:after="0" w:line="235" w:lineRule="exact"/>
        <w:rPr>
          <w:rFonts w:ascii="Arial" w:cs="Arial" w:eastAsia="Arial" w:hAnsi="Arial"/>
          <w:sz w:val="18"/>
          <w:szCs w:val="18"/>
          <w:color w:val="auto"/>
        </w:rPr>
      </w:pPr>
    </w:p>
    <w:p>
      <w:pPr>
        <w:ind w:left="4" w:right="20" w:firstLine="1293"/>
        <w:spacing w:after="0" w:line="277" w:lineRule="auto"/>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use its best efforts to cause the Shares to be listed on NASDAQ and to maintain the listing of the Common Stock for quotation on NASDAQ;</w:t>
      </w:r>
    </w:p>
    <w:p>
      <w:pPr>
        <w:spacing w:after="0" w:line="224" w:lineRule="exact"/>
        <w:rPr>
          <w:rFonts w:ascii="Arial" w:cs="Arial" w:eastAsia="Arial" w:hAnsi="Arial"/>
          <w:sz w:val="18"/>
          <w:szCs w:val="18"/>
          <w:color w:val="auto"/>
        </w:rPr>
      </w:pPr>
    </w:p>
    <w:p>
      <w:pPr>
        <w:ind w:left="1744" w:hanging="447"/>
        <w:spacing w:after="0"/>
        <w:tabs>
          <w:tab w:leader="none" w:pos="1744"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maintain a transfer agent and, if necessary under the jurisdiction of incorporation of the Company, a registrar for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Common Stock;</w:t>
      </w:r>
    </w:p>
    <w:p>
      <w:pPr>
        <w:spacing w:after="0" w:line="264" w:lineRule="exact"/>
        <w:rPr>
          <w:rFonts w:ascii="Arial" w:cs="Arial" w:eastAsia="Arial" w:hAnsi="Arial"/>
          <w:sz w:val="17"/>
          <w:szCs w:val="17"/>
          <w:color w:val="auto"/>
        </w:rPr>
      </w:pPr>
    </w:p>
    <w:p>
      <w:pPr>
        <w:ind w:left="4" w:firstLine="1293"/>
        <w:spacing w:after="0" w:line="277" w:lineRule="auto"/>
        <w:tabs>
          <w:tab w:leader="none" w:pos="172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Prospectus Supplement under the caption “Use of Proceeds”; and</w:t>
      </w:r>
    </w:p>
    <w:p>
      <w:pPr>
        <w:spacing w:after="0" w:line="224" w:lineRule="exact"/>
        <w:rPr>
          <w:rFonts w:ascii="Arial" w:cs="Arial" w:eastAsia="Arial" w:hAnsi="Arial"/>
          <w:sz w:val="18"/>
          <w:szCs w:val="18"/>
          <w:color w:val="auto"/>
        </w:rPr>
      </w:pPr>
    </w:p>
    <w:p>
      <w:pPr>
        <w:jc w:val="both"/>
        <w:ind w:left="4" w:firstLine="1293"/>
        <w:spacing w:after="0" w:line="270" w:lineRule="auto"/>
        <w:tabs>
          <w:tab w:leader="none" w:pos="1766"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that, with out the prior consent of the Underwriters, it has not made and will not make any offer relating to the Shares that would constitute a “free writing prospectus” (as defined in Rule 405 under the Act); the Company has complied and will comply with the requirements of Rule 433 under the Act applicable to any Permitted Free Writing Prospectus, including timely filing with the Commission or retention where required and legending; and the Company agrees that if at any time following issuance of any Permitted Free Writing Prospectus any event occurred or occurs as a result of which such Permitted Free Writing Prospectus would conflict with the information in the Registration Statement, the Disclosure Package or the Prospectus or would include an untrue statement of a material fact or omit to state any material fact necessary in order to make the statements therein, in the light of the circumstances under which they are made, not misleading, the Company will give prompt notice thereof to the Underwriters and, if requested by the Underwriters, will prepare and furnish without charge to the Underwriters a Permitted Free Writing Prospectus or other document which will correct such conflict, statement or omission.</w:t>
      </w:r>
    </w:p>
    <w:p>
      <w:pPr>
        <w:spacing w:after="0" w:line="235" w:lineRule="exact"/>
        <w:rPr>
          <w:rFonts w:ascii="Arial" w:cs="Arial" w:eastAsia="Arial" w:hAnsi="Arial"/>
          <w:sz w:val="17"/>
          <w:szCs w:val="17"/>
          <w:color w:val="auto"/>
        </w:rPr>
      </w:pPr>
    </w:p>
    <w:p>
      <w:pPr>
        <w:jc w:val="both"/>
        <w:ind w:left="-656" w:firstLine="656"/>
        <w:spacing w:after="0" w:line="264" w:lineRule="auto"/>
        <w:tabs>
          <w:tab w:leader="none" w:pos="34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Reimbursement of the Underwriter’s Expenses</w:t>
      </w:r>
      <w:r>
        <w:rPr>
          <w:rFonts w:ascii="Arial" w:cs="Arial" w:eastAsia="Arial" w:hAnsi="Arial"/>
          <w:sz w:val="18"/>
          <w:szCs w:val="18"/>
          <w:color w:val="auto"/>
        </w:rPr>
        <w:t>. If the Shares are not delivered for any reason other than the default of the Underwriters in its or their respective obligations hereunder, the Company shall, in addition to paying the amounts described in Section 4(n) hereof, reimburse the Underwriters for all of their out-of-pocket expenses, including the fees and disbursements of their counsel.</w:t>
      </w:r>
    </w:p>
    <w:p>
      <w:pPr>
        <w:spacing w:after="0" w:line="235" w:lineRule="exact"/>
        <w:rPr>
          <w:rFonts w:ascii="Arial" w:cs="Arial" w:eastAsia="Arial" w:hAnsi="Arial"/>
          <w:sz w:val="18"/>
          <w:szCs w:val="18"/>
          <w:color w:val="auto"/>
        </w:rPr>
      </w:pPr>
    </w:p>
    <w:p>
      <w:pPr>
        <w:jc w:val="both"/>
        <w:ind w:left="-656" w:firstLine="656"/>
        <w:spacing w:after="0" w:line="264" w:lineRule="auto"/>
        <w:tabs>
          <w:tab w:leader="none" w:pos="37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Conditions of the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on the date hereof, at the time of purchase, the performance by the Company of its obligations hereunder and to the following additional conditions precedent:</w:t>
      </w:r>
    </w:p>
    <w:p>
      <w:pPr>
        <w:spacing w:after="0" w:line="235" w:lineRule="exact"/>
        <w:rPr>
          <w:rFonts w:ascii="Arial" w:cs="Arial" w:eastAsia="Arial" w:hAnsi="Arial"/>
          <w:sz w:val="18"/>
          <w:szCs w:val="18"/>
          <w:color w:val="auto"/>
        </w:rPr>
      </w:pPr>
    </w:p>
    <w:p>
      <w:pPr>
        <w:jc w:val="both"/>
        <w:ind w:left="4" w:firstLine="1293"/>
        <w:spacing w:after="0" w:line="264" w:lineRule="auto"/>
        <w:tabs>
          <w:tab w:leader="none" w:pos="17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Company shall furnish to the Underwriters at the time of purchase an opinion of Perkins Coie LLP, counsel for the Company, addressed to the Underwriters, and dated the time of purchase, in form and substance satisfactory to the Underwriters, as to the matters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35" w:lineRule="exact"/>
        <w:rPr>
          <w:rFonts w:ascii="Arial" w:cs="Arial" w:eastAsia="Arial" w:hAnsi="Arial"/>
          <w:sz w:val="18"/>
          <w:szCs w:val="18"/>
          <w:color w:val="auto"/>
        </w:rPr>
      </w:pPr>
    </w:p>
    <w:p>
      <w:pPr>
        <w:jc w:val="both"/>
        <w:ind w:left="4" w:firstLine="1293"/>
        <w:spacing w:after="0" w:line="264" w:lineRule="auto"/>
        <w:tabs>
          <w:tab w:leader="none" w:pos="17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Company shall furnish to the Underwriters at the time of purchase an opinion of John W. Holleran, Senior Vice President, General Counsel and Corporate Secretary of the Company, addressed to the Underwriters, and dated the time of purchase, in form and substance satisfactory to the Underwriters, as to the matters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208" w:lineRule="exact"/>
        <w:rPr>
          <w:rFonts w:ascii="Arial" w:cs="Arial" w:eastAsia="Arial" w:hAnsi="Arial"/>
          <w:sz w:val="18"/>
          <w:szCs w:val="18"/>
          <w:color w:val="auto"/>
        </w:rPr>
      </w:pPr>
    </w:p>
    <w:p>
      <w:pPr>
        <w:ind w:left="4924" w:hanging="113"/>
        <w:spacing w:after="0"/>
        <w:tabs>
          <w:tab w:leader="none" w:pos="4924" w:val="left"/>
        </w:tabs>
        <w:numPr>
          <w:ilvl w:val="2"/>
          <w:numId w:val="22"/>
        </w:numPr>
        <w:rPr>
          <w:rFonts w:ascii="Arial" w:cs="Arial" w:eastAsia="Arial" w:hAnsi="Arial"/>
          <w:sz w:val="18"/>
          <w:szCs w:val="18"/>
          <w:color w:val="auto"/>
        </w:rPr>
      </w:pPr>
      <w:r>
        <w:rPr>
          <w:rFonts w:ascii="Arial" w:cs="Arial" w:eastAsia="Arial" w:hAnsi="Arial"/>
          <w:sz w:val="18"/>
          <w:szCs w:val="18"/>
          <w:color w:val="auto"/>
        </w:rPr>
        <w:t>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0" w:name="page21"/>
    <w:bookmarkEnd w:id="20"/>
    <w:p>
      <w:pPr>
        <w:jc w:val="both"/>
        <w:ind w:firstLine="1293"/>
        <w:spacing w:after="0" w:line="264" w:lineRule="auto"/>
        <w:tabs>
          <w:tab w:leader="none" w:pos="17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Company shall furnish to the Underwriters at the time of purchase an opinion of Arendt &amp; Medernach, Luxembourg counsel for the Company, addressed to the Underwriters, and dated the time of purchase, in form and substance satisfactory to the Underwriters, as to the matters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235" w:lineRule="exact"/>
        <w:rPr>
          <w:rFonts w:ascii="Arial" w:cs="Arial" w:eastAsia="Arial" w:hAnsi="Arial"/>
          <w:sz w:val="18"/>
          <w:szCs w:val="18"/>
          <w:color w:val="auto"/>
        </w:rPr>
      </w:pPr>
    </w:p>
    <w:p>
      <w:pPr>
        <w:jc w:val="both"/>
        <w:ind w:firstLine="1293"/>
        <w:spacing w:after="0" w:line="259" w:lineRule="auto"/>
        <w:tabs>
          <w:tab w:leader="none" w:pos="17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Underwriters shall have received from Deloitte &amp; Touche LLP letters dated, respectively, the date of the Prospectus Supplement and the time of purchase and addressed to the Underwriters in the forms satisfactory to the Underwriters, which letters shall cover, without limitation, the various financial disclosures contained in the Registration Statement, the Prospectus and the Permitted Free Writing Prospectuses, if any.</w:t>
      </w:r>
    </w:p>
    <w:p>
      <w:pPr>
        <w:spacing w:after="0" w:line="240" w:lineRule="exact"/>
        <w:rPr>
          <w:rFonts w:ascii="Arial" w:cs="Arial" w:eastAsia="Arial" w:hAnsi="Arial"/>
          <w:sz w:val="18"/>
          <w:szCs w:val="18"/>
          <w:color w:val="auto"/>
        </w:rPr>
      </w:pPr>
    </w:p>
    <w:p>
      <w:pPr>
        <w:jc w:val="both"/>
        <w:ind w:firstLine="1293"/>
        <w:spacing w:after="0" w:line="259" w:lineRule="auto"/>
        <w:tabs>
          <w:tab w:leader="none" w:pos="17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Underwriters shall have received from Ernst &amp; Young LLP letters dated, respectively, the date of the Prospectus Supplement and the time of purchase and addressed to the Underwriters in the forms satisfactory to the Underwriters, which letters shall cover, without limitation, the various financial disclosures contained in the Registration Statement, the Prospectus and the Permitted Free Writing Prospectuses, if any.</w:t>
      </w:r>
    </w:p>
    <w:p>
      <w:pPr>
        <w:spacing w:after="0" w:line="240" w:lineRule="exact"/>
        <w:rPr>
          <w:rFonts w:ascii="Arial" w:cs="Arial" w:eastAsia="Arial" w:hAnsi="Arial"/>
          <w:sz w:val="18"/>
          <w:szCs w:val="18"/>
          <w:color w:val="auto"/>
        </w:rPr>
      </w:pPr>
    </w:p>
    <w:p>
      <w:pPr>
        <w:ind w:firstLine="1293"/>
        <w:spacing w:after="0" w:line="308" w:lineRule="auto"/>
        <w:tabs>
          <w:tab w:leader="none" w:pos="170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Underwriters shall have received at the time of purchase, the favorable opinion of Skadden, Arps, Slate, Meagher &amp; Flom LLP, counsel for the Underwriters, dated the time of purchase, in form and substance reasonably satisfactory to the Underwriters.</w:t>
      </w:r>
    </w:p>
    <w:p>
      <w:pPr>
        <w:spacing w:after="0" w:line="200" w:lineRule="exact"/>
        <w:rPr>
          <w:rFonts w:ascii="Arial" w:cs="Arial" w:eastAsia="Arial" w:hAnsi="Arial"/>
          <w:sz w:val="17"/>
          <w:szCs w:val="17"/>
          <w:color w:val="auto"/>
        </w:rPr>
      </w:pPr>
    </w:p>
    <w:p>
      <w:pPr>
        <w:ind w:firstLine="1293"/>
        <w:spacing w:after="0" w:line="277" w:lineRule="auto"/>
        <w:tabs>
          <w:tab w:leader="none" w:pos="17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Prospectus or amendment or supplement to the Registration Statement or the Prospectus shall have been filed to which the Underwriters shall have objected in writing.</w:t>
      </w:r>
    </w:p>
    <w:p>
      <w:pPr>
        <w:spacing w:after="0" w:line="224" w:lineRule="exact"/>
        <w:rPr>
          <w:rFonts w:ascii="Arial" w:cs="Arial" w:eastAsia="Arial" w:hAnsi="Arial"/>
          <w:sz w:val="18"/>
          <w:szCs w:val="18"/>
          <w:color w:val="auto"/>
        </w:rPr>
      </w:pPr>
    </w:p>
    <w:p>
      <w:pPr>
        <w:ind w:left="1720" w:hanging="427"/>
        <w:spacing w:after="0"/>
        <w:tabs>
          <w:tab w:leader="none" w:pos="1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Prospectus Supplement shall have been filed with the Commission pursuant to Rule 424(b) under the Act at or before</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5:30 P.M., New York City time, on the second full business day after the date of this Agreement (or such earlier time as may be required under the Act).</w:t>
      </w:r>
    </w:p>
    <w:p>
      <w:pPr>
        <w:spacing w:after="0" w:line="237" w:lineRule="exact"/>
        <w:rPr>
          <w:rFonts w:ascii="Arial" w:cs="Arial" w:eastAsia="Arial" w:hAnsi="Arial"/>
          <w:sz w:val="16"/>
          <w:szCs w:val="16"/>
          <w:color w:val="auto"/>
        </w:rPr>
      </w:pPr>
    </w:p>
    <w:p>
      <w:pPr>
        <w:jc w:val="both"/>
        <w:ind w:firstLine="1293"/>
        <w:spacing w:after="0" w:line="289" w:lineRule="auto"/>
        <w:tabs>
          <w:tab w:leader="none" w:pos="16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Prior to and at the time of purchase, (i) no stop order with respect to the effectiveness of the Registration Statement shall have been issued under the Act or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(iii) neither the Prospectus nor amendment or supplement thereto shall include an untrue statement of a material fact or omit to state a material fact necessary in order to make the statements therein, in the light of the circumstances under which they are made, not misleading; (iv) no Disclosure Package, and no amendment or supplement thereto, shall include an untrue statement of a material fact or omit to state a material fact necessary in order to make the statements therein, in the light of the circumstances under which they are made, not misleading; and (v) none of the Permitted Free Writing Prospectuses, if any, shall include an untrue statement of a material fact or omit to state a material fact necessary in order to make the statements therein, in the light of the circumstances under which they are made, not misleading.</w:t>
      </w:r>
    </w:p>
    <w:p>
      <w:pPr>
        <w:spacing w:after="0" w:line="220" w:lineRule="exact"/>
        <w:rPr>
          <w:rFonts w:ascii="Arial" w:cs="Arial" w:eastAsia="Arial" w:hAnsi="Arial"/>
          <w:sz w:val="16"/>
          <w:szCs w:val="16"/>
          <w:color w:val="auto"/>
        </w:rPr>
      </w:pPr>
    </w:p>
    <w:p>
      <w:pPr>
        <w:ind w:firstLine="1293"/>
        <w:spacing w:after="0" w:line="277" w:lineRule="auto"/>
        <w:tabs>
          <w:tab w:leader="none" w:pos="16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Company will, at the time of purchase deliver to the Underwriters a certificate of its Chief Executive Officer and its Chief Financial Officer, dated the time of purchase,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224" w:lineRule="exact"/>
        <w:rPr>
          <w:rFonts w:ascii="Arial" w:cs="Arial" w:eastAsia="Arial" w:hAnsi="Arial"/>
          <w:sz w:val="18"/>
          <w:szCs w:val="18"/>
          <w:color w:val="auto"/>
        </w:rPr>
      </w:pPr>
    </w:p>
    <w:p>
      <w:pPr>
        <w:ind w:right="20" w:firstLine="1293"/>
        <w:spacing w:after="0" w:line="277" w:lineRule="auto"/>
        <w:tabs>
          <w:tab w:leader="none" w:pos="17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Underwriters shall have received each of the signed Lock-Up Agreements referred to in Section 3(u) hereof, and each such Lock-Up Agreement shall be in full force and effect at the time of purchase.</w:t>
      </w:r>
    </w:p>
    <w:p>
      <w:pPr>
        <w:spacing w:after="0" w:line="224" w:lineRule="exact"/>
        <w:rPr>
          <w:rFonts w:ascii="Arial" w:cs="Arial" w:eastAsia="Arial" w:hAnsi="Arial"/>
          <w:sz w:val="18"/>
          <w:szCs w:val="18"/>
          <w:color w:val="auto"/>
        </w:rPr>
      </w:pPr>
    </w:p>
    <w:p>
      <w:pPr>
        <w:jc w:val="both"/>
        <w:ind w:firstLine="1293"/>
        <w:spacing w:after="0" w:line="264" w:lineRule="auto"/>
        <w:tabs>
          <w:tab w:leader="none" w:pos="17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furnished to the Underwriters such other documents and certificates as to the accuracy and completeness of any statement in the Registration Statement, the Prospectus or any Permitted Free Writing Prospectus as of the time of purchase as the Underwriters may reasonably request.</w:t>
      </w:r>
    </w:p>
    <w:p>
      <w:pPr>
        <w:spacing w:after="0" w:line="235" w:lineRule="exact"/>
        <w:rPr>
          <w:rFonts w:ascii="Arial" w:cs="Arial" w:eastAsia="Arial" w:hAnsi="Arial"/>
          <w:sz w:val="18"/>
          <w:szCs w:val="18"/>
          <w:color w:val="auto"/>
        </w:rPr>
      </w:pPr>
    </w:p>
    <w:p>
      <w:pPr>
        <w:ind w:left="1760" w:hanging="467"/>
        <w:spacing w:after="0"/>
        <w:tabs>
          <w:tab w:leader="none" w:pos="1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Shares shall have been approved for listing on the NASDAQ, subject only to notice of issuance at or prior to the time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w:t>
      </w:r>
    </w:p>
    <w:p>
      <w:pPr>
        <w:spacing w:after="0" w:line="264" w:lineRule="exact"/>
        <w:rPr>
          <w:rFonts w:ascii="Arial" w:cs="Arial" w:eastAsia="Arial" w:hAnsi="Arial"/>
          <w:sz w:val="16"/>
          <w:szCs w:val="16"/>
          <w:color w:val="auto"/>
        </w:rPr>
      </w:pPr>
    </w:p>
    <w:p>
      <w:pPr>
        <w:ind w:right="20" w:firstLine="1293"/>
        <w:spacing w:after="0" w:line="277" w:lineRule="auto"/>
        <w:tabs>
          <w:tab w:leader="none" w:pos="17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197" w:lineRule="exact"/>
        <w:rPr>
          <w:rFonts w:ascii="Arial" w:cs="Arial" w:eastAsia="Arial" w:hAnsi="Arial"/>
          <w:sz w:val="18"/>
          <w:szCs w:val="18"/>
          <w:color w:val="auto"/>
        </w:rPr>
      </w:pPr>
    </w:p>
    <w:p>
      <w:pPr>
        <w:ind w:left="4920" w:hanging="113"/>
        <w:spacing w:after="0"/>
        <w:tabs>
          <w:tab w:leader="none" w:pos="4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21" w:name="page22"/>
    <w:bookmarkEnd w:id="21"/>
    <w:p>
      <w:pPr>
        <w:ind w:left="1020" w:hanging="364"/>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Effective Date of Agreement; Termination</w:t>
      </w:r>
      <w:r>
        <w:rPr>
          <w:rFonts w:ascii="Arial" w:cs="Arial" w:eastAsia="Arial" w:hAnsi="Arial"/>
          <w:sz w:val="16"/>
          <w:szCs w:val="16"/>
          <w:color w:val="auto"/>
        </w:rPr>
        <w:t>. This Agreement shall become effective when the parties hereto have executed and delivered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obligations of the several Underwriters hereunder shall be subject to termination in the absolute discretion of Canaccord Adams Inc., if</w:t>
      </w:r>
    </w:p>
    <w:p>
      <w:pPr>
        <w:spacing w:after="0" w:line="46" w:lineRule="exact"/>
        <w:rPr>
          <w:sz w:val="20"/>
          <w:szCs w:val="20"/>
          <w:color w:val="auto"/>
        </w:rPr>
      </w:pPr>
    </w:p>
    <w:p>
      <w:pPr>
        <w:jc w:val="both"/>
        <w:ind w:firstLine="8"/>
        <w:spacing w:after="0" w:line="266" w:lineRule="auto"/>
        <w:tabs>
          <w:tab w:leader="none" w:pos="257"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since the time of execution of this Agreement or the earlier respective dates as of which information is given in the Registration Statement, the Prospectus and the Permitted Free Writing Prospectuses, if any, there has been any change or any development involving a prospective change in the business, properties, management, financial condition or results of operations of the Company and the Subsidiaries taken as a whole, the effect of which change or development is, in the sole judgment of Canaccord Adams Inc., so material and adverse as to make it impractical or inadvisable to proceed with the public offering or the delivery of the Shares on the terms and in the manner contemplated in the Registration Statement, the Prospectus and the Permitted Free Writing Prospectuses, if any, or (2) since the time of execution of this Agreement, there shall have occurred: (A) a suspension or material limitation in trading in securities generally on NASDAQ or the New York Stock Exchange; (B) a suspension or material limitation in trading in the Company’s securities on NASDAQ; (C) a general moratorium on commercial banking activities declared by either federal or New York State authorities or a material disruption in commercial banking or securities settlement or clearance services in the United States; (D) an outbreak or escalation of hostilities or acts of terrorism involving the United States or a declaration by the United States of a national emergency or war; or (E) any other calamity or crisis or any change in financial, political or economic conditions in the United States or elsewhere, if the effect of any such event specified in clause (D) or (E), in the sole judgment of Canaccord Adams Inc., makes it impractical or inadvisable to proceed with the public offering or the delivery of the Shares on the terms and in the manner contemplated in the Registration Statement, the Prospectus and the Permitted Free Writing Prospectuses, if any, or (3) since the time of execution of this Agreement, there shall have occurred any downgrading, or any notice or announcement shall have been given or made of: (A) any intended or potential downgrading or (B) any watch, review or possible change that does not indicate an affirmation or improvement in the rating accorded any securities of or guaranteed by the Company or any Subsidiary by any “nationally recognized statistical rating organization,” as that term is defined in Rule 436(g)(2) under the Act.</w:t>
      </w:r>
    </w:p>
    <w:p>
      <w:pPr>
        <w:spacing w:after="0" w:line="21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If Canaccord Adams Inc. elects to terminate this Agreement as provided in this Section 6, the Company and each other Underwriter shall be notified promptly in writing.</w:t>
      </w:r>
    </w:p>
    <w:p>
      <w:pPr>
        <w:spacing w:after="0" w:line="19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Sections 4(n), 5 and 9 hereof), and the Underwriters shall be under no obligation or liability to the Company under this Agreement (except to the extent provided in Section 9 hereof) or to one another hereunder.</w:t>
      </w:r>
    </w:p>
    <w:p>
      <w:pPr>
        <w:spacing w:after="0" w:line="242" w:lineRule="exact"/>
        <w:rPr>
          <w:sz w:val="20"/>
          <w:szCs w:val="20"/>
          <w:color w:val="auto"/>
        </w:rPr>
      </w:pPr>
    </w:p>
    <w:p>
      <w:pPr>
        <w:jc w:val="both"/>
        <w:ind w:firstLine="656"/>
        <w:spacing w:after="0" w:line="253" w:lineRule="auto"/>
        <w:tabs>
          <w:tab w:leader="none" w:pos="99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Increase in Underwriters’ Commitments</w:t>
      </w:r>
      <w:r>
        <w:rPr>
          <w:rFonts w:ascii="Arial" w:cs="Arial" w:eastAsia="Arial" w:hAnsi="Arial"/>
          <w:sz w:val="18"/>
          <w:szCs w:val="18"/>
          <w:color w:val="auto"/>
        </w:rPr>
        <w:t xml:space="preserve">.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(including the Underwriters, if any, substituted in the manner set forth below)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the Underwriters may designate with the consent of each Underwriter so designated or, in the event no such designation is made, such Shares shall be taken up and paid for by all non-defaulting Underwriters pro rata in proportion to the aggregate number of Firm Shares set forth opposite the names of such non-defaulting Underwriters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the Underwriters with the approval of the Company or selected by the Company with the Underwriters' approval).</w:t>
      </w:r>
    </w:p>
    <w:p>
      <w:pPr>
        <w:spacing w:after="0" w:line="20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7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 hereto.</w:t>
      </w:r>
    </w:p>
    <w:p>
      <w:pPr>
        <w:spacing w:after="0" w:line="19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 period stated above for the purchase of all the Firm Shares which the defaulting Underwriter or Underwriters agreed to purchase hereunder, this Agreement shall terminate without further act or deed and without any liability on the part of the Company to any Underwriter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 w:name="page23"/>
    <w:bookmarkEnd w:id="22"/>
    <w:p>
      <w:pPr>
        <w:ind w:left="344" w:hanging="344"/>
        <w:spacing w:after="0"/>
        <w:tabs>
          <w:tab w:leader="none" w:pos="34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4" w:firstLine="1293"/>
        <w:spacing w:after="0" w:line="284" w:lineRule="auto"/>
        <w:tabs>
          <w:tab w:leader="none" w:pos="17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agrees to indemnify, defend and hold harmless each Underwriter, its partners, directors and officers, any person who controls any Underwriter within the meaning of Section 15 of the Act or Section 20 of the Exchange Act, and the successors and assigns of all of the foregoing persons, from and against any loss, damage, expense, liability or claim (including the reasonable cost of investigation)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arises out of or is based upon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Underwriters to the Company expressly for use in, the Registration Statement or arises out of or is based upon any omission or alleged omission to state a material fact in the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included in any Prospectus (the term Prospectus for the purpose of this Section 9 being deemed to include any Basic Prospectus, the Prospectus Supplement, the Prospectus and any amendments or supplements to the foregoing), in any Permitted Free Writing Prospectus, in any “issuer information” (as defined in Rule 433 under the Act) of the Company or in any Prospectus together with any combination of one or more of the Permitted Free Writing Prospectuses, if any, or arises out of or is based upon any omission or alleged omission to state a material fact necessary in order to make the statements therein, in the light of the circumstances under which they were made, not misleading, except, with respect to such Prospectus or Permitted Free Writing Prospectus,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Underwriters to the Company expressly for use in, such Prospectus or Permitted Free Writing Prospectus or arises out of or is based upon any omission or alleged omission to state a material fact in such Prospectus or Permitted Free Writing Prospectus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230" w:lineRule="exact"/>
        <w:rPr>
          <w:rFonts w:ascii="Arial" w:cs="Arial" w:eastAsia="Arial" w:hAnsi="Arial"/>
          <w:sz w:val="16"/>
          <w:szCs w:val="16"/>
          <w:color w:val="auto"/>
        </w:rPr>
      </w:pPr>
    </w:p>
    <w:p>
      <w:pPr>
        <w:jc w:val="both"/>
        <w:ind w:left="4" w:firstLine="1293"/>
        <w:spacing w:after="0" w:line="286" w:lineRule="auto"/>
        <w:tabs>
          <w:tab w:leader="none" w:pos="1726" w:val="left"/>
        </w:tabs>
        <w:numPr>
          <w:ilvl w:val="1"/>
          <w:numId w:val="27"/>
        </w:numPr>
        <w:rPr>
          <w:rFonts w:ascii="Arial" w:cs="Arial" w:eastAsia="Arial" w:hAnsi="Arial"/>
          <w:sz w:val="16"/>
          <w:szCs w:val="16"/>
          <w:color w:val="auto"/>
        </w:rPr>
      </w:pPr>
      <w:r>
        <w:rPr>
          <w:rFonts w:ascii="Arial" w:cs="Arial" w:eastAsia="Arial" w:hAnsi="Arial"/>
          <w:sz w:val="16"/>
          <w:szCs w:val="16"/>
          <w:color w:val="auto"/>
        </w:rPr>
        <w:t>Each Underwriter severally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contained in, and in conformity with information concerning such Underwriter furnished in writing by or on behalf of such Underwriter to the Company expressly for use in, the Registration Statement (or in the Registration Statement as amended by any post-effective amendment thereof by the Company), or arises out of or is based upon any omission or alleged omission to state a material fact in such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contained in, and in conformity with information concerning such Underwriter furnished in writing by or on behalf of such Underwriter through the Underwriters to the Company expressly for use in, a Prospectus or a Permitted Free Writing Prospectus, or arises out of or is based upon any omission or alleged omission to state a material fact in such Prospectus or Permitted Free Writing Prospectus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195" w:lineRule="exact"/>
        <w:rPr>
          <w:rFonts w:ascii="Arial" w:cs="Arial" w:eastAsia="Arial" w:hAnsi="Arial"/>
          <w:sz w:val="16"/>
          <w:szCs w:val="16"/>
          <w:color w:val="auto"/>
        </w:rPr>
      </w:pPr>
    </w:p>
    <w:p>
      <w:pPr>
        <w:ind w:left="4924" w:hanging="113"/>
        <w:spacing w:after="0"/>
        <w:tabs>
          <w:tab w:leader="none" w:pos="4924" w:val="left"/>
        </w:tabs>
        <w:numPr>
          <w:ilvl w:val="2"/>
          <w:numId w:val="27"/>
        </w:numPr>
        <w:rPr>
          <w:rFonts w:ascii="Arial" w:cs="Arial" w:eastAsia="Arial" w:hAnsi="Arial"/>
          <w:sz w:val="18"/>
          <w:szCs w:val="18"/>
          <w:color w:val="auto"/>
        </w:rPr>
      </w:pPr>
      <w:r>
        <w:rPr>
          <w:rFonts w:ascii="Arial" w:cs="Arial" w:eastAsia="Arial" w:hAnsi="Arial"/>
          <w:sz w:val="18"/>
          <w:szCs w:val="18"/>
          <w:color w:val="auto"/>
        </w:rPr>
        <w:t>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23" w:name="page24"/>
    <w:bookmarkEnd w:id="23"/>
    <w:p>
      <w:pPr>
        <w:jc w:val="both"/>
        <w:ind w:left="-540" w:firstLine="1293"/>
        <w:spacing w:after="0" w:line="284" w:lineRule="auto"/>
        <w:tabs>
          <w:tab w:leader="none" w:pos="11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any action, suit or proceeding (each, a “Proceeding”) is brought against a person (an “indemnified party”) in respect of which indemnity may be sought against the Company or an Underwriter (as applicable, the “indemnifying party”) pursuant to subsection (a) or (b), respectively, of this Section 9, such indemnified party shall promptly notify such indemnifying party in writing of the institution of such Proceeding and such indemnifying party shall assume the defense of such Proceeding, including the employment of counsel reasonably satisfactory to such indemnified party and payment of all fees and expenses; provided, however, that the omission to so notify such indemnifying party shall not relieve such indemnifying party from any liability which such indemnifying party may have to any indemnified party or otherwise. The indemnified party or parties shall have the right to employ its or their own counsel in any such case, but the fees and expenses of such counsel shall be at the expense of such indemnified party or parties unless the employment of such counsel shall have been authorized in writing by the indemnifying party in connection with the defense of such Proceeding or the indemnifying party shall not have, within a reasonable period of time in light of the circumstances, employed counsel to defend such Proceeding or such indemnified party or parties shall have reasonably concluded that there may be defenses available to it or them which are different from, additional to or in conflict with those available to such indemnifying party (in which case such indemnifying party shall not have the right to direct the defense of such Proceeding on behalf of the indemnified party or parties), in any of which events such fees and expenses shall be borne by such indemnifying party and paid as incurred (it being understood, however, that such indemnifying party shall not be liable for the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such consent not to be unreasonably withheld, but, if settled with its written consent, such indemnifying party agrees to indemnify and hold harmless the indemnified party or parties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Section 9(c),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spacing w:after="0" w:line="226" w:lineRule="exact"/>
        <w:rPr>
          <w:rFonts w:ascii="Arial" w:cs="Arial" w:eastAsia="Arial" w:hAnsi="Arial"/>
          <w:sz w:val="16"/>
          <w:szCs w:val="16"/>
          <w:color w:val="auto"/>
        </w:rPr>
      </w:pPr>
    </w:p>
    <w:p>
      <w:pPr>
        <w:jc w:val="both"/>
        <w:ind w:left="-540" w:firstLine="1293"/>
        <w:spacing w:after="0" w:line="285" w:lineRule="auto"/>
        <w:tabs>
          <w:tab w:leader="none" w:pos="11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damages, expenses, liabilities or claims, as well as any other relevant equitable considerations. The relative benefits received by the Company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on the one hand and of the Underwriters on the other shall be determined by reference to, among other things, whether the untrue statement or alleged untrue statement of a material fact or omission or alleged omission relates to information supplied by the Company or by the Underwriters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231" w:lineRule="exact"/>
        <w:rPr>
          <w:rFonts w:ascii="Arial" w:cs="Arial" w:eastAsia="Arial" w:hAnsi="Arial"/>
          <w:sz w:val="16"/>
          <w:szCs w:val="16"/>
          <w:color w:val="auto"/>
        </w:rPr>
      </w:pPr>
    </w:p>
    <w:p>
      <w:pPr>
        <w:jc w:val="both"/>
        <w:ind w:left="-540" w:firstLine="1293"/>
        <w:spacing w:after="0" w:line="290" w:lineRule="auto"/>
        <w:tabs>
          <w:tab w:leader="none" w:pos="11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and the Underwriters agree that it would not be just and equitable if contribution pursuant to this Section 9 were determined by pro rata allocation or by any other method of allocation that does not take account of the equitable considerations referred to in subsection (d) above. Notwithstanding the provisions of this Section 9, the Underwriters shall not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341" w:lineRule="exact"/>
        <w:rPr>
          <w:rFonts w:ascii="Arial" w:cs="Arial" w:eastAsia="Arial" w:hAnsi="Arial"/>
          <w:sz w:val="16"/>
          <w:szCs w:val="16"/>
          <w:color w:val="auto"/>
        </w:rPr>
      </w:pPr>
    </w:p>
    <w:p>
      <w:pPr>
        <w:ind w:left="4380" w:hanging="113"/>
        <w:spacing w:after="0"/>
        <w:tabs>
          <w:tab w:leader="none" w:pos="4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24" w:name="page25"/>
    <w:bookmarkEnd w:id="24"/>
    <w:p>
      <w:pPr>
        <w:jc w:val="both"/>
        <w:ind w:left="660" w:firstLine="1293"/>
        <w:spacing w:after="0" w:line="253" w:lineRule="auto"/>
        <w:tabs>
          <w:tab w:leader="none" w:pos="23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indemnity and contribution agreements contained in this Section 9 and the covenants, warranties and representations of the Company contained in this Agreement shall remain in full force and effect regardless of any investigation made by or on behalf of any Underwriter, its partners, directors or officers or any person (including each partner, director or officer of such person) who controls any Underwriter within the meaning of Section 15 of the Act or Section 20 of the Exchange Act,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and each Underwriter agree promptly to notify each other of the commencement of any Proceeding against it and, in the case of the Company, against any of the Company’s officers or directors in connection with the issuance and sale of the Shares, or in connection with the Registration Statement, any Basic Prospectus, the Prospectus or any Permitted Free Writing Prospectus.</w:t>
      </w:r>
    </w:p>
    <w:p>
      <w:pPr>
        <w:spacing w:after="0" w:line="251" w:lineRule="exact"/>
        <w:rPr>
          <w:rFonts w:ascii="Arial" w:cs="Arial" w:eastAsia="Arial" w:hAnsi="Arial"/>
          <w:sz w:val="18"/>
          <w:szCs w:val="18"/>
          <w:color w:val="auto"/>
        </w:rPr>
      </w:pPr>
    </w:p>
    <w:p>
      <w:pPr>
        <w:jc w:val="both"/>
        <w:ind w:firstLine="656"/>
        <w:spacing w:after="0" w:line="238" w:lineRule="auto"/>
        <w:tabs>
          <w:tab w:leader="none" w:pos="108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herein provided, all statements, requests, notices and agreements shall be in writing or by telegram or facsimile and, if to the Underwriters, shall be sufficient in all respects if delivered or sent to Canaccord Adams Inc., 99 High Street,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Boston, MA 02210, Attention: Syndicate Department (fax no.:61-7788-1553); and if to the Company, shall be sufficient in all respects if delivered or sent to the Company at the offices of the Company at 2111 N. Molter Road, Liberty Lake, Washington 99019, Attention: John W. Holleran, Senior Vice President, General Counsel and Corporate Secretary.</w:t>
      </w:r>
    </w:p>
    <w:p>
      <w:pPr>
        <w:spacing w:after="0" w:line="23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41" w:lineRule="exact"/>
        <w:rPr>
          <w:sz w:val="20"/>
          <w:szCs w:val="20"/>
          <w:color w:val="auto"/>
        </w:rPr>
      </w:pPr>
    </w:p>
    <w:p>
      <w:pPr>
        <w:jc w:val="both"/>
        <w:ind w:firstLine="656"/>
        <w:spacing w:after="0" w:line="286" w:lineRule="auto"/>
        <w:tabs>
          <w:tab w:leader="none" w:pos="108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u w:val="single" w:color="auto"/>
          <w:color w:val="auto"/>
        </w:rPr>
        <w:t>Claim</w:t>
      </w:r>
      <w:r>
        <w:rPr>
          <w:rFonts w:ascii="Arial" w:cs="Arial" w:eastAsia="Arial" w:hAnsi="Arial"/>
          <w:sz w:val="17"/>
          <w:szCs w:val="17"/>
          <w:color w:val="auto"/>
        </w:rPr>
        <w:t>”),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219" w:lineRule="exact"/>
        <w:rPr>
          <w:rFonts w:ascii="Arial" w:cs="Arial" w:eastAsia="Arial" w:hAnsi="Arial"/>
          <w:sz w:val="17"/>
          <w:szCs w:val="17"/>
          <w:color w:val="auto"/>
        </w:rPr>
      </w:pPr>
    </w:p>
    <w:p>
      <w:pPr>
        <w:jc w:val="both"/>
        <w:ind w:firstLine="656"/>
        <w:spacing w:after="0" w:line="270" w:lineRule="auto"/>
        <w:tabs>
          <w:tab w:leader="none" w:pos="110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arising out of or in any way relating to this Agreement is brought by any third party against any Underwriter or any indemnified party. Each Underwriter and the Company (on its behalf and, to the extent permitted by applicable law, on behalf of its shareholders and affiliates) waives all right to trial by jury in any action, proceeding or counterclaim (whether based upon contract, tort or otherwise) in any way arising out of or relating to this Agreement. The Company agrees that a final judgment in any such action, proceeding or counterclaim brought in any such court shall be conclusive and binding upon the Company and may be enforced in any other courts to the jurisdiction of which the Company or is or may be subject, by suit upon such judgment.</w:t>
      </w:r>
    </w:p>
    <w:p>
      <w:pPr>
        <w:spacing w:after="0" w:line="235" w:lineRule="exact"/>
        <w:rPr>
          <w:rFonts w:ascii="Arial" w:cs="Arial" w:eastAsia="Arial" w:hAnsi="Arial"/>
          <w:sz w:val="17"/>
          <w:szCs w:val="17"/>
          <w:color w:val="auto"/>
        </w:rPr>
      </w:pPr>
    </w:p>
    <w:p>
      <w:pPr>
        <w:jc w:val="both"/>
        <w:ind w:firstLine="656"/>
        <w:spacing w:after="0" w:line="279" w:lineRule="auto"/>
        <w:tabs>
          <w:tab w:leader="none" w:pos="1089"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Parties at Interest</w:t>
      </w:r>
      <w:r>
        <w:rPr>
          <w:rFonts w:ascii="Arial" w:cs="Arial" w:eastAsia="Arial" w:hAnsi="Arial"/>
          <w:sz w:val="17"/>
          <w:szCs w:val="17"/>
          <w:color w:val="auto"/>
        </w:rPr>
        <w:t>. The Agreement herein set forth has been and is made solely for the benefit of the Underwriters and the Company and to the extent provided in Section 9 hereof the controlling persons, partners, directors and officers referred to in such Section 9,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225" w:lineRule="exact"/>
        <w:rPr>
          <w:rFonts w:ascii="Arial" w:cs="Arial" w:eastAsia="Arial" w:hAnsi="Arial"/>
          <w:sz w:val="17"/>
          <w:szCs w:val="17"/>
          <w:color w:val="auto"/>
        </w:rPr>
      </w:pPr>
    </w:p>
    <w:p>
      <w:pPr>
        <w:jc w:val="both"/>
        <w:ind w:firstLine="656"/>
        <w:spacing w:after="0" w:line="287" w:lineRule="auto"/>
        <w:tabs>
          <w:tab w:leader="none" w:pos="1089"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in connection with the purchase and sale of the Company’s securities.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or creditors or any other person in connection with any activity that the Underwriters may undertake or have undertaken in furtherance of the purchase and sale of the Company’s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95" w:lineRule="exact"/>
        <w:rPr>
          <w:rFonts w:ascii="Arial" w:cs="Arial" w:eastAsia="Arial" w:hAnsi="Arial"/>
          <w:sz w:val="16"/>
          <w:szCs w:val="16"/>
          <w:color w:val="auto"/>
        </w:rPr>
      </w:pPr>
    </w:p>
    <w:p>
      <w:pPr>
        <w:ind w:left="5580" w:hanging="113"/>
        <w:spacing w:after="0"/>
        <w:tabs>
          <w:tab w:leader="none" w:pos="5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5" w:name="page26"/>
    <w:bookmarkEnd w:id="25"/>
    <w:p>
      <w:pPr>
        <w:ind w:firstLine="656"/>
        <w:spacing w:after="0" w:line="277" w:lineRule="auto"/>
        <w:tabs>
          <w:tab w:leader="none" w:pos="110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224" w:lineRule="exact"/>
        <w:rPr>
          <w:rFonts w:ascii="Arial" w:cs="Arial" w:eastAsia="Arial" w:hAnsi="Arial"/>
          <w:sz w:val="18"/>
          <w:szCs w:val="18"/>
          <w:color w:val="auto"/>
        </w:rPr>
      </w:pPr>
    </w:p>
    <w:p>
      <w:pPr>
        <w:ind w:right="20" w:firstLine="656"/>
        <w:spacing w:after="0" w:line="308" w:lineRule="auto"/>
        <w:tabs>
          <w:tab w:leader="none" w:pos="1089"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the Underwriters and the Company and their successors and assigns and any successor or assign of any substantial portion of the Company’s and any of the Underwriters’ respective businesses and/or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 w:name="page27"/>
    <w:bookmarkEnd w:id="26"/>
    <w:p>
      <w:pPr>
        <w:jc w:val="both"/>
        <w:ind w:firstLine="1297"/>
        <w:spacing w:after="0" w:line="264" w:lineRule="auto"/>
        <w:rPr>
          <w:sz w:val="20"/>
          <w:szCs w:val="20"/>
          <w:color w:val="auto"/>
        </w:rPr>
      </w:pPr>
      <w:r>
        <w:rPr>
          <w:rFonts w:ascii="Arial" w:cs="Arial" w:eastAsia="Arial" w:hAnsi="Arial"/>
          <w:sz w:val="18"/>
          <w:szCs w:val="18"/>
          <w:color w:val="auto"/>
        </w:rPr>
        <w:t>If the foregoing correctly sets forth the understanding among the Company and the several Underwriters, please so indicate in the space provided below for that purpose, whereupon this Agreement and the Underwriters’ acceptance shall constitute a binding agreement among the Company and the Underwriters, severally.</w:t>
      </w: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TRON</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M. Helmbrecht</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w:t>
      </w:r>
      <w:r>
        <w:rPr>
          <w:rFonts w:ascii="Arial" w:cs="Arial" w:eastAsia="Arial" w:hAnsi="Arial"/>
          <w:sz w:val="18"/>
          <w:szCs w:val="18"/>
          <w:color w:val="auto"/>
        </w:rPr>
        <w:t>e: Steven M. Helmbrecht</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Sr. Vice President &amp; CFO</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Accepted and agreed to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 on behalf of itself</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ANACCORD</w:t>
      </w:r>
      <w:r>
        <w:rPr>
          <w:rFonts w:ascii="Arial" w:cs="Arial" w:eastAsia="Arial" w:hAnsi="Arial"/>
          <w:sz w:val="18"/>
          <w:szCs w:val="18"/>
          <w:color w:val="auto"/>
        </w:rPr>
        <w:t xml:space="preserve"> A</w:t>
      </w:r>
      <w:r>
        <w:rPr>
          <w:rFonts w:ascii="Arial" w:cs="Arial" w:eastAsia="Arial" w:hAnsi="Arial"/>
          <w:sz w:val="12"/>
          <w:szCs w:val="12"/>
          <w:color w:val="auto"/>
        </w:rPr>
        <w:t>DAMS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Jamie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2229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380"/>
        <w:spacing w:after="0" w:line="238" w:lineRule="auto"/>
        <w:rPr>
          <w:sz w:val="20"/>
          <w:szCs w:val="20"/>
          <w:color w:val="auto"/>
        </w:rPr>
      </w:pPr>
      <w:r>
        <w:rPr>
          <w:rFonts w:ascii="Arial" w:cs="Arial" w:eastAsia="Arial" w:hAnsi="Arial"/>
          <w:sz w:val="22"/>
          <w:szCs w:val="22"/>
          <w:color w:val="auto"/>
        </w:rPr>
        <w:t>Name: Jamie Brown</w:t>
      </w:r>
    </w:p>
    <w:p>
      <w:pPr>
        <w:ind w:left="380"/>
        <w:spacing w:after="0"/>
        <w:rPr>
          <w:sz w:val="20"/>
          <w:szCs w:val="20"/>
          <w:color w:val="auto"/>
        </w:rPr>
      </w:pPr>
      <w:r>
        <w:rPr>
          <w:rFonts w:ascii="Arial" w:cs="Arial" w:eastAsia="Arial" w:hAnsi="Arial"/>
          <w:sz w:val="19"/>
          <w:szCs w:val="19"/>
          <w:color w:val="auto"/>
        </w:rPr>
        <w:t>Title: President, Head of Investment Banking, Canaccord Adams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ANACCORD</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Jamie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2229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380"/>
        <w:spacing w:after="0" w:line="238" w:lineRule="auto"/>
        <w:rPr>
          <w:sz w:val="20"/>
          <w:szCs w:val="20"/>
          <w:color w:val="auto"/>
        </w:rPr>
      </w:pPr>
      <w:r>
        <w:rPr>
          <w:rFonts w:ascii="Arial" w:cs="Arial" w:eastAsia="Arial" w:hAnsi="Arial"/>
          <w:sz w:val="22"/>
          <w:szCs w:val="22"/>
          <w:color w:val="auto"/>
        </w:rPr>
        <w:t>Name: Jamie Brown</w:t>
      </w:r>
    </w:p>
    <w:p>
      <w:pPr>
        <w:ind w:left="380"/>
        <w:spacing w:after="0"/>
        <w:rPr>
          <w:sz w:val="20"/>
          <w:szCs w:val="20"/>
          <w:color w:val="auto"/>
        </w:rPr>
      </w:pPr>
      <w:r>
        <w:rPr>
          <w:rFonts w:ascii="Arial" w:cs="Arial" w:eastAsia="Arial" w:hAnsi="Arial"/>
          <w:sz w:val="19"/>
          <w:szCs w:val="19"/>
          <w:color w:val="auto"/>
        </w:rPr>
        <w:t>Title: President, Head of Investment Banking, Canaccord Adams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TEPHENS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Joseph Mowery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2202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ind w:left="380"/>
        <w:spacing w:after="0" w:line="238" w:lineRule="auto"/>
        <w:rPr>
          <w:sz w:val="20"/>
          <w:szCs w:val="20"/>
          <w:color w:val="auto"/>
        </w:rPr>
      </w:pPr>
      <w:r>
        <w:rPr>
          <w:rFonts w:ascii="Arial" w:cs="Arial" w:eastAsia="Arial" w:hAnsi="Arial"/>
          <w:sz w:val="22"/>
          <w:szCs w:val="22"/>
          <w:color w:val="auto"/>
        </w:rPr>
        <w:t>Name: Joseph Mowery</w:t>
      </w:r>
    </w:p>
    <w:p>
      <w:pPr>
        <w:ind w:left="3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
    <w:nsid w:val="7C83E458"/>
    <w:multiLevelType w:val="hybridMultilevel"/>
    <w:lvl w:ilvl="0">
      <w:lvlJc w:val="left"/>
      <w:lvlText w:val="(%1)"/>
      <w:numFmt w:val="lowerLetter"/>
      <w:start w:val="2"/>
    </w:lvl>
    <w:lvl w:ilvl="1">
      <w:lvlJc w:val="left"/>
      <w:lvlText w:val="-"/>
      <w:numFmt w:val="bullet"/>
      <w:start w:val="1"/>
    </w:lvl>
  </w:abstractNum>
  <w:abstractNum w:abstractNumId="6">
    <w:nsid w:val="257130A3"/>
    <w:multiLevelType w:val="hybridMultilevel"/>
    <w:lvl w:ilvl="0">
      <w:lvlJc w:val="left"/>
      <w:lvlText w:val="%1"/>
      <w:numFmt w:val="upperLetter"/>
      <w:start w:val="1"/>
    </w:lvl>
    <w:lvl w:ilvl="1">
      <w:lvlJc w:val="left"/>
      <w:lvlText w:val="(%2)"/>
      <w:numFmt w:val="lowerLetter"/>
      <w:start w:val="5"/>
    </w:lvl>
    <w:lvl w:ilvl="2">
      <w:lvlJc w:val="left"/>
      <w:lvlText w:val="-"/>
      <w:numFmt w:val="bullet"/>
      <w:start w:val="1"/>
    </w:lvl>
  </w:abstractNum>
  <w:abstractNum w:abstractNumId="7">
    <w:nsid w:val="62BBD95A"/>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8">
    <w:nsid w:val="436C6125"/>
    <w:multiLevelType w:val="hybridMultilevel"/>
    <w:lvl w:ilvl="0">
      <w:lvlJc w:val="left"/>
      <w:lvlText w:val="(%1)"/>
      <w:numFmt w:val="upperLetter"/>
      <w:start w:val="3"/>
    </w:lvl>
    <w:lvl w:ilvl="1">
      <w:lvlJc w:val="left"/>
      <w:lvlText w:val="%2"/>
      <w:numFmt w:val="lowerLetter"/>
      <w:start w:val="1"/>
    </w:lvl>
    <w:lvl w:ilvl="2">
      <w:lvlJc w:val="left"/>
      <w:lvlText w:val="-"/>
      <w:numFmt w:val="bullet"/>
      <w:start w:val="1"/>
    </w:lvl>
  </w:abstractNum>
  <w:abstractNum w:abstractNumId="9">
    <w:nsid w:val="628C895D"/>
    <w:multiLevelType w:val="hybridMultilevel"/>
    <w:lvl w:ilvl="0">
      <w:lvlJc w:val="left"/>
      <w:lvlText w:val="%1"/>
      <w:numFmt w:val="upperLetter"/>
      <w:start w:val="1"/>
    </w:lvl>
    <w:lvl w:ilvl="1">
      <w:lvlJc w:val="left"/>
      <w:lvlText w:val="(%2)"/>
      <w:numFmt w:val="lowerLetter"/>
      <w:start w:val="13"/>
    </w:lvl>
    <w:lvl w:ilvl="2">
      <w:lvlJc w:val="left"/>
      <w:lvlText w:val="-"/>
      <w:numFmt w:val="bullet"/>
      <w:start w:val="1"/>
    </w:lvl>
  </w:abstractNum>
  <w:abstractNum w:abstractNumId="10">
    <w:nsid w:val="333AB105"/>
    <w:multiLevelType w:val="hybridMultilevel"/>
    <w:lvl w:ilvl="0">
      <w:lvlJc w:val="left"/>
      <w:lvlText w:val="(%1)"/>
      <w:numFmt w:val="upperLetter"/>
      <w:start w:val="1"/>
    </w:lvl>
    <w:lvl w:ilvl="1">
      <w:lvlJc w:val="left"/>
      <w:lvlText w:val="(%2)"/>
      <w:numFmt w:val="lowerLetter"/>
      <w:start w:val="14"/>
    </w:lvl>
    <w:lvl w:ilvl="2">
      <w:lvlJc w:val="left"/>
      <w:lvlText w:val="-"/>
      <w:numFmt w:val="bullet"/>
      <w:start w:val="1"/>
    </w:lvl>
  </w:abstractNum>
  <w:abstractNum w:abstractNumId="11">
    <w:nsid w:val="721DA317"/>
    <w:multiLevelType w:val="hybridMultilevel"/>
    <w:lvl w:ilvl="0">
      <w:lvlJc w:val="left"/>
      <w:lvlText w:val="(%1)"/>
      <w:numFmt w:val="lowerLetter"/>
      <w:start w:val="19"/>
    </w:lvl>
    <w:lvl w:ilvl="1">
      <w:lvlJc w:val="left"/>
      <w:lvlText w:val="-"/>
      <w:numFmt w:val="bullet"/>
      <w:start w:val="1"/>
    </w:lvl>
  </w:abstractNum>
  <w:abstractNum w:abstractNumId="12">
    <w:nsid w:val="2443A858"/>
    <w:multiLevelType w:val="hybridMultilevel"/>
    <w:lvl w:ilvl="0">
      <w:lvlJc w:val="left"/>
      <w:lvlText w:val="%1"/>
      <w:numFmt w:val="lowerLetter"/>
      <w:start w:val="1"/>
    </w:lvl>
    <w:lvl w:ilvl="1">
      <w:lvlJc w:val="left"/>
      <w:lvlText w:val="(%2)"/>
      <w:numFmt w:val="lowerLetter"/>
      <w:start w:val="25"/>
    </w:lvl>
    <w:lvl w:ilvl="2">
      <w:lvlJc w:val="left"/>
      <w:lvlText w:val="-"/>
      <w:numFmt w:val="bullet"/>
      <w:start w:val="1"/>
    </w:lvl>
  </w:abstractNum>
  <w:abstractNum w:abstractNumId="13">
    <w:nsid w:val="2D1D5AE9"/>
    <w:multiLevelType w:val="hybridMultilevel"/>
    <w:lvl w:ilvl="0">
      <w:lvlJc w:val="left"/>
      <w:lvlText w:val="(%1)"/>
      <w:numFmt w:val="lowerLetter"/>
      <w:start w:val="61"/>
    </w:lvl>
    <w:lvl w:ilvl="1">
      <w:lvlJc w:val="left"/>
      <w:lvlText w:val="(%2)"/>
      <w:numFmt w:val="lowerLetter"/>
      <w:start w:val="27"/>
    </w:lvl>
    <w:lvl w:ilvl="2">
      <w:lvlJc w:val="left"/>
      <w:lvlText w:val="-"/>
      <w:numFmt w:val="bullet"/>
      <w:start w:val="1"/>
    </w:lvl>
  </w:abstractNum>
  <w:abstractNum w:abstractNumId="14">
    <w:nsid w:val="6763845E"/>
    <w:multiLevelType w:val="hybridMultilevel"/>
    <w:lvl w:ilvl="0">
      <w:lvlJc w:val="left"/>
      <w:lvlText w:val="(%1)"/>
      <w:numFmt w:val="lowerLetter"/>
      <w:start w:val="29"/>
    </w:lvl>
    <w:lvl w:ilvl="1">
      <w:lvlJc w:val="left"/>
      <w:lvlText w:val="-"/>
      <w:numFmt w:val="bullet"/>
      <w:start w:val="1"/>
    </w:lvl>
  </w:abstractNum>
  <w:abstractNum w:abstractNumId="15">
    <w:nsid w:val="75A2A8D4"/>
    <w:multiLevelType w:val="hybridMultilevel"/>
    <w:lvl w:ilvl="0">
      <w:lvlJc w:val="left"/>
      <w:lvlText w:val="(%1)"/>
      <w:numFmt w:val="lowerLetter"/>
      <w:start w:val="36"/>
    </w:lvl>
    <w:lvl w:ilvl="1">
      <w:lvlJc w:val="left"/>
      <w:lvlText w:val="-"/>
      <w:numFmt w:val="bullet"/>
      <w:start w:val="1"/>
    </w:lvl>
  </w:abstractNum>
  <w:abstractNum w:abstractNumId="16">
    <w:nsid w:val="8EDBDAB"/>
    <w:multiLevelType w:val="hybridMultilevel"/>
    <w:lvl w:ilvl="0">
      <w:lvlJc w:val="left"/>
      <w:lvlText w:val="(%1)"/>
      <w:numFmt w:val="lowerLetter"/>
      <w:start w:val="45"/>
    </w:lvl>
  </w:abstractNum>
  <w:abstractNum w:abstractNumId="17">
    <w:nsid w:val="79838CB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8">
    <w:nsid w:val="4353D0CD"/>
    <w:multiLevelType w:val="hybridMultilevel"/>
    <w:lvl w:ilvl="0">
      <w:lvlJc w:val="left"/>
      <w:lvlText w:val="(%1)"/>
      <w:numFmt w:val="lowerLetter"/>
      <w:start w:val="5"/>
    </w:lvl>
    <w:lvl w:ilvl="1">
      <w:lvlJc w:val="left"/>
      <w:lvlText w:val="-"/>
      <w:numFmt w:val="bullet"/>
      <w:start w:val="1"/>
    </w:lvl>
  </w:abstractNum>
  <w:abstractNum w:abstractNumId="19">
    <w:nsid w:val="B03E0C6"/>
    <w:multiLevelType w:val="hybridMultilevel"/>
    <w:lvl w:ilvl="0">
      <w:lvlJc w:val="left"/>
      <w:lvlText w:val="(%1)"/>
      <w:numFmt w:val="lowerLetter"/>
      <w:start w:val="11"/>
    </w:lvl>
    <w:lvl w:ilvl="1">
      <w:lvlJc w:val="left"/>
      <w:lvlText w:val="-"/>
      <w:numFmt w:val="bullet"/>
      <w:start w:val="1"/>
    </w:lvl>
  </w:abstractNum>
  <w:abstractNum w:abstractNumId="20">
    <w:nsid w:val="189A769B"/>
    <w:multiLevelType w:val="hybridMultilevel"/>
    <w:lvl w:ilvl="0">
      <w:lvlJc w:val="left"/>
      <w:lvlText w:val="%1"/>
      <w:numFmt w:val="decimal"/>
      <w:start w:val="1"/>
    </w:lvl>
    <w:lvl w:ilvl="1">
      <w:lvlJc w:val="left"/>
      <w:lvlText w:val="(%2)"/>
      <w:numFmt w:val="lowerLetter"/>
      <w:start w:val="17"/>
    </w:lvl>
    <w:lvl w:ilvl="2">
      <w:lvlJc w:val="left"/>
      <w:lvlText w:val="-"/>
      <w:numFmt w:val="bullet"/>
      <w:start w:val="1"/>
    </w:lvl>
  </w:abstractNum>
  <w:abstractNum w:abstractNumId="21">
    <w:nsid w:val="54E49EB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2">
    <w:nsid w:val="71F32454"/>
    <w:multiLevelType w:val="hybridMultilevel"/>
    <w:lvl w:ilvl="0">
      <w:lvlJc w:val="left"/>
      <w:lvlText w:val="(%1)"/>
      <w:numFmt w:val="lowerLetter"/>
      <w:start w:val="3"/>
    </w:lvl>
    <w:lvl w:ilvl="1">
      <w:lvlJc w:val="left"/>
      <w:lvlText w:val="-"/>
      <w:numFmt w:val="bullet"/>
      <w:start w:val="1"/>
    </w:lvl>
  </w:abstractNum>
  <w:abstractNum w:abstractNumId="23">
    <w:nsid w:val="2CA88611"/>
    <w:multiLevelType w:val="hybridMultilevel"/>
    <w:lvl w:ilvl="0">
      <w:lvlJc w:val="left"/>
      <w:lvlText w:val="%1."/>
      <w:numFmt w:val="decimal"/>
      <w:start w:val="7"/>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8"/>
    </w:lvl>
  </w:abstractNum>
  <w:abstractNum w:abstractNumId="26">
    <w:nsid w:val="3A95F874"/>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7">
    <w:nsid w:val="8138641"/>
    <w:multiLevelType w:val="hybridMultilevel"/>
    <w:lvl w:ilvl="0">
      <w:lvlJc w:val="left"/>
      <w:lvlText w:val="(%1)"/>
      <w:numFmt w:val="lowerLetter"/>
      <w:start w:val="3"/>
    </w:lvl>
    <w:lvl w:ilvl="1">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6"/>
    </w:lvl>
  </w:abstractNum>
  <w:abstractNum w:abstractNumId="29">
    <w:nsid w:val="7C3DBD3D"/>
    <w:multiLevelType w:val="hybridMultilevel"/>
    <w:lvl w:ilvl="0">
      <w:lvlJc w:val="left"/>
      <w:lvlText w:val="%1."/>
      <w:numFmt w:val="decimal"/>
      <w:start w:val="10"/>
    </w:lvl>
    <w:lvl w:ilvl="1">
      <w:lvlJc w:val="left"/>
      <w:lvlText w:val="%2"/>
      <w:numFmt w:val="lowerLetter"/>
      <w:start w:val="1"/>
    </w:lvl>
  </w:abstractNum>
  <w:abstractNum w:abstractNumId="30">
    <w:nsid w:val="737B8DDC"/>
    <w:multiLevelType w:val="hybridMultilevel"/>
    <w:lvl w:ilvl="0">
      <w:lvlJc w:val="left"/>
      <w:lvlText w:val="%1."/>
      <w:numFmt w:val="decimal"/>
      <w:start w:val="11"/>
    </w:lvl>
    <w:lvl w:ilvl="1">
      <w:lvlJc w:val="left"/>
      <w:lvlText w:val="-"/>
      <w:numFmt w:val="bullet"/>
      <w:start w:val="1"/>
    </w:lvl>
  </w:abstractNum>
  <w:abstractNum w:abstractNumId="31">
    <w:nsid w:val="6CEAF087"/>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2019-12-10T06:26:58Z</dcterms:created>
  <dcterms:modified xsi:type="dcterms:W3CDTF">2019-12-10T06:26:58Z</dcterms:modified>
</cp:coreProperties>
</file>