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May 24, 2012</w:t>
      </w:r>
    </w:p>
    <w:p>
      <w:pPr>
        <w:spacing w:after="0" w:line="90"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S-8</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p>
      <w:pPr>
        <w:spacing w:after="0" w:line="256" w:lineRule="exact"/>
        <w:rPr>
          <w:sz w:val="24"/>
          <w:szCs w:val="24"/>
          <w:color w:val="auto"/>
        </w:rPr>
      </w:pPr>
    </w:p>
    <w:p>
      <w:pPr>
        <w:ind w:left="242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56" w:lineRule="exact"/>
        <w:rPr>
          <w:sz w:val="24"/>
          <w:szCs w:val="24"/>
          <w:color w:val="auto"/>
        </w:rPr>
      </w:pPr>
    </w:p>
    <w:p>
      <w:pPr>
        <w:sectPr>
          <w:pgSz w:w="11900" w:h="16838" w:orient="portrait"/>
          <w:cols w:equalWidth="0" w:num="2">
            <w:col w:w="7540" w:space="720"/>
            <w:col w:w="3100"/>
          </w:cols>
          <w:pgMar w:left="240" w:top="233" w:right="29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2" w:lineRule="exact"/>
        <w:rPr>
          <w:sz w:val="24"/>
          <w:szCs w:val="24"/>
          <w:color w:val="auto"/>
        </w:rPr>
      </w:pPr>
    </w:p>
    <w:p>
      <w:pPr>
        <w:sectPr>
          <w:pgSz w:w="11900" w:h="16838" w:orient="portrait"/>
          <w:cols w:equalWidth="0" w:num="2">
            <w:col w:w="7440" w:space="720"/>
            <w:col w:w="3200"/>
          </w:cols>
          <w:pgMar w:left="240" w:top="233"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2111 N. Molter Road</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(Address of principal executive offices, including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ITRON, INC. 2012 EMPLOYEE STOCK PURCHASE PLAN</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Steven M. Helmbrecht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Liberty Lake, Washington 99019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Copy to:</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Andrew Bor</w:t>
      </w:r>
    </w:p>
    <w:p>
      <w:pPr>
        <w:jc w:val="center"/>
        <w:ind w:right="-59"/>
        <w:spacing w:after="0" w:line="221" w:lineRule="auto"/>
        <w:rPr>
          <w:sz w:val="20"/>
          <w:szCs w:val="20"/>
          <w:color w:val="auto"/>
        </w:rPr>
      </w:pPr>
      <w:r>
        <w:rPr>
          <w:rFonts w:ascii="Arial" w:cs="Arial" w:eastAsia="Arial" w:hAnsi="Arial"/>
          <w:sz w:val="14"/>
          <w:szCs w:val="14"/>
          <w:b w:val="1"/>
          <w:bCs w:val="1"/>
          <w:color w:val="auto"/>
        </w:rPr>
        <w:t>Perkins Coie LLP</w:t>
      </w:r>
    </w:p>
    <w:p>
      <w:pPr>
        <w:jc w:val="center"/>
        <w:ind w:right="-59"/>
        <w:spacing w:after="0" w:line="221" w:lineRule="auto"/>
        <w:rPr>
          <w:sz w:val="20"/>
          <w:szCs w:val="20"/>
          <w:color w:val="auto"/>
        </w:rPr>
      </w:pPr>
      <w:r>
        <w:rPr>
          <w:rFonts w:ascii="Arial" w:cs="Arial" w:eastAsia="Arial" w:hAnsi="Arial"/>
          <w:sz w:val="14"/>
          <w:szCs w:val="14"/>
          <w:b w:val="1"/>
          <w:bCs w:val="1"/>
          <w:color w:val="auto"/>
        </w:rPr>
        <w:t>1201 Third Avenue, Suite 4900</w:t>
      </w:r>
    </w:p>
    <w:p>
      <w:pPr>
        <w:jc w:val="center"/>
        <w:ind w:right="-59"/>
        <w:spacing w:after="0" w:line="222" w:lineRule="auto"/>
        <w:rPr>
          <w:sz w:val="20"/>
          <w:szCs w:val="20"/>
          <w:color w:val="auto"/>
        </w:rPr>
      </w:pPr>
      <w:r>
        <w:rPr>
          <w:rFonts w:ascii="Arial" w:cs="Arial" w:eastAsia="Arial" w:hAnsi="Arial"/>
          <w:sz w:val="14"/>
          <w:szCs w:val="14"/>
          <w:b w:val="1"/>
          <w:bCs w:val="1"/>
          <w:color w:val="auto"/>
        </w:rPr>
        <w:t>Seattle, Washington 98101-3099</w:t>
      </w:r>
    </w:p>
    <w:p>
      <w:pPr>
        <w:jc w:val="center"/>
        <w:ind w:right="-59"/>
        <w:spacing w:after="0"/>
        <w:rPr>
          <w:sz w:val="20"/>
          <w:szCs w:val="20"/>
          <w:color w:val="auto"/>
        </w:rPr>
      </w:pPr>
      <w:r>
        <w:rPr>
          <w:rFonts w:ascii="Arial" w:cs="Arial" w:eastAsia="Arial" w:hAnsi="Arial"/>
          <w:sz w:val="14"/>
          <w:szCs w:val="14"/>
          <w:b w:val="1"/>
          <w:bCs w:val="1"/>
          <w:color w:val="auto"/>
        </w:rPr>
        <w:t>(206) 359-8000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6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gridSpan w:val="2"/>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060" w:type="dxa"/>
            <w:vAlign w:val="bottom"/>
          </w:tcPr>
          <w:p>
            <w:pPr>
              <w:ind w:left="1920"/>
              <w:spacing w:after="0"/>
              <w:rPr>
                <w:sz w:val="20"/>
                <w:szCs w:val="20"/>
                <w:color w:val="auto"/>
              </w:rPr>
            </w:pPr>
            <w:r>
              <w:rPr>
                <w:rFonts w:ascii="Arial" w:cs="Arial" w:eastAsia="Arial" w:hAnsi="Arial"/>
                <w:sz w:val="18"/>
                <w:szCs w:val="18"/>
                <w:color w:val="auto"/>
                <w:w w:val="98"/>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18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40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-410845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600" w:type="dxa"/>
            <w:vAlign w:val="bottom"/>
            <w:tcBorders>
              <w:right w:val="single" w:sz="8" w:color="auto"/>
            </w:tcBorders>
          </w:tcPr>
          <w:p>
            <w:pPr>
              <w:jc w:val="center"/>
              <w:ind w:left="30"/>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w:t>
            </w: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5"/>
              </w:rPr>
              <w:t>Registered (1)</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87"/>
              </w:rPr>
              <w:t>Per Share (2)</w:t>
            </w:r>
          </w:p>
        </w:tc>
        <w:tc>
          <w:tcPr>
            <w:tcW w:w="1600" w:type="dxa"/>
            <w:vAlign w:val="bottom"/>
            <w:tcBorders>
              <w:bottom w:val="single" w:sz="8" w:color="auto"/>
              <w:right w:val="single" w:sz="8" w:color="auto"/>
            </w:tcBorders>
          </w:tcPr>
          <w:p>
            <w:pPr>
              <w:jc w:val="center"/>
              <w:ind w:left="30"/>
              <w:spacing w:after="0"/>
              <w:rPr>
                <w:sz w:val="20"/>
                <w:szCs w:val="20"/>
                <w:color w:val="auto"/>
              </w:rPr>
            </w:pPr>
            <w:r>
              <w:rPr>
                <w:rFonts w:ascii="Arial" w:cs="Arial" w:eastAsia="Arial" w:hAnsi="Arial"/>
                <w:sz w:val="14"/>
                <w:szCs w:val="14"/>
                <w:b w:val="1"/>
                <w:bCs w:val="1"/>
                <w:color w:val="auto"/>
                <w:w w:val="89"/>
              </w:rPr>
              <w:t>Offering Price (2)</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Registration Fee</w:t>
            </w:r>
          </w:p>
        </w:tc>
      </w:tr>
      <w:tr>
        <w:trPr>
          <w:trHeight w:val="201"/>
        </w:trPr>
        <w:tc>
          <w:tcPr>
            <w:tcW w:w="20" w:type="dxa"/>
            <w:vAlign w:val="bottom"/>
          </w:tcPr>
          <w:p>
            <w:pPr>
              <w:spacing w:after="0"/>
              <w:rPr>
                <w:sz w:val="17"/>
                <w:szCs w:val="17"/>
                <w:color w:val="auto"/>
              </w:rPr>
            </w:pPr>
          </w:p>
        </w:tc>
        <w:tc>
          <w:tcPr>
            <w:tcW w:w="50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87"/>
              </w:rPr>
              <w:t>Common Stock, no par value, together with associated Preferred Share</w:t>
            </w: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Purchase Rights, under the Itron, Inc. 2012 Employee Stock</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Purchase Plan</w:t>
            </w: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6"/>
              </w:rPr>
              <w:t>625,000</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$35.32</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$22,075,000</w:t>
            </w:r>
          </w:p>
        </w:tc>
        <w:tc>
          <w:tcPr>
            <w:tcW w:w="1560" w:type="dxa"/>
            <w:vAlign w:val="bottom"/>
            <w:tcBorders>
              <w:bottom w:val="single" w:sz="8" w:color="auto"/>
            </w:tcBorders>
          </w:tcPr>
          <w:p>
            <w:pPr>
              <w:jc w:val="center"/>
              <w:ind w:left="26"/>
              <w:spacing w:after="0"/>
              <w:rPr>
                <w:sz w:val="20"/>
                <w:szCs w:val="20"/>
                <w:color w:val="auto"/>
              </w:rPr>
            </w:pPr>
            <w:r>
              <w:rPr>
                <w:rFonts w:ascii="Arial" w:cs="Arial" w:eastAsia="Arial" w:hAnsi="Arial"/>
                <w:sz w:val="18"/>
                <w:szCs w:val="18"/>
                <w:color w:val="auto"/>
                <w:w w:val="87"/>
              </w:rPr>
              <w:t>$2,529.80</w:t>
            </w: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an indeterminate number of additional shares which may be necessary to adjust the number of shares reserved for issuance pursuant to the Registrant’s 2012 Employee Stock Purchase Plan as the result of any future stock split, stock dividend or similar adjustment of the Registrant’s outstanding Common Stock.</w:t>
      </w:r>
    </w:p>
    <w:p>
      <w:pPr>
        <w:spacing w:after="0" w:line="59" w:lineRule="exact"/>
        <w:rPr>
          <w:rFonts w:ascii="Arial" w:cs="Arial" w:eastAsia="Arial" w:hAnsi="Arial"/>
          <w:sz w:val="18"/>
          <w:szCs w:val="18"/>
          <w:color w:val="auto"/>
        </w:rPr>
      </w:pPr>
    </w:p>
    <w:p>
      <w:pPr>
        <w:ind w:left="460" w:right="20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457(c) and Rule 457(h) under the Securities Act of 1933, as amended (the “Securities Act”). The proposed maximum offering price per share is estimated to be $35.32 based on the average of the high ($35.68) and low ($34.95) sales prices of the Registrant’s Common Stock on May 22, 2012, as reported for such date by the NASDAQ Global Select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documents filed with the Securities and Exchange Commission (the “Commission”) by the Registrant, Itron, Inc., a Washington corporation (“Itron” or the “Registrant”), are hereby incorporated by reference in this Registration Statement:</w:t>
      </w:r>
    </w:p>
    <w:p>
      <w:pPr>
        <w:spacing w:after="0" w:line="51" w:lineRule="exact"/>
        <w:rPr>
          <w:sz w:val="20"/>
          <w:szCs w:val="20"/>
          <w:color w:val="auto"/>
        </w:rPr>
      </w:pPr>
    </w:p>
    <w:p>
      <w:pPr>
        <w:ind w:left="900" w:right="4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year ended December 31, 2011, filed on February 17, 2012, as amended by Amendment No. 1 to Annual Report on Form 10-K/A for the year ended December 31, 2011, filed on February 22, 2012, which contains audited financial statements for the most recent fiscal year for which such statements have been filed;</w:t>
      </w:r>
    </w:p>
    <w:p>
      <w:pPr>
        <w:spacing w:after="0" w:line="59"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Quarterly Report on Form 10-Q for the quarter ended March 31, 2012, filed on May 4, 2012, which contains unaudited interim financial statements;</w:t>
      </w:r>
    </w:p>
    <w:p>
      <w:pPr>
        <w:spacing w:after="0" w:line="50" w:lineRule="exact"/>
        <w:rPr>
          <w:rFonts w:ascii="Arial" w:cs="Arial" w:eastAsia="Arial" w:hAnsi="Arial"/>
          <w:sz w:val="18"/>
          <w:szCs w:val="18"/>
          <w:color w:val="auto"/>
        </w:rPr>
      </w:pPr>
    </w:p>
    <w:p>
      <w:pPr>
        <w:ind w:left="900" w:right="280" w:hanging="325"/>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Current Reports on Form 8-K filed on February 15, 2012, March 5, 2012, April 2, 2012, April 4, 2012, May 1, 2012, and May 4, 2012 excluding any portions of these reports that are furnished under Item 2.02 or Item 7.01 and any exhibits included with such Items;</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 on Form 8-K filed on May 24, 2012 updating Items 1, 2, 7, and 8 of Itron’s Annual Report on Form 10-K for the year ended December 31, 2011; and</w:t>
      </w:r>
    </w:p>
    <w:p>
      <w:pPr>
        <w:spacing w:after="0" w:line="50" w:lineRule="exact"/>
        <w:rPr>
          <w:rFonts w:ascii="Arial" w:cs="Arial" w:eastAsia="Arial" w:hAnsi="Arial"/>
          <w:sz w:val="18"/>
          <w:szCs w:val="18"/>
          <w:color w:val="auto"/>
        </w:rPr>
      </w:pPr>
    </w:p>
    <w:p>
      <w:pPr>
        <w:ind w:left="900" w:right="200" w:hanging="325"/>
        <w:spacing w:after="0" w:line="256"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as set forth in Registration Statement on Form 8-A, filed on September 18, 1993, and the description of the Registrant’s Preferred Share Purchase Rights in the Registration Statement on Form 8-A, filed on December 16, 2002, under Section 12(b) of the Securities Exchange Act of 1934, as amended (the “Exchange Act”), File No. 00-22418, including any amendments or reports filed for the purpose of updating such descriptions.</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All documents filed by the Registrant pursuant to Sections 13(a), 13(c), 14 or 15(d) of the Exchange Act after the date hereof, and prior to the filing of a post-effective amendment which indicates that the securities offered hereby have been sold or which deregisters the securities covered hereby then remaining unsold, shall also be deemed to be incorporated by reference into this Registration Statement and to be a part hereof commencing on the respective dates on which such documents are filed.</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Any statement contained in this Registration Statement or in a document incorporated or deemed to be incorporated by reference in this Registration Statement will be deemed to be modified or superseded to the extent that a statement contained herein or in any other subsequently filed document which also is or is deemed to be incorporated by reference in this Registration Statement modifies or supersedes that statement. Any statement so modified or superseded will not be deemed, except as so modified or superseded, to constitute a part of this Registration Statement.</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Washington Business Corporation Act, a corporation may indemnify directors against reasonable expenses for liability incurred in the defense of any proceeding to which such individuals were a party because of their position with the corporation. The director must have acted in good faith and reasonably believed that the conduct in the individual’s official capacity was in the best interests of the corporation and in all other cases that the conduct at least was not opposed to the corporation’s best interests. Indemnity is available for criminal proceedings if the individual had no reasonable cause to believe the conduct was unlawful. The Washington Business Corporation Act prohibits indemnification, however, in connection with any proceeding by or in the right of the corporation in which the individual is adjudged liable to the corporation or in connection with any other proceeding in which the individual was charged with and found liable for receiving an improper personal benefit. Washington law also provides for discretionary indemnification of officers. Under no circumstances, however, may any director or officer be indemnified for: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274" w:right="259" w:bottom="1440" w:gutter="0" w:footer="0" w:header="0"/>
        </w:sectPr>
      </w:pPr>
    </w:p>
    <w:bookmarkStart w:id="3" w:name="page4"/>
    <w:bookmarkEnd w:id="3"/>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acts or omissions finally adjudged to be intentional misconduct or a knowing violation of the law;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of a director or officer finally adjudged to be an unlawful distribution; or</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with respect to which it was finally adjudged that the director or officer personally received a benefit in money, property, or services to which the director or officer was not legally entitled.</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Section 10 of Itron’s amended and restated bylaws provides this indemnification to directors and officers to the full extent of the law. This right to indemnification includes the right to advancement of expenses upon an undertaking by the director or officer to repay the expenses if it is later determined that such indemnitee was not entitled to indemnification. Under Itron’s amended and restated bylaws, this right to indemnification is a contract right. Itron’s amended and restated bylaws provide that it may maintain insurance to protect any director or officer against any loss, liability or expense whether or not Itron would have the power to indemnify such person against such loss, liability or expense under the Washington Business Corporation Act.</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Itron’s amended and restated bylaws also authorize Itron to enter into contracts with any director or officer in furtherance of the provisions of the restated bylaws regarding indemnification and to create a trust fund, grant a security interest or use other means to ensure the payment of amounts necessary to effect this indemnification.</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Unless limited by the corporation’s articles of incorporation, Washington law requires indemnification if the director or officer is wholly successful on the merits of the action or otherwise. Any indemnification of a director in a derivative action must be reported to the shareholders in writing with or before notice of the next shareholders’ meeting. Article 9 of Itron’s amended and restated articles of incorporation provides that a director will not be liable to Itron or its shareholders for monetary damages for conduct as a director to the full extent of Washington law.</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60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18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500" w:type="dxa"/>
            <w:vAlign w:val="bottom"/>
          </w:tcPr>
          <w:p>
            <w:pPr>
              <w:spacing w:after="0"/>
              <w:rPr>
                <w:sz w:val="15"/>
                <w:szCs w:val="15"/>
                <w:color w:val="auto"/>
              </w:rPr>
            </w:pPr>
          </w:p>
        </w:tc>
      </w:tr>
      <w:tr>
        <w:trPr>
          <w:trHeight w:val="195"/>
        </w:trPr>
        <w:tc>
          <w:tcPr>
            <w:tcW w:w="780" w:type="dxa"/>
            <w:vAlign w:val="bottom"/>
            <w:gridSpan w:val="2"/>
          </w:tcPr>
          <w:p>
            <w:pPr>
              <w:jc w:val="right"/>
              <w:ind w:right="260"/>
              <w:spacing w:after="0" w:line="195" w:lineRule="exact"/>
              <w:rPr>
                <w:sz w:val="20"/>
                <w:szCs w:val="20"/>
                <w:color w:val="auto"/>
              </w:rPr>
            </w:pPr>
            <w:r>
              <w:rPr>
                <w:rFonts w:ascii="Arial" w:cs="Arial" w:eastAsia="Arial" w:hAnsi="Arial"/>
                <w:sz w:val="18"/>
                <w:szCs w:val="18"/>
                <w:color w:val="auto"/>
              </w:rPr>
              <w:t>4.1</w:t>
            </w:r>
          </w:p>
        </w:tc>
        <w:tc>
          <w:tcPr>
            <w:tcW w:w="380" w:type="dxa"/>
            <w:vAlign w:val="bottom"/>
          </w:tcPr>
          <w:p>
            <w:pPr>
              <w:spacing w:after="0"/>
              <w:rPr>
                <w:sz w:val="16"/>
                <w:szCs w:val="16"/>
                <w:color w:val="auto"/>
              </w:rPr>
            </w:pPr>
          </w:p>
        </w:tc>
        <w:tc>
          <w:tcPr>
            <w:tcW w:w="10220" w:type="dxa"/>
            <w:vAlign w:val="bottom"/>
            <w:gridSpan w:val="2"/>
          </w:tcPr>
          <w:p>
            <w:pPr>
              <w:spacing w:after="0" w:line="195" w:lineRule="exact"/>
              <w:rPr>
                <w:sz w:val="20"/>
                <w:szCs w:val="20"/>
                <w:color w:val="auto"/>
              </w:rPr>
            </w:pPr>
            <w:r>
              <w:rPr>
                <w:rFonts w:ascii="Arial" w:cs="Arial" w:eastAsia="Arial" w:hAnsi="Arial"/>
                <w:sz w:val="18"/>
                <w:szCs w:val="18"/>
                <w:color w:val="auto"/>
                <w:w w:val="90"/>
              </w:rPr>
              <w:t>Rights Agreement between Itron, Inc. and Mellon Investor Services LLC, as Rights Agent, dated as of December 11, 2002. (filed as Exhibit 4.1</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rPr>
              <w:t>to Itron, Inc.’s Registration of Securities on Form 8-A, filed on December 16, 2002, File No. 0-22418)</w:t>
            </w:r>
          </w:p>
        </w:tc>
      </w:tr>
      <w:tr>
        <w:trPr>
          <w:trHeight w:val="318"/>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w w:val="89"/>
              </w:rPr>
              <w:t>Amendment To Rights Agreement (originally dated December 11, 2002) between Itron, Inc. and Mellon Investor Services LLC, as Rights Agent,</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w w:val="92"/>
              </w:rPr>
              <w:t>dated September 22, 2010. (filed as Exhibit 4.1 to Itron, Inc.’s Current Report on Form 8-K, filed on September 22, 2010, File No. 0-22418)</w:t>
            </w:r>
          </w:p>
        </w:tc>
      </w:tr>
      <w:tr>
        <w:trPr>
          <w:trHeight w:val="324"/>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rPr>
              <w:t>Opinion of Perkins Coie LLP regarding legality of the Common Stock being registered.</w:t>
            </w:r>
          </w:p>
        </w:tc>
      </w:tr>
      <w:tr>
        <w:trPr>
          <w:trHeight w:val="324"/>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rPr>
              <w:t>Consent of Perkins Coie LLP. (included in opinion filed as Exhibit 5.1)</w:t>
            </w:r>
          </w:p>
        </w:tc>
      </w:tr>
      <w:tr>
        <w:trPr>
          <w:trHeight w:val="324"/>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rPr>
              <w:t>Power of Attorney. (see signature page)</w:t>
            </w:r>
          </w:p>
        </w:tc>
      </w:tr>
      <w:tr>
        <w:trPr>
          <w:trHeight w:val="318"/>
        </w:trPr>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99.1</w:t>
            </w: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w w:val="90"/>
              </w:rPr>
              <w:t>Itron, Inc. 2012 Employee Stock Purchase Plan. (incorporated by reference to Appendix A to the Definitive Proxy Statement on Schedule 14A</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0" w:type="dxa"/>
            <w:vAlign w:val="bottom"/>
            <w:gridSpan w:val="3"/>
          </w:tcPr>
          <w:p>
            <w:pPr>
              <w:ind w:left="380"/>
              <w:spacing w:after="0"/>
              <w:rPr>
                <w:sz w:val="20"/>
                <w:szCs w:val="20"/>
                <w:color w:val="auto"/>
              </w:rPr>
            </w:pPr>
            <w:r>
              <w:rPr>
                <w:rFonts w:ascii="Arial" w:cs="Arial" w:eastAsia="Arial" w:hAnsi="Arial"/>
                <w:sz w:val="18"/>
                <w:szCs w:val="18"/>
                <w:color w:val="auto"/>
              </w:rPr>
              <w:t>filed with the Commission on March 16, 2012)</w:t>
            </w:r>
          </w:p>
        </w:tc>
      </w:tr>
    </w:tbl>
    <w:p>
      <w:pPr>
        <w:spacing w:after="0" w:line="27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280" w:right="279" w:bottom="1440" w:gutter="0" w:footer="0" w:header="0"/>
        </w:sectPr>
      </w:pPr>
    </w:p>
    <w:bookmarkStart w:id="4" w:name="page5"/>
    <w:bookmarkEnd w:id="4"/>
    <w:p>
      <w:pPr>
        <w:ind w:left="1480" w:right="40" w:hanging="567"/>
        <w:spacing w:after="0" w:line="259"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59" w:lineRule="exact"/>
        <w:rPr>
          <w:rFonts w:ascii="Arial" w:cs="Arial" w:eastAsia="Arial" w:hAnsi="Arial"/>
          <w:sz w:val="18"/>
          <w:szCs w:val="18"/>
          <w:color w:val="auto"/>
        </w:rPr>
      </w:pPr>
    </w:p>
    <w:p>
      <w:pPr>
        <w:ind w:left="1480" w:right="320" w:hanging="567"/>
        <w:spacing w:after="0" w:line="268"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51"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above do not apply if the information required to be included in a post-effective amendment</w:t>
      </w:r>
      <w:r>
        <w:rPr>
          <w:rFonts w:ascii="Arial" w:cs="Arial" w:eastAsia="Arial" w:hAnsi="Arial"/>
          <w:sz w:val="18"/>
          <w:szCs w:val="18"/>
          <w:i w:val="1"/>
          <w:iCs w:val="1"/>
          <w:color w:val="auto"/>
        </w:rPr>
        <w:t xml:space="preserve"> </w:t>
      </w:r>
      <w:r>
        <w:rPr>
          <w:rFonts w:ascii="Arial" w:cs="Arial" w:eastAsia="Arial" w:hAnsi="Arial"/>
          <w:sz w:val="18"/>
          <w:szCs w:val="18"/>
          <w:color w:val="auto"/>
        </w:rPr>
        <w:t>by those paragraphs is contained in reports filed with or furnished to the Commission by the Registrant pursuant to Section 13 or Section 15(d) of the Exchange Act that are incorporated by reference in this Registration Statement.</w:t>
      </w:r>
    </w:p>
    <w:p>
      <w:pPr>
        <w:spacing w:after="0" w:line="59" w:lineRule="exact"/>
        <w:rPr>
          <w:sz w:val="20"/>
          <w:szCs w:val="20"/>
          <w:color w:val="auto"/>
        </w:rPr>
      </w:pPr>
    </w:p>
    <w:p>
      <w:pPr>
        <w:ind w:left="900" w:right="240" w:hanging="446"/>
        <w:spacing w:after="0" w:line="259"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40" w:hanging="452"/>
        <w:spacing w:after="0" w:line="323"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6" w:lineRule="exact"/>
        <w:rPr>
          <w:rFonts w:ascii="Arial" w:cs="Arial" w:eastAsia="Arial" w:hAnsi="Arial"/>
          <w:sz w:val="15"/>
          <w:szCs w:val="15"/>
          <w:color w:val="auto"/>
        </w:rPr>
      </w:pPr>
    </w:p>
    <w:p>
      <w:pPr>
        <w:ind w:left="460" w:hanging="452"/>
        <w:spacing w:after="0" w:line="290"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280" w:right="239" w:bottom="1440" w:gutter="0" w:footer="0" w:header="0"/>
        </w:sectPr>
      </w:pPr>
    </w:p>
    <w:bookmarkStart w:id="5" w:name="page6"/>
    <w:bookmarkEnd w:id="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Liberty Lake, State of Washington, on the 24</w:t>
      </w:r>
      <w:r>
        <w:rPr>
          <w:rFonts w:ascii="Arial" w:cs="Arial" w:eastAsia="Arial" w:hAnsi="Arial"/>
          <w:sz w:val="11"/>
          <w:szCs w:val="11"/>
          <w:color w:val="auto"/>
        </w:rPr>
        <w:t>TH</w:t>
      </w:r>
      <w:r>
        <w:rPr>
          <w:rFonts w:ascii="Arial" w:cs="Arial" w:eastAsia="Arial" w:hAnsi="Arial"/>
          <w:sz w:val="18"/>
          <w:szCs w:val="18"/>
          <w:color w:val="auto"/>
        </w:rPr>
        <w:t xml:space="preserve"> day of May,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ITRON, INC.</w:t>
      </w:r>
    </w:p>
    <w:p>
      <w:pPr>
        <w:spacing w:after="0" w:line="231"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Steven M. Helmbrecht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Sr. Vice President and Chief Financial Officer</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Each person whose individual signature appears below hereby authorizes LeRoy D. Nosbaum and Steven M. Helmbrecht, or either of them, as attorneys-in-fact, with full power of substitution, to execute in the name and on the behalf of each person, individually and in each capacity stated below, and to file, any and all amendments to this Registration Statement, including any and all post-effective amendments.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below on the 24</w:t>
      </w:r>
      <w:r>
        <w:rPr>
          <w:rFonts w:ascii="Arial" w:cs="Arial" w:eastAsia="Arial" w:hAnsi="Arial"/>
          <w:sz w:val="11"/>
          <w:szCs w:val="11"/>
          <w:color w:val="auto"/>
        </w:rPr>
        <w:t>TH</w:t>
      </w:r>
      <w:r>
        <w:rPr>
          <w:rFonts w:ascii="Arial" w:cs="Arial" w:eastAsia="Arial" w:hAnsi="Arial"/>
          <w:sz w:val="18"/>
          <w:szCs w:val="18"/>
          <w:color w:val="auto"/>
        </w:rPr>
        <w:t xml:space="preserve"> day of May,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560" w:type="dxa"/>
            <w:vAlign w:val="bottom"/>
          </w:tcPr>
          <w:p>
            <w:pPr>
              <w:spacing w:after="0"/>
              <w:rPr>
                <w:sz w:val="14"/>
                <w:szCs w:val="14"/>
                <w:color w:val="auto"/>
              </w:rPr>
            </w:pPr>
          </w:p>
        </w:tc>
        <w:tc>
          <w:tcPr>
            <w:tcW w:w="4640" w:type="dxa"/>
            <w:vAlign w:val="bottom"/>
            <w:gridSpan w:val="3"/>
          </w:tcPr>
          <w:p>
            <w:pPr>
              <w:jc w:val="center"/>
              <w:ind w:left="1214"/>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2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16"/>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LEROY D. NOSBAUM</w:t>
            </w:r>
          </w:p>
        </w:tc>
        <w:tc>
          <w:tcPr>
            <w:tcW w:w="4640" w:type="dxa"/>
            <w:vAlign w:val="bottom"/>
            <w:gridSpan w:val="3"/>
          </w:tcPr>
          <w:p>
            <w:pPr>
              <w:jc w:val="center"/>
              <w:ind w:left="1214"/>
              <w:spacing w:after="0"/>
              <w:rPr>
                <w:sz w:val="20"/>
                <w:szCs w:val="20"/>
                <w:color w:val="auto"/>
              </w:rPr>
            </w:pPr>
            <w:r>
              <w:rPr>
                <w:rFonts w:ascii="Arial" w:cs="Arial" w:eastAsia="Arial" w:hAnsi="Arial"/>
                <w:sz w:val="18"/>
                <w:szCs w:val="18"/>
                <w:color w:val="auto"/>
                <w:w w:val="89"/>
              </w:rPr>
              <w:t>President and Chief Executive Officer, Director</w:t>
            </w:r>
          </w:p>
        </w:tc>
      </w:tr>
      <w:tr>
        <w:trPr>
          <w:trHeight w:val="202"/>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LeRoy D. Nosbaum</w:t>
            </w:r>
          </w:p>
        </w:tc>
        <w:tc>
          <w:tcPr>
            <w:tcW w:w="4640" w:type="dxa"/>
            <w:vAlign w:val="bottom"/>
            <w:gridSpan w:val="3"/>
          </w:tcPr>
          <w:p>
            <w:pPr>
              <w:jc w:val="center"/>
              <w:ind w:left="1194"/>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33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STEVEN M. HELMBRECHT</w:t>
            </w:r>
          </w:p>
        </w:tc>
        <w:tc>
          <w:tcPr>
            <w:tcW w:w="4640" w:type="dxa"/>
            <w:vAlign w:val="bottom"/>
            <w:gridSpan w:val="3"/>
          </w:tcPr>
          <w:p>
            <w:pPr>
              <w:jc w:val="center"/>
              <w:ind w:left="1214"/>
              <w:spacing w:after="0"/>
              <w:rPr>
                <w:sz w:val="20"/>
                <w:szCs w:val="20"/>
                <w:color w:val="auto"/>
              </w:rPr>
            </w:pPr>
            <w:r>
              <w:rPr>
                <w:rFonts w:ascii="Arial" w:cs="Arial" w:eastAsia="Arial" w:hAnsi="Arial"/>
                <w:sz w:val="18"/>
                <w:szCs w:val="18"/>
                <w:color w:val="auto"/>
                <w:w w:val="89"/>
              </w:rPr>
              <w:t>Sr. Vice President and Chief Financial Officer</w:t>
            </w:r>
          </w:p>
        </w:tc>
      </w:tr>
      <w:tr>
        <w:trPr>
          <w:trHeight w:val="202"/>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Steven M. Helmbrecht</w:t>
            </w:r>
          </w:p>
        </w:tc>
        <w:tc>
          <w:tcPr>
            <w:tcW w:w="4640" w:type="dxa"/>
            <w:vAlign w:val="bottom"/>
            <w:gridSpan w:val="3"/>
          </w:tcPr>
          <w:p>
            <w:pPr>
              <w:jc w:val="center"/>
              <w:ind w:left="1194"/>
              <w:spacing w:after="0" w:line="202" w:lineRule="exact"/>
              <w:rPr>
                <w:sz w:val="20"/>
                <w:szCs w:val="20"/>
                <w:color w:val="auto"/>
              </w:rPr>
            </w:pPr>
            <w:r>
              <w:rPr>
                <w:rFonts w:ascii="Arial" w:cs="Arial" w:eastAsia="Arial" w:hAnsi="Arial"/>
                <w:sz w:val="18"/>
                <w:szCs w:val="18"/>
                <w:color w:val="auto"/>
                <w:w w:val="91"/>
              </w:rPr>
              <w:t>(Principal Financial and Accounting Officer)</w:t>
            </w:r>
          </w:p>
        </w:tc>
      </w:tr>
      <w:tr>
        <w:trPr>
          <w:trHeight w:val="332"/>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KIRBY A. DYESS</w:t>
            </w:r>
          </w:p>
        </w:tc>
        <w:tc>
          <w:tcPr>
            <w:tcW w:w="4640" w:type="dxa"/>
            <w:vAlign w:val="bottom"/>
            <w:gridSpan w:val="3"/>
          </w:tcPr>
          <w:p>
            <w:pPr>
              <w:jc w:val="center"/>
              <w:ind w:left="1214"/>
              <w:spacing w:after="0"/>
              <w:rPr>
                <w:sz w:val="20"/>
                <w:szCs w:val="20"/>
                <w:color w:val="auto"/>
              </w:rPr>
            </w:pPr>
            <w:r>
              <w:rPr>
                <w:rFonts w:ascii="Arial" w:cs="Arial" w:eastAsia="Arial" w:hAnsi="Arial"/>
                <w:sz w:val="18"/>
                <w:szCs w:val="18"/>
                <w:color w:val="auto"/>
                <w:w w:val="91"/>
              </w:rPr>
              <w:t>Director</w:t>
            </w:r>
          </w:p>
        </w:tc>
      </w:tr>
      <w:tr>
        <w:trPr>
          <w:trHeight w:val="169"/>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Kirby A. Dyess</w:t>
            </w: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1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JON E. ELIASSEN</w:t>
            </w:r>
          </w:p>
        </w:tc>
        <w:tc>
          <w:tcPr>
            <w:tcW w:w="4640" w:type="dxa"/>
            <w:vAlign w:val="bottom"/>
            <w:gridSpan w:val="3"/>
          </w:tcPr>
          <w:p>
            <w:pPr>
              <w:jc w:val="center"/>
              <w:ind w:left="1194"/>
              <w:spacing w:after="0"/>
              <w:rPr>
                <w:sz w:val="20"/>
                <w:szCs w:val="20"/>
                <w:color w:val="auto"/>
              </w:rPr>
            </w:pPr>
            <w:r>
              <w:rPr>
                <w:rFonts w:ascii="Arial" w:cs="Arial" w:eastAsia="Arial" w:hAnsi="Arial"/>
                <w:sz w:val="18"/>
                <w:szCs w:val="18"/>
                <w:color w:val="auto"/>
                <w:w w:val="89"/>
              </w:rPr>
              <w:t>Chairman of the Board, Director</w:t>
            </w:r>
          </w:p>
        </w:tc>
      </w:tr>
      <w:tr>
        <w:trPr>
          <w:trHeight w:val="169"/>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Jon E. Eliassen</w:t>
            </w: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1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CHARLES H. GAYLORD, JR.</w:t>
            </w:r>
          </w:p>
        </w:tc>
        <w:tc>
          <w:tcPr>
            <w:tcW w:w="4640" w:type="dxa"/>
            <w:vAlign w:val="bottom"/>
            <w:gridSpan w:val="3"/>
          </w:tcPr>
          <w:p>
            <w:pPr>
              <w:jc w:val="center"/>
              <w:ind w:left="1214"/>
              <w:spacing w:after="0"/>
              <w:rPr>
                <w:sz w:val="20"/>
                <w:szCs w:val="20"/>
                <w:color w:val="auto"/>
              </w:rPr>
            </w:pPr>
            <w:r>
              <w:rPr>
                <w:rFonts w:ascii="Arial" w:cs="Arial" w:eastAsia="Arial" w:hAnsi="Arial"/>
                <w:sz w:val="18"/>
                <w:szCs w:val="18"/>
                <w:color w:val="auto"/>
                <w:w w:val="91"/>
              </w:rPr>
              <w:t>Director</w:t>
            </w:r>
          </w:p>
        </w:tc>
      </w:tr>
      <w:tr>
        <w:trPr>
          <w:trHeight w:val="169"/>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Charles H. Gaylord, Jr.</w:t>
            </w: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1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THOMAS S. GLANVILLE</w:t>
            </w:r>
          </w:p>
        </w:tc>
        <w:tc>
          <w:tcPr>
            <w:tcW w:w="4640" w:type="dxa"/>
            <w:vAlign w:val="bottom"/>
            <w:gridSpan w:val="3"/>
          </w:tcPr>
          <w:p>
            <w:pPr>
              <w:jc w:val="center"/>
              <w:ind w:left="1214"/>
              <w:spacing w:after="0"/>
              <w:rPr>
                <w:sz w:val="20"/>
                <w:szCs w:val="20"/>
                <w:color w:val="auto"/>
              </w:rPr>
            </w:pPr>
            <w:r>
              <w:rPr>
                <w:rFonts w:ascii="Arial" w:cs="Arial" w:eastAsia="Arial" w:hAnsi="Arial"/>
                <w:sz w:val="18"/>
                <w:szCs w:val="18"/>
                <w:color w:val="auto"/>
                <w:w w:val="91"/>
              </w:rPr>
              <w:t>Director</w:t>
            </w:r>
          </w:p>
        </w:tc>
      </w:tr>
      <w:tr>
        <w:trPr>
          <w:trHeight w:val="169"/>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Thomas S. Glanville</w:t>
            </w: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1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SHARON L. NELSON</w:t>
            </w:r>
          </w:p>
        </w:tc>
        <w:tc>
          <w:tcPr>
            <w:tcW w:w="4640" w:type="dxa"/>
            <w:vAlign w:val="bottom"/>
            <w:gridSpan w:val="3"/>
          </w:tcPr>
          <w:p>
            <w:pPr>
              <w:jc w:val="center"/>
              <w:ind w:left="1214"/>
              <w:spacing w:after="0"/>
              <w:rPr>
                <w:sz w:val="20"/>
                <w:szCs w:val="20"/>
                <w:color w:val="auto"/>
              </w:rPr>
            </w:pPr>
            <w:r>
              <w:rPr>
                <w:rFonts w:ascii="Arial" w:cs="Arial" w:eastAsia="Arial" w:hAnsi="Arial"/>
                <w:sz w:val="18"/>
                <w:szCs w:val="18"/>
                <w:color w:val="auto"/>
                <w:w w:val="91"/>
              </w:rPr>
              <w:t>Director</w:t>
            </w:r>
          </w:p>
        </w:tc>
      </w:tr>
      <w:tr>
        <w:trPr>
          <w:trHeight w:val="169"/>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Sharon L. Nelson</w:t>
            </w: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1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GARY E. PRUITT</w:t>
            </w:r>
          </w:p>
        </w:tc>
        <w:tc>
          <w:tcPr>
            <w:tcW w:w="4640" w:type="dxa"/>
            <w:vAlign w:val="bottom"/>
            <w:gridSpan w:val="3"/>
          </w:tcPr>
          <w:p>
            <w:pPr>
              <w:jc w:val="center"/>
              <w:ind w:left="1214"/>
              <w:spacing w:after="0"/>
              <w:rPr>
                <w:sz w:val="20"/>
                <w:szCs w:val="20"/>
                <w:color w:val="auto"/>
              </w:rPr>
            </w:pPr>
            <w:r>
              <w:rPr>
                <w:rFonts w:ascii="Arial" w:cs="Arial" w:eastAsia="Arial" w:hAnsi="Arial"/>
                <w:sz w:val="18"/>
                <w:szCs w:val="18"/>
                <w:color w:val="auto"/>
                <w:w w:val="91"/>
              </w:rPr>
              <w:t>Director</w:t>
            </w:r>
          </w:p>
        </w:tc>
      </w:tr>
      <w:tr>
        <w:trPr>
          <w:trHeight w:val="169"/>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Gary E. Pruitt</w:t>
            </w: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11"/>
        </w:trPr>
        <w:tc>
          <w:tcPr>
            <w:tcW w:w="5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GRAHAM M. WILSON</w:t>
            </w:r>
          </w:p>
        </w:tc>
        <w:tc>
          <w:tcPr>
            <w:tcW w:w="4640" w:type="dxa"/>
            <w:vAlign w:val="bottom"/>
            <w:gridSpan w:val="3"/>
          </w:tcPr>
          <w:p>
            <w:pPr>
              <w:jc w:val="center"/>
              <w:ind w:left="1214"/>
              <w:spacing w:after="0"/>
              <w:rPr>
                <w:sz w:val="20"/>
                <w:szCs w:val="20"/>
                <w:color w:val="auto"/>
              </w:rPr>
            </w:pPr>
            <w:r>
              <w:rPr>
                <w:rFonts w:ascii="Arial" w:cs="Arial" w:eastAsia="Arial" w:hAnsi="Arial"/>
                <w:sz w:val="18"/>
                <w:szCs w:val="18"/>
                <w:color w:val="auto"/>
                <w:w w:val="91"/>
              </w:rPr>
              <w:t>Director</w:t>
            </w:r>
          </w:p>
        </w:tc>
      </w:tr>
      <w:tr>
        <w:trPr>
          <w:trHeight w:val="169"/>
        </w:trPr>
        <w:tc>
          <w:tcPr>
            <w:tcW w:w="5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Graham M. Wilson</w:t>
            </w:r>
          </w:p>
        </w:tc>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ectPr>
          <w:pgSz w:w="11900" w:h="16838" w:orient="portrait"/>
          <w:cols w:equalWidth="0" w:num="1">
            <w:col w:w="11340"/>
          </w:cols>
          <w:pgMar w:left="240" w:top="274" w:right="3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00" w:type="dxa"/>
            <w:vAlign w:val="bottom"/>
          </w:tcPr>
          <w:p>
            <w:pPr>
              <w:ind w:left="296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00" w:type="dxa"/>
            <w:vAlign w:val="bottom"/>
          </w:tcPr>
          <w:p>
            <w:pPr>
              <w:spacing w:after="0"/>
              <w:rPr>
                <w:sz w:val="24"/>
                <w:szCs w:val="24"/>
                <w:color w:val="auto"/>
              </w:rPr>
            </w:pPr>
          </w:p>
        </w:tc>
      </w:tr>
      <w:tr>
        <w:trPr>
          <w:trHeight w:val="168"/>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9500" w:type="dxa"/>
            <w:vAlign w:val="bottom"/>
          </w:tcPr>
          <w:p>
            <w:pPr>
              <w:spacing w:after="0"/>
              <w:rPr>
                <w:sz w:val="14"/>
                <w:szCs w:val="14"/>
                <w:color w:val="auto"/>
              </w:rPr>
            </w:pPr>
          </w:p>
        </w:tc>
      </w:tr>
      <w:tr>
        <w:trPr>
          <w:trHeight w:val="316"/>
        </w:trPr>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0"/>
              </w:rPr>
              <w:t>Rights Agreement between Itron, Inc. and Mellon Investor Services LLC, as Rights Agent, dated as of December 11, 2002. (filed as Exhibit 4.1</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to Itron, Inc.’s Registration of Securities on Form 8-A, filed on December 16, 2002, File No. 0-22418)</w:t>
            </w:r>
          </w:p>
        </w:tc>
      </w:tr>
      <w:tr>
        <w:trPr>
          <w:trHeight w:val="318"/>
        </w:trPr>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89"/>
              </w:rPr>
              <w:t>Amendment To Rights Agreement (originally dated December 11, 2002) between Itron, Inc. and Mellon Investor Services LLC, as Rights Agent,</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2"/>
              </w:rPr>
              <w:t>dated September 22, 2010. (filed as Exhibit 4.1 to Itron, Inc.’s Current Report on Form 8-K, filed on September 22, 2010, File No. 0-22418)</w:t>
            </w:r>
          </w:p>
        </w:tc>
      </w:tr>
      <w:tr>
        <w:trPr>
          <w:trHeight w:val="324"/>
        </w:trPr>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Opinion of Perkins Coie LLP regarding legality of the Common Stock being registered.</w:t>
            </w:r>
          </w:p>
        </w:tc>
      </w:tr>
      <w:tr>
        <w:trPr>
          <w:trHeight w:val="324"/>
        </w:trPr>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23.1</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23.2</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Consent of Perkins Coie LLP. (included in opinion filed as Exhibit 5.1)</w:t>
            </w:r>
          </w:p>
        </w:tc>
      </w:tr>
      <w:tr>
        <w:trPr>
          <w:trHeight w:val="324"/>
        </w:trPr>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24.1</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Power of Attorney. (see signature page)</w:t>
            </w:r>
          </w:p>
        </w:tc>
      </w:tr>
      <w:tr>
        <w:trPr>
          <w:trHeight w:val="318"/>
        </w:trPr>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99.1</w:t>
            </w: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w w:val="90"/>
              </w:rPr>
              <w:t>Itron, Inc. 2012 Employee Stock Purchase Plan. (incorporated by reference to Appendix A to the Definitive Proxy Statement on Schedule 14A</w:t>
            </w:r>
          </w:p>
        </w:tc>
      </w:tr>
      <w:tr>
        <w:trPr>
          <w:trHeight w:val="222"/>
        </w:trPr>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540" w:type="dxa"/>
            <w:vAlign w:val="bottom"/>
            <w:gridSpan w:val="3"/>
          </w:tcPr>
          <w:p>
            <w:pPr>
              <w:ind w:left="320"/>
              <w:spacing w:after="0"/>
              <w:rPr>
                <w:sz w:val="20"/>
                <w:szCs w:val="20"/>
                <w:color w:val="auto"/>
              </w:rPr>
            </w:pPr>
            <w:r>
              <w:rPr>
                <w:rFonts w:ascii="Arial" w:cs="Arial" w:eastAsia="Arial" w:hAnsi="Arial"/>
                <w:sz w:val="18"/>
                <w:szCs w:val="18"/>
                <w:color w:val="auto"/>
              </w:rPr>
              <w:t>filed with the Commission on March 16, 2012)</w:t>
            </w:r>
          </w:p>
        </w:tc>
      </w:tr>
    </w:tbl>
    <w:p>
      <w:pPr>
        <w:sectPr>
          <w:pgSz w:w="11900" w:h="16838" w:orient="portrait"/>
          <w:cols w:equalWidth="0" w:num="1">
            <w:col w:w="11380"/>
          </w:cols>
          <w:pgMar w:left="240" w:top="274"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Perkins Coie LLP</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1201 Third Avenue, Suite 4800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Seattle, WA 98101-3099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206 359-8000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206 359-9000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www.perkinscoie.com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Itron,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2111 N. Molter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Registration Statement on Form S-8 of Shares of Common Stock, no par value per share, of Itron,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have acted as counsel to you in connection with the preparation of a Registration Statement on Form S-8 (the “Registration Statement”) under the Securities Act of 1933, as amended (the “Act”), which you are filing with the Securities and Exchange Commission with respect to up to 625,000 shares of common stock, no par value (the “Shares”), which may be issued pursuant to the Itron, Inc. 2012 Employee Stock Purchase Plan (the “Plan”).</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examined the Registration Statement and such documents and records of Itron, Inc. as we have deemed necessary for the purpose of this opinion. In giving this opinion, we are assuming the authenticity of all instruments presented to us as originals, the conformity with originals of all instruments presented to us as copies and the genuineness of all signatures.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Based upon and subject to the foregoing, we are of the opinion that any original issuance Shares that may be issued pursuant to the Plan have been duly authorized and that, upon the due execution by Itron, Inc. of any certificates representing the Shares, the registration by its registrar of the Shares and the issuance thereof by Itron, Inc. in accordance with the terms of the Plan, and the receipt of consideration therefor in accordance with the terms of the Plan, such Shares will be legally issued, fully paid and nonassessable.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admit that we are in the category of persons whose consent is required under Section 7 of the Act.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Perkins Coie LLP</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 (Form S-8) pertaining to the Itron, Inc. 2012 Employee Stock Purchase Plan of our report dated February 16, 2012 (except for Notes 1, 5, 13, and 16 as to which the date is May 24, 2012) with respect to the consolidated financial statements and financial statement schedule of Itron, Inc., included in the Current Report on Form 8-K of Itron, Inc. filed on May 24, 2012, and our report dated February 16, 2012, with respect to the effectiveness of internal control over financial reporting of Itron, Inc., included in the Annual Report (Form 10-K) of Itron, Inc. for the year ended December 31, 2011, filed with the Securities and Exchange Commission.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24,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Roman"/>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1"/>
      <w:numFmt w:val="upperLetter"/>
      <w:start w:val="1"/>
    </w:lvl>
    <w:lvl w:ilvl="1">
      <w:lvlJc w:val="left"/>
      <w:lvlText w:val="(%2)"/>
      <w:numFmt w:val="decimal"/>
      <w:start w:val="2"/>
    </w:lvl>
  </w:abstractNum>
  <w:abstractNum w:abstractNumId="6">
    <w:nsid w:val="41B71EFB"/>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2019-12-09T08:33:37Z</dcterms:created>
  <dcterms:modified xsi:type="dcterms:W3CDTF">2019-12-09T08:33:37Z</dcterms:modified>
</cp:coreProperties>
</file>