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4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34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3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83820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07" w:lineRule="exact"/>
        <w:rPr>
          <w:sz w:val="24"/>
          <w:szCs w:val="24"/>
          <w:color w:val="auto"/>
        </w:rPr>
      </w:pPr>
    </w:p>
    <w:p>
      <w:pPr>
        <w:ind w:left="2720"/>
        <w:spacing w:after="0"/>
        <w:rPr>
          <w:sz w:val="20"/>
          <w:szCs w:val="20"/>
          <w:color w:val="auto"/>
        </w:rPr>
      </w:pPr>
      <w:r>
        <w:rPr>
          <w:rFonts w:ascii="Arial" w:cs="Arial" w:eastAsia="Arial" w:hAnsi="Arial"/>
          <w:sz w:val="29"/>
          <w:szCs w:val="29"/>
          <w:b w:val="1"/>
          <w:bCs w:val="1"/>
          <w:color w:val="auto"/>
        </w:rPr>
        <w:t>SCHEDULE 14A INFORMATION</w:t>
      </w:r>
    </w:p>
    <w:p>
      <w:pPr>
        <w:spacing w:after="0" w:line="208"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9"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Securities Exchange Act of 1934</w:t>
      </w:r>
    </w:p>
    <w:p>
      <w:pPr>
        <w:jc w:val="center"/>
        <w:ind w:right="-340"/>
        <w:spacing w:after="0"/>
        <w:rPr>
          <w:sz w:val="20"/>
          <w:szCs w:val="20"/>
          <w:color w:val="auto"/>
        </w:rPr>
      </w:pPr>
      <w:r>
        <w:rPr>
          <w:rFonts w:ascii="Arial" w:cs="Arial" w:eastAsia="Arial" w:hAnsi="Arial"/>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109220</wp:posOffset>
            </wp:positionV>
            <wp:extent cx="1097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61" w:lineRule="exact"/>
        <w:rPr>
          <w:sz w:val="24"/>
          <w:szCs w:val="24"/>
          <w:color w:val="auto"/>
        </w:rPr>
      </w:pPr>
    </w:p>
    <w:p>
      <w:pPr>
        <w:ind w:left="100"/>
        <w:spacing w:after="0" w:line="184" w:lineRule="exact"/>
        <w:tabs>
          <w:tab w:leader="none" w:pos="238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20" w:lineRule="exact"/>
        <w:rPr>
          <w:sz w:val="24"/>
          <w:szCs w:val="24"/>
          <w:color w:val="auto"/>
        </w:rPr>
      </w:pPr>
    </w:p>
    <w:p>
      <w:pPr>
        <w:ind w:left="100"/>
        <w:spacing w:after="0"/>
        <w:rPr>
          <w:sz w:val="20"/>
          <w:szCs w:val="20"/>
          <w:color w:val="auto"/>
        </w:rPr>
      </w:pPr>
      <w:r>
        <w:rPr>
          <w:rFonts w:ascii="Arial" w:cs="Arial" w:eastAsia="Arial" w:hAnsi="Arial"/>
          <w:sz w:val="16"/>
          <w:szCs w:val="16"/>
          <w:color w:val="auto"/>
        </w:rPr>
        <w:t>Check the appropriate box:</w:t>
      </w:r>
    </w:p>
    <w:p>
      <w:pPr>
        <w:spacing w:after="0" w:line="167" w:lineRule="exact"/>
        <w:rPr>
          <w:sz w:val="24"/>
          <w:szCs w:val="24"/>
          <w:color w:val="auto"/>
        </w:rPr>
      </w:pPr>
    </w:p>
    <w:p>
      <w:pPr>
        <w:ind w:left="460" w:hanging="349"/>
        <w:spacing w:after="0"/>
        <w:tabs>
          <w:tab w:leader="none" w:pos="46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67" w:lineRule="exact"/>
        <w:rPr>
          <w:rFonts w:ascii="MS PGothic" w:cs="MS PGothic" w:eastAsia="MS PGothic" w:hAnsi="MS PGothic"/>
          <w:sz w:val="16"/>
          <w:szCs w:val="16"/>
          <w:color w:val="auto"/>
        </w:rPr>
      </w:pPr>
    </w:p>
    <w:p>
      <w:pPr>
        <w:ind w:left="460" w:hanging="349"/>
        <w:spacing w:after="0"/>
        <w:tabs>
          <w:tab w:leader="none" w:pos="460" w:val="left"/>
        </w:tabs>
        <w:numPr>
          <w:ilvl w:val="1"/>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53" w:lineRule="exact"/>
        <w:rPr>
          <w:rFonts w:ascii="MS PGothic" w:cs="MS PGothic" w:eastAsia="MS PGothic" w:hAnsi="MS PGothic"/>
          <w:sz w:val="16"/>
          <w:szCs w:val="16"/>
          <w:color w:val="auto"/>
        </w:rPr>
      </w:pPr>
    </w:p>
    <w:p>
      <w:pPr>
        <w:ind w:left="460" w:hanging="353"/>
        <w:spacing w:after="0"/>
        <w:tabs>
          <w:tab w:leader="none" w:pos="4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67" w:lineRule="exact"/>
        <w:rPr>
          <w:rFonts w:ascii="MS PGothic" w:cs="MS PGothic" w:eastAsia="MS PGothic" w:hAnsi="MS PGothic"/>
          <w:sz w:val="16"/>
          <w:szCs w:val="16"/>
          <w:color w:val="auto"/>
        </w:rPr>
      </w:pPr>
    </w:p>
    <w:p>
      <w:pPr>
        <w:ind w:left="460" w:hanging="349"/>
        <w:spacing w:after="0"/>
        <w:tabs>
          <w:tab w:leader="none" w:pos="46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67" w:lineRule="exact"/>
        <w:rPr>
          <w:rFonts w:ascii="MS PGothic" w:cs="MS PGothic" w:eastAsia="MS PGothic" w:hAnsi="MS PGothic"/>
          <w:sz w:val="16"/>
          <w:szCs w:val="16"/>
          <w:color w:val="auto"/>
        </w:rPr>
      </w:pPr>
    </w:p>
    <w:p>
      <w:pPr>
        <w:ind w:left="460" w:hanging="349"/>
        <w:spacing w:after="0"/>
        <w:tabs>
          <w:tab w:leader="none" w:pos="46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under § 240.14a-12</w:t>
      </w:r>
    </w:p>
    <w:p>
      <w:pPr>
        <w:spacing w:after="0" w:line="197" w:lineRule="exact"/>
        <w:rPr>
          <w:sz w:val="24"/>
          <w:szCs w:val="24"/>
          <w:color w:val="auto"/>
        </w:rPr>
      </w:pPr>
    </w:p>
    <w:p>
      <w:pPr>
        <w:jc w:val="center"/>
        <w:ind w:right="-340"/>
        <w:spacing w:after="0"/>
        <w:rPr>
          <w:sz w:val="20"/>
          <w:szCs w:val="20"/>
          <w:color w:val="auto"/>
        </w:rPr>
      </w:pPr>
      <w:r>
        <w:rPr>
          <w:rFonts w:ascii="Arial" w:cs="Arial" w:eastAsia="Arial" w:hAnsi="Arial"/>
          <w:sz w:val="36"/>
          <w:szCs w:val="36"/>
          <w:b w:val="1"/>
          <w:bCs w:val="1"/>
          <w:color w:val="auto"/>
        </w:rPr>
        <w:t>ITRON, INC.</w:t>
      </w:r>
    </w:p>
    <w:p>
      <w:pPr>
        <w:spacing w:after="0" w:line="44" w:lineRule="exact"/>
        <w:rPr>
          <w:sz w:val="24"/>
          <w:szCs w:val="24"/>
          <w:color w:val="auto"/>
        </w:rPr>
      </w:pPr>
    </w:p>
    <w:p>
      <w:pPr>
        <w:jc w:val="center"/>
        <w:ind w:right="-34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178" w:lineRule="exact"/>
        <w:rPr>
          <w:sz w:val="24"/>
          <w:szCs w:val="24"/>
          <w:color w:val="auto"/>
        </w:rPr>
      </w:pPr>
    </w:p>
    <w:p>
      <w:pPr>
        <w:ind w:left="212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73" w:lineRule="exact"/>
        <w:rPr>
          <w:sz w:val="24"/>
          <w:szCs w:val="24"/>
          <w:color w:val="auto"/>
        </w:rPr>
      </w:pPr>
    </w:p>
    <w:p>
      <w:pPr>
        <w:ind w:left="100"/>
        <w:spacing w:after="0"/>
        <w:rPr>
          <w:sz w:val="20"/>
          <w:szCs w:val="20"/>
          <w:color w:val="auto"/>
        </w:rPr>
      </w:pPr>
      <w:r>
        <w:rPr>
          <w:rFonts w:ascii="Arial" w:cs="Arial" w:eastAsia="Arial" w:hAnsi="Arial"/>
          <w:sz w:val="16"/>
          <w:szCs w:val="16"/>
          <w:color w:val="auto"/>
        </w:rPr>
        <w:t>Payment of Filing Fee (Check the appropriate box):</w:t>
      </w:r>
    </w:p>
    <w:p>
      <w:pPr>
        <w:spacing w:after="0" w:line="154" w:lineRule="exact"/>
        <w:rPr>
          <w:sz w:val="24"/>
          <w:szCs w:val="24"/>
          <w:color w:val="auto"/>
        </w:rPr>
      </w:pPr>
    </w:p>
    <w:p>
      <w:pPr>
        <w:ind w:left="460" w:hanging="353"/>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67" w:lineRule="exact"/>
        <w:rPr>
          <w:rFonts w:ascii="MS PGothic" w:cs="MS PGothic" w:eastAsia="MS PGothic" w:hAnsi="MS PGothic"/>
          <w:sz w:val="16"/>
          <w:szCs w:val="16"/>
          <w:color w:val="auto"/>
        </w:rPr>
      </w:pPr>
    </w:p>
    <w:p>
      <w:pPr>
        <w:ind w:left="460" w:hanging="349"/>
        <w:spacing w:after="0"/>
        <w:tabs>
          <w:tab w:leader="none" w:pos="460" w:val="left"/>
        </w:tabs>
        <w:numPr>
          <w:ilvl w:val="1"/>
          <w:numId w:val="2"/>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67" w:lineRule="exact"/>
        <w:rPr>
          <w:rFonts w:ascii="MS PGothic" w:cs="MS PGothic" w:eastAsia="MS PGothic" w:hAnsi="MS PGothic"/>
          <w:sz w:val="16"/>
          <w:szCs w:val="16"/>
          <w:color w:val="auto"/>
        </w:rPr>
      </w:pPr>
    </w:p>
    <w:p>
      <w:pPr>
        <w:ind w:left="460" w:hanging="349"/>
        <w:spacing w:after="0"/>
        <w:tabs>
          <w:tab w:leader="none" w:pos="460" w:val="left"/>
        </w:tabs>
        <w:numPr>
          <w:ilvl w:val="1"/>
          <w:numId w:val="2"/>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354965</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166370</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226695</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ITRON, INC.</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2111 N. Molter Road</w:t>
      </w:r>
    </w:p>
    <w:p>
      <w:pPr>
        <w:jc w:val="center"/>
        <w:ind w:right="-60"/>
        <w:spacing w:after="0"/>
        <w:rPr>
          <w:sz w:val="20"/>
          <w:szCs w:val="20"/>
          <w:color w:val="auto"/>
        </w:rPr>
      </w:pPr>
      <w:r>
        <w:rPr>
          <w:rFonts w:ascii="Arial" w:cs="Arial" w:eastAsia="Arial" w:hAnsi="Arial"/>
          <w:sz w:val="18"/>
          <w:szCs w:val="18"/>
          <w:b w:val="1"/>
          <w:bCs w:val="1"/>
          <w:color w:val="auto"/>
        </w:rPr>
        <w:t>Liberty Lake, Washington 99019</w:t>
      </w:r>
    </w:p>
    <w:p>
      <w:pPr>
        <w:spacing w:after="0" w:line="11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Notice of 2023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5829300" cy="643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29300" cy="643255"/>
                    </a:xfrm>
                    <a:prstGeom prst="rect">
                      <a:avLst/>
                    </a:prstGeom>
                    <a:noFill/>
                  </pic:spPr>
                </pic:pic>
              </a:graphicData>
            </a:graphic>
          </wp:anchor>
        </w:drawing>
      </w:r>
    </w:p>
    <w:p>
      <w:pPr>
        <w:sectPr>
          <w:pgSz w:w="11900" w:h="16838" w:orient="portrait"/>
          <w:cols w:equalWidth="0" w:num="1">
            <w:col w:w="9099"/>
          </w:cols>
          <w:pgMar w:left="136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00" w:type="dxa"/>
        <w:tblCellMar>
          <w:top w:w="0" w:type="dxa"/>
          <w:left w:w="0" w:type="dxa"/>
          <w:bottom w:w="0" w:type="dxa"/>
          <w:right w:w="0" w:type="dxa"/>
        </w:tblCellMar>
      </w:tblPr>
      <w:tr>
        <w:trPr>
          <w:trHeight w:val="239"/>
        </w:trPr>
        <w:tc>
          <w:tcPr>
            <w:tcW w:w="1420" w:type="dxa"/>
            <w:vAlign w:val="bottom"/>
          </w:tcPr>
          <w:p>
            <w:pPr>
              <w:spacing w:after="0"/>
              <w:rPr>
                <w:sz w:val="20"/>
                <w:szCs w:val="20"/>
                <w:color w:val="auto"/>
              </w:rPr>
            </w:pPr>
            <w:r>
              <w:rPr>
                <w:rFonts w:ascii="Arial" w:cs="Arial" w:eastAsia="Arial" w:hAnsi="Arial"/>
                <w:sz w:val="18"/>
                <w:szCs w:val="18"/>
                <w:color w:val="auto"/>
              </w:rPr>
              <w:t> </w:t>
            </w:r>
          </w:p>
        </w:tc>
        <w:tc>
          <w:tcPr>
            <w:tcW w:w="1640" w:type="dxa"/>
            <w:vAlign w:val="bottom"/>
            <w:vMerge w:val="restart"/>
          </w:tcPr>
          <w:p>
            <w:pPr>
              <w:ind w:left="140"/>
              <w:spacing w:after="0"/>
              <w:rPr>
                <w:sz w:val="20"/>
                <w:szCs w:val="20"/>
                <w:color w:val="auto"/>
              </w:rPr>
            </w:pPr>
            <w:r>
              <w:rPr>
                <w:rFonts w:ascii="Arial" w:cs="Arial" w:eastAsia="Arial" w:hAnsi="Arial"/>
                <w:sz w:val="18"/>
                <w:szCs w:val="18"/>
                <w:color w:val="auto"/>
              </w:rPr>
              <w:t> </w:t>
            </w:r>
          </w:p>
        </w:tc>
        <w:tc>
          <w:tcPr>
            <w:tcW w:w="2660" w:type="dxa"/>
            <w:vAlign w:val="bottom"/>
            <w:vMerge w:val="restart"/>
          </w:tcPr>
          <w:p>
            <w:pPr>
              <w:ind w:lef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68"/>
        </w:trPr>
        <w:tc>
          <w:tcPr>
            <w:tcW w:w="142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2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420" w:type="dxa"/>
            <w:vAlign w:val="bottom"/>
          </w:tcPr>
          <w:p>
            <w:pPr>
              <w:spacing w:after="0"/>
              <w:rPr>
                <w:sz w:val="20"/>
                <w:szCs w:val="20"/>
                <w:color w:val="auto"/>
              </w:rPr>
            </w:pPr>
            <w:r>
              <w:rPr>
                <w:rFonts w:ascii="Arial" w:cs="Arial" w:eastAsia="Arial" w:hAnsi="Arial"/>
                <w:sz w:val="18"/>
                <w:szCs w:val="18"/>
                <w:b w:val="1"/>
                <w:bCs w:val="1"/>
                <w:color w:val="auto"/>
              </w:rPr>
              <w:t>When</w:t>
            </w:r>
            <w:r>
              <w:rPr>
                <w:rFonts w:ascii="Arial" w:cs="Arial" w:eastAsia="Arial" w:hAnsi="Arial"/>
                <w:sz w:val="18"/>
                <w:szCs w:val="18"/>
                <w:color w:val="auto"/>
              </w:rPr>
              <w:t>:</w:t>
            </w:r>
          </w:p>
        </w:tc>
        <w:tc>
          <w:tcPr>
            <w:tcW w:w="1640" w:type="dxa"/>
            <w:vAlign w:val="bottom"/>
          </w:tcPr>
          <w:p>
            <w:pPr>
              <w:ind w:left="140"/>
              <w:spacing w:after="0"/>
              <w:rPr>
                <w:sz w:val="20"/>
                <w:szCs w:val="20"/>
                <w:color w:val="auto"/>
              </w:rPr>
            </w:pPr>
            <w:r>
              <w:rPr>
                <w:rFonts w:ascii="Arial" w:cs="Arial" w:eastAsia="Arial" w:hAnsi="Arial"/>
                <w:sz w:val="18"/>
                <w:szCs w:val="18"/>
                <w:b w:val="1"/>
                <w:bCs w:val="1"/>
                <w:color w:val="auto"/>
              </w:rPr>
              <w:t>Where</w:t>
            </w:r>
            <w:r>
              <w:rPr>
                <w:rFonts w:ascii="Arial" w:cs="Arial" w:eastAsia="Arial" w:hAnsi="Arial"/>
                <w:sz w:val="18"/>
                <w:szCs w:val="18"/>
                <w:color w:val="auto"/>
              </w:rPr>
              <w:t>:</w:t>
            </w:r>
          </w:p>
        </w:tc>
        <w:tc>
          <w:tcPr>
            <w:tcW w:w="2660" w:type="dxa"/>
            <w:vAlign w:val="bottom"/>
          </w:tcPr>
          <w:p>
            <w:pPr>
              <w:ind w:left="120"/>
              <w:spacing w:after="0"/>
              <w:rPr>
                <w:sz w:val="20"/>
                <w:szCs w:val="20"/>
                <w:color w:val="auto"/>
              </w:rPr>
            </w:pPr>
            <w:r>
              <w:rPr>
                <w:rFonts w:ascii="Arial" w:cs="Arial" w:eastAsia="Arial" w:hAnsi="Arial"/>
                <w:sz w:val="18"/>
                <w:szCs w:val="18"/>
                <w:b w:val="1"/>
                <w:bCs w:val="1"/>
                <w:color w:val="auto"/>
              </w:rPr>
              <w:t>Who Can Vote</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420" w:type="dxa"/>
            <w:vAlign w:val="bottom"/>
          </w:tcPr>
          <w:p>
            <w:pPr>
              <w:spacing w:after="0" w:line="202" w:lineRule="exact"/>
              <w:rPr>
                <w:sz w:val="20"/>
                <w:szCs w:val="20"/>
                <w:color w:val="auto"/>
              </w:rPr>
            </w:pPr>
            <w:r>
              <w:rPr>
                <w:rFonts w:ascii="Arial" w:cs="Arial" w:eastAsia="Arial" w:hAnsi="Arial"/>
                <w:sz w:val="18"/>
                <w:szCs w:val="18"/>
                <w:color w:val="auto"/>
              </w:rPr>
              <w:t>May 11, 2023 at</w:t>
            </w:r>
          </w:p>
        </w:tc>
        <w:tc>
          <w:tcPr>
            <w:tcW w:w="1640" w:type="dxa"/>
            <w:vAlign w:val="bottom"/>
          </w:tcPr>
          <w:p>
            <w:pPr>
              <w:ind w:left="140"/>
              <w:spacing w:after="0" w:line="202" w:lineRule="exact"/>
              <w:rPr>
                <w:sz w:val="20"/>
                <w:szCs w:val="20"/>
                <w:color w:val="auto"/>
              </w:rPr>
            </w:pPr>
            <w:r>
              <w:rPr>
                <w:rFonts w:ascii="Arial" w:cs="Arial" w:eastAsia="Arial" w:hAnsi="Arial"/>
                <w:sz w:val="18"/>
                <w:szCs w:val="18"/>
                <w:color w:val="auto"/>
              </w:rPr>
              <w:t>Virtual Meeting –</w:t>
            </w:r>
          </w:p>
        </w:tc>
        <w:tc>
          <w:tcPr>
            <w:tcW w:w="2660" w:type="dxa"/>
            <w:vAlign w:val="bottom"/>
          </w:tcPr>
          <w:p>
            <w:pPr>
              <w:ind w:left="120"/>
              <w:spacing w:after="0" w:line="202" w:lineRule="exact"/>
              <w:rPr>
                <w:sz w:val="20"/>
                <w:szCs w:val="20"/>
                <w:color w:val="auto"/>
              </w:rPr>
            </w:pPr>
            <w:r>
              <w:rPr>
                <w:rFonts w:ascii="Arial" w:cs="Arial" w:eastAsia="Arial" w:hAnsi="Arial"/>
                <w:sz w:val="18"/>
                <w:szCs w:val="18"/>
                <w:color w:val="auto"/>
                <w:w w:val="98"/>
              </w:rPr>
              <w:t>Shareholders of Itron’s common</w:t>
            </w:r>
          </w:p>
        </w:tc>
        <w:tc>
          <w:tcPr>
            <w:tcW w:w="0" w:type="dxa"/>
            <w:vAlign w:val="bottom"/>
          </w:tcPr>
          <w:p>
            <w:pPr>
              <w:spacing w:after="0"/>
              <w:rPr>
                <w:sz w:val="1"/>
                <w:szCs w:val="1"/>
                <w:color w:val="auto"/>
              </w:rPr>
            </w:pPr>
          </w:p>
        </w:tc>
      </w:tr>
      <w:tr>
        <w:trPr>
          <w:trHeight w:val="203"/>
        </w:trPr>
        <w:tc>
          <w:tcPr>
            <w:tcW w:w="1420" w:type="dxa"/>
            <w:vAlign w:val="bottom"/>
          </w:tcPr>
          <w:p>
            <w:pPr>
              <w:spacing w:after="0" w:line="202" w:lineRule="exact"/>
              <w:rPr>
                <w:sz w:val="20"/>
                <w:szCs w:val="20"/>
                <w:color w:val="auto"/>
              </w:rPr>
            </w:pPr>
            <w:r>
              <w:rPr>
                <w:rFonts w:ascii="Arial" w:cs="Arial" w:eastAsia="Arial" w:hAnsi="Arial"/>
                <w:sz w:val="18"/>
                <w:szCs w:val="18"/>
                <w:color w:val="auto"/>
              </w:rPr>
              <w:t>9:00 a.m.,</w:t>
            </w:r>
          </w:p>
        </w:tc>
        <w:tc>
          <w:tcPr>
            <w:tcW w:w="1640" w:type="dxa"/>
            <w:vAlign w:val="bottom"/>
          </w:tcPr>
          <w:p>
            <w:pPr>
              <w:ind w:left="140"/>
              <w:spacing w:after="0" w:line="202" w:lineRule="exact"/>
              <w:rPr>
                <w:sz w:val="20"/>
                <w:szCs w:val="20"/>
                <w:color w:val="auto"/>
              </w:rPr>
            </w:pPr>
            <w:r>
              <w:rPr>
                <w:rFonts w:ascii="Arial" w:cs="Arial" w:eastAsia="Arial" w:hAnsi="Arial"/>
                <w:sz w:val="18"/>
                <w:szCs w:val="18"/>
                <w:color w:val="auto"/>
              </w:rPr>
              <w:t>see details below</w:t>
            </w:r>
          </w:p>
        </w:tc>
        <w:tc>
          <w:tcPr>
            <w:tcW w:w="2660" w:type="dxa"/>
            <w:vAlign w:val="bottom"/>
          </w:tcPr>
          <w:p>
            <w:pPr>
              <w:ind w:left="120"/>
              <w:spacing w:after="0" w:line="202" w:lineRule="exact"/>
              <w:rPr>
                <w:sz w:val="20"/>
                <w:szCs w:val="20"/>
                <w:color w:val="auto"/>
              </w:rPr>
            </w:pPr>
            <w:r>
              <w:rPr>
                <w:rFonts w:ascii="Arial" w:cs="Arial" w:eastAsia="Arial" w:hAnsi="Arial"/>
                <w:sz w:val="18"/>
                <w:szCs w:val="18"/>
                <w:color w:val="auto"/>
              </w:rPr>
              <w:t>stock as of the record date,</w:t>
            </w:r>
          </w:p>
        </w:tc>
        <w:tc>
          <w:tcPr>
            <w:tcW w:w="0" w:type="dxa"/>
            <w:vAlign w:val="bottom"/>
          </w:tcPr>
          <w:p>
            <w:pPr>
              <w:spacing w:after="0"/>
              <w:rPr>
                <w:sz w:val="1"/>
                <w:szCs w:val="1"/>
                <w:color w:val="auto"/>
              </w:rPr>
            </w:pPr>
          </w:p>
        </w:tc>
      </w:tr>
      <w:tr>
        <w:trPr>
          <w:trHeight w:val="239"/>
        </w:trPr>
        <w:tc>
          <w:tcPr>
            <w:tcW w:w="1420" w:type="dxa"/>
            <w:vAlign w:val="bottom"/>
          </w:tcPr>
          <w:p>
            <w:pPr>
              <w:spacing w:after="0"/>
              <w:rPr>
                <w:sz w:val="20"/>
                <w:szCs w:val="20"/>
                <w:color w:val="auto"/>
              </w:rPr>
            </w:pPr>
            <w:r>
              <w:rPr>
                <w:rFonts w:ascii="Arial" w:cs="Arial" w:eastAsia="Arial" w:hAnsi="Arial"/>
                <w:sz w:val="18"/>
                <w:szCs w:val="18"/>
                <w:color w:val="auto"/>
              </w:rPr>
              <w:t>Pacific Time</w:t>
            </w:r>
          </w:p>
        </w:tc>
        <w:tc>
          <w:tcPr>
            <w:tcW w:w="1640" w:type="dxa"/>
            <w:vAlign w:val="bottom"/>
          </w:tcPr>
          <w:p>
            <w:pPr>
              <w:spacing w:after="0"/>
              <w:rPr>
                <w:sz w:val="20"/>
                <w:szCs w:val="20"/>
                <w:color w:val="auto"/>
              </w:rPr>
            </w:pPr>
          </w:p>
        </w:tc>
        <w:tc>
          <w:tcPr>
            <w:tcW w:w="2660" w:type="dxa"/>
            <w:vAlign w:val="bottom"/>
          </w:tcPr>
          <w:p>
            <w:pPr>
              <w:ind w:left="120"/>
              <w:spacing w:after="0"/>
              <w:rPr>
                <w:sz w:val="20"/>
                <w:szCs w:val="20"/>
                <w:color w:val="auto"/>
              </w:rPr>
            </w:pPr>
            <w:r>
              <w:rPr>
                <w:rFonts w:ascii="Arial" w:cs="Arial" w:eastAsia="Arial" w:hAnsi="Arial"/>
                <w:sz w:val="18"/>
                <w:szCs w:val="18"/>
                <w:color w:val="auto"/>
              </w:rPr>
              <w:t>March 7, 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50" w:lineRule="exact"/>
        <w:rPr>
          <w:sz w:val="20"/>
          <w:szCs w:val="20"/>
          <w:color w:val="auto"/>
        </w:rPr>
      </w:pPr>
    </w:p>
    <w:p>
      <w:pPr>
        <w:ind w:right="259"/>
        <w:spacing w:after="0" w:line="261" w:lineRule="auto"/>
        <w:rPr>
          <w:sz w:val="20"/>
          <w:szCs w:val="20"/>
          <w:color w:val="auto"/>
        </w:rPr>
      </w:pPr>
      <w:r>
        <w:rPr>
          <w:rFonts w:ascii="Arial" w:cs="Arial" w:eastAsia="Arial" w:hAnsi="Arial"/>
          <w:sz w:val="17"/>
          <w:szCs w:val="17"/>
          <w:b w:val="1"/>
          <w:bCs w:val="1"/>
          <w:color w:val="auto"/>
        </w:rPr>
        <w:t>Attending the Meeting</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Shareholders who wish to attend the meeting in person should review the instructions set forth below under “</w:t>
      </w:r>
      <w:r>
        <w:rPr>
          <w:rFonts w:ascii="Arial" w:cs="Arial" w:eastAsia="Arial" w:hAnsi="Arial"/>
          <w:sz w:val="17"/>
          <w:szCs w:val="17"/>
          <w:b w:val="1"/>
          <w:bCs w:val="1"/>
          <w:color w:val="auto"/>
        </w:rPr>
        <w:t>Attending the</w:t>
      </w:r>
      <w:r>
        <w:rPr>
          <w:rFonts w:ascii="Arial" w:cs="Arial" w:eastAsia="Arial" w:hAnsi="Arial"/>
          <w:sz w:val="17"/>
          <w:szCs w:val="17"/>
          <w:color w:val="auto"/>
        </w:rPr>
        <w:t xml:space="preserve"> </w:t>
      </w:r>
      <w:r>
        <w:rPr>
          <w:rFonts w:ascii="Arial" w:cs="Arial" w:eastAsia="Arial" w:hAnsi="Arial"/>
          <w:sz w:val="17"/>
          <w:szCs w:val="17"/>
          <w:b w:val="1"/>
          <w:bCs w:val="1"/>
          <w:color w:val="auto"/>
        </w:rPr>
        <w:t>Annual Meeting</w:t>
      </w:r>
      <w:r>
        <w:rPr>
          <w:rFonts w:ascii="Arial" w:cs="Arial" w:eastAsia="Arial" w:hAnsi="Arial"/>
          <w:sz w:val="17"/>
          <w:szCs w:val="17"/>
          <w:color w:val="auto"/>
        </w:rPr>
        <w:t>.”</w:t>
      </w:r>
    </w:p>
    <w:p>
      <w:pPr>
        <w:spacing w:after="0" w:line="169" w:lineRule="exact"/>
        <w:rPr>
          <w:sz w:val="20"/>
          <w:szCs w:val="20"/>
          <w:color w:val="auto"/>
        </w:rPr>
      </w:pPr>
    </w:p>
    <w:p>
      <w:pPr>
        <w:sectPr>
          <w:pgSz w:w="11900" w:h="16838" w:orient="portrait"/>
          <w:cols w:equalWidth="0" w:num="2">
            <w:col w:w="5820" w:space="420"/>
            <w:col w:w="2859"/>
          </w:cols>
          <w:pgMar w:left="1360" w:top="263" w:right="1440" w:bottom="1440" w:gutter="0" w:footer="0" w:header="0"/>
          <w:type w:val="continuous"/>
        </w:sectPr>
      </w:pPr>
    </w:p>
    <w:p>
      <w:pPr>
        <w:ind w:right="79"/>
        <w:spacing w:after="0" w:line="244" w:lineRule="auto"/>
        <w:rPr>
          <w:sz w:val="20"/>
          <w:szCs w:val="20"/>
          <w:color w:val="auto"/>
        </w:rPr>
      </w:pPr>
      <w:r>
        <w:rPr>
          <w:rFonts w:ascii="Arial" w:cs="Arial" w:eastAsia="Arial" w:hAnsi="Arial"/>
          <w:sz w:val="18"/>
          <w:szCs w:val="18"/>
          <w:color w:val="auto"/>
        </w:rPr>
        <w:t xml:space="preserve">We are holding our annual meeting via a “virtual” format. Therefore, we cordially invite you to electronically attend the Annual Meeting of Shareholders of Itron, Inc., which will be held on </w:t>
      </w:r>
      <w:r>
        <w:rPr>
          <w:rFonts w:ascii="Arial" w:cs="Arial" w:eastAsia="Arial" w:hAnsi="Arial"/>
          <w:sz w:val="18"/>
          <w:szCs w:val="18"/>
          <w:b w:val="1"/>
          <w:bCs w:val="1"/>
          <w:color w:val="auto"/>
        </w:rPr>
        <w:t>May 11, 2023</w:t>
      </w:r>
      <w:r>
        <w:rPr>
          <w:rFonts w:ascii="Arial" w:cs="Arial" w:eastAsia="Arial" w:hAnsi="Arial"/>
          <w:sz w:val="18"/>
          <w:szCs w:val="18"/>
          <w:color w:val="auto"/>
        </w:rPr>
        <w:t xml:space="preserve">, at </w:t>
      </w:r>
      <w:r>
        <w:rPr>
          <w:rFonts w:ascii="Arial" w:cs="Arial" w:eastAsia="Arial" w:hAnsi="Arial"/>
          <w:sz w:val="18"/>
          <w:szCs w:val="18"/>
          <w:b w:val="1"/>
          <w:bCs w:val="1"/>
          <w:color w:val="auto"/>
        </w:rPr>
        <w:t>9:00 a.m., Pacific Time</w:t>
      </w:r>
      <w:r>
        <w:rPr>
          <w:rFonts w:ascii="Arial" w:cs="Arial" w:eastAsia="Arial" w:hAnsi="Arial"/>
          <w:sz w:val="18"/>
          <w:szCs w:val="18"/>
          <w:color w:val="auto"/>
        </w:rPr>
        <w:t>. We are pleased to announce that this year’s annual meeting will be a virtual meeting via live webcast on the Internet. You will be able to attend the annual meeting, vote and submit your questions during the meeting by visiting:</w:t>
      </w:r>
    </w:p>
    <w:p>
      <w:pPr>
        <w:spacing w:after="0" w:line="6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www.virtualshareholdermeeting.com/ITRI2023</w:t>
      </w:r>
    </w:p>
    <w:p>
      <w:pPr>
        <w:spacing w:after="0" w:line="77" w:lineRule="exact"/>
        <w:rPr>
          <w:sz w:val="20"/>
          <w:szCs w:val="20"/>
          <w:color w:val="auto"/>
        </w:rPr>
      </w:pPr>
    </w:p>
    <w:p>
      <w:pPr>
        <w:jc w:val="both"/>
        <w:ind w:right="119"/>
        <w:spacing w:after="0" w:line="253" w:lineRule="auto"/>
        <w:rPr>
          <w:sz w:val="20"/>
          <w:szCs w:val="20"/>
          <w:color w:val="auto"/>
        </w:rPr>
      </w:pPr>
      <w:r>
        <w:rPr>
          <w:rFonts w:ascii="Arial" w:cs="Arial" w:eastAsia="Arial" w:hAnsi="Arial"/>
          <w:sz w:val="18"/>
          <w:szCs w:val="18"/>
          <w:color w:val="auto"/>
        </w:rPr>
        <w:t>You will need to have your 16-Digit Control Number included on your Notice or your proxy card (if you received a printed copy of the proxy materials) to join the annual meeting. As always, we encourage you to vote your shares prior to the annual meeting. The annual meeting will be held for the following purposes: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of Business:</w:t>
      </w:r>
    </w:p>
    <w:p>
      <w:pPr>
        <w:spacing w:after="0" w:line="40" w:lineRule="exact"/>
        <w:rPr>
          <w:sz w:val="20"/>
          <w:szCs w:val="20"/>
          <w:color w:val="auto"/>
        </w:rPr>
      </w:pPr>
    </w:p>
    <w:p>
      <w:pPr>
        <w:ind w:left="700" w:hanging="34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three directors to the Company’s Board of Directors.</w:t>
      </w:r>
    </w:p>
    <w:p>
      <w:pPr>
        <w:spacing w:after="0" w:line="14" w:lineRule="exact"/>
        <w:rPr>
          <w:rFonts w:ascii="Arial" w:cs="Arial" w:eastAsia="Arial" w:hAnsi="Arial"/>
          <w:sz w:val="18"/>
          <w:szCs w:val="18"/>
          <w:color w:val="auto"/>
        </w:rPr>
      </w:pPr>
    </w:p>
    <w:p>
      <w:pPr>
        <w:ind w:left="700" w:right="239" w:hanging="346"/>
        <w:spacing w:after="0" w:line="250"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of our named executive officers for the fiscal year ended December 31, 2022.</w:t>
      </w:r>
    </w:p>
    <w:p>
      <w:pPr>
        <w:ind w:left="700" w:right="239" w:hanging="346"/>
        <w:spacing w:after="0" w:line="250"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hold a non-binding advisory vote on how often a non-binding advisory vote on the compensation we pay our named executive officers should be held: every one, two or three years.</w:t>
      </w:r>
    </w:p>
    <w:p>
      <w:pPr>
        <w:ind w:left="700" w:hanging="34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the amendment of the Itron, Inc. 2012 Employee Stock Purchase Plan.</w:t>
      </w:r>
    </w:p>
    <w:p>
      <w:pPr>
        <w:spacing w:after="0" w:line="22" w:lineRule="exact"/>
        <w:rPr>
          <w:rFonts w:ascii="Arial" w:cs="Arial" w:eastAsia="Arial" w:hAnsi="Arial"/>
          <w:sz w:val="18"/>
          <w:szCs w:val="18"/>
          <w:color w:val="auto"/>
        </w:rPr>
      </w:pPr>
    </w:p>
    <w:p>
      <w:pPr>
        <w:ind w:left="700" w:right="499" w:hanging="346"/>
        <w:spacing w:after="0" w:line="250"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the Company’s independent registered public accountant for the 2023 fiscal year.</w:t>
      </w:r>
    </w:p>
    <w:p>
      <w:pPr>
        <w:ind w:left="700" w:hanging="34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annual meeting.</w:t>
      </w:r>
    </w:p>
    <w:p>
      <w:pPr>
        <w:spacing w:after="0" w:line="67" w:lineRule="exact"/>
        <w:rPr>
          <w:sz w:val="20"/>
          <w:szCs w:val="20"/>
          <w:color w:val="auto"/>
        </w:rPr>
      </w:pPr>
    </w:p>
    <w:p>
      <w:pPr>
        <w:jc w:val="both"/>
        <w:ind w:right="59"/>
        <w:spacing w:after="0" w:line="253" w:lineRule="auto"/>
        <w:rPr>
          <w:sz w:val="20"/>
          <w:szCs w:val="20"/>
          <w:color w:val="auto"/>
        </w:rPr>
      </w:pPr>
      <w:r>
        <w:rPr>
          <w:rFonts w:ascii="Arial" w:cs="Arial" w:eastAsia="Arial" w:hAnsi="Arial"/>
          <w:sz w:val="18"/>
          <w:szCs w:val="18"/>
          <w:color w:val="auto"/>
        </w:rPr>
        <w:t>Members of the Company’s management will not make any formal presentation as part of the annual meeting, but will be available to address questions from shareholders, as appropriate. In addition, we expect all of our director nominees together with those directors continuing in office will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5829300" cy="6343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29300" cy="634365"/>
                    </a:xfrm>
                    <a:prstGeom prst="rect">
                      <a:avLst/>
                    </a:prstGeom>
                    <a:noFill/>
                  </pic:spPr>
                </pic:pic>
              </a:graphicData>
            </a:graphic>
          </wp:anchor>
        </w:drawing>
      </w:r>
    </w:p>
    <w:p>
      <w:pPr>
        <w:spacing w:after="0" w:line="122" w:lineRule="exact"/>
        <w:rPr>
          <w:sz w:val="20"/>
          <w:szCs w:val="20"/>
          <w:color w:val="auto"/>
        </w:rPr>
      </w:pPr>
    </w:p>
    <w:p>
      <w:pPr>
        <w:ind w:left="80" w:right="119"/>
        <w:spacing w:after="0" w:line="247"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 annual meeting to be held on May 11, 2023</w:t>
      </w:r>
      <w:r>
        <w:rPr>
          <w:rFonts w:ascii="Arial" w:cs="Arial" w:eastAsia="Arial" w:hAnsi="Arial"/>
          <w:sz w:val="18"/>
          <w:szCs w:val="18"/>
          <w:color w:val="auto"/>
        </w:rPr>
        <w:t>. Our 2023 proxy statement is attached and, along with the Annual Report, is available for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all shareholders at </w:t>
      </w:r>
      <w:r>
        <w:rPr>
          <w:rFonts w:ascii="Arial" w:cs="Arial" w:eastAsia="Arial" w:hAnsi="Arial"/>
          <w:sz w:val="18"/>
          <w:szCs w:val="18"/>
          <w:b w:val="1"/>
          <w:bCs w:val="1"/>
          <w:color w:val="auto"/>
        </w:rPr>
        <w:t>https://materials.proxyvote.com.</w:t>
      </w:r>
      <w:r>
        <w:rPr>
          <w:rFonts w:ascii="Arial" w:cs="Arial" w:eastAsia="Arial" w:hAnsi="Arial"/>
          <w:sz w:val="18"/>
          <w:szCs w:val="18"/>
          <w:color w:val="auto"/>
        </w:rPr>
        <w:t xml:space="preserve"> Financial and other information concerning Itron is contained in our Annual Report for the 2022 fiscal year.</w:t>
      </w:r>
    </w:p>
    <w:p>
      <w:pPr>
        <w:spacing w:after="0" w:line="133" w:lineRule="exact"/>
        <w:rPr>
          <w:sz w:val="20"/>
          <w:szCs w:val="20"/>
          <w:color w:val="auto"/>
        </w:rPr>
      </w:pPr>
    </w:p>
    <w:p>
      <w:pPr>
        <w:ind w:right="119"/>
        <w:spacing w:after="0" w:line="247" w:lineRule="auto"/>
        <w:rPr>
          <w:sz w:val="20"/>
          <w:szCs w:val="20"/>
          <w:color w:val="auto"/>
        </w:rPr>
      </w:pPr>
      <w:r>
        <w:rPr>
          <w:rFonts w:ascii="Arial" w:cs="Arial" w:eastAsia="Arial" w:hAnsi="Arial"/>
          <w:sz w:val="18"/>
          <w:szCs w:val="18"/>
          <w:b w:val="1"/>
          <w:bCs w:val="1"/>
          <w:u w:val="single" w:color="auto"/>
          <w:color w:val="auto"/>
        </w:rPr>
        <w:t>Your vote is very important</w:t>
      </w:r>
      <w:r>
        <w:rPr>
          <w:rFonts w:ascii="Arial" w:cs="Arial" w:eastAsia="Arial" w:hAnsi="Arial"/>
          <w:sz w:val="18"/>
          <w:szCs w:val="18"/>
          <w:b w:val="1"/>
          <w:bCs w:val="1"/>
          <w:color w:val="auto"/>
        </w:rPr>
        <w:t xml:space="preserve">. </w:t>
      </w:r>
      <w:r>
        <w:rPr>
          <w:rFonts w:ascii="Arial" w:cs="Arial" w:eastAsia="Arial" w:hAnsi="Arial"/>
          <w:sz w:val="18"/>
          <w:szCs w:val="18"/>
          <w:color w:val="auto"/>
        </w:rPr>
        <w:t>To ensure representation at the annual meeting, shareholders are urged to vote as</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as possible. To vote your shares, please refer to the voting instruction form on the website noted above, or review the section titled “Quorum and Voting” in the proxy statement. Any shareholder attending the annual meeting may vote in person (virtually) even if that shareholder has returned a proxy.</w:t>
      </w:r>
    </w:p>
    <w:p>
      <w:pPr>
        <w:spacing w:after="0" w:line="14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206375</wp:posOffset>
            </wp:positionV>
            <wp:extent cx="908685" cy="342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0868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 </w:t>
      </w:r>
    </w:p>
    <w:p>
      <w:pPr>
        <w:spacing w:after="0" w:line="50"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Christopher E. Ware</w:t>
      </w:r>
    </w:p>
    <w:p>
      <w:pPr>
        <w:spacing w:after="0" w:line="52" w:lineRule="exact"/>
        <w:rPr>
          <w:sz w:val="20"/>
          <w:szCs w:val="20"/>
          <w:color w:val="auto"/>
        </w:rPr>
      </w:pPr>
    </w:p>
    <w:p>
      <w:pPr>
        <w:ind w:left="4120"/>
        <w:spacing w:after="0"/>
        <w:rPr>
          <w:sz w:val="20"/>
          <w:szCs w:val="20"/>
          <w:color w:val="auto"/>
        </w:rPr>
      </w:pPr>
      <w:r>
        <w:rPr>
          <w:rFonts w:ascii="Arial" w:cs="Arial" w:eastAsia="Arial" w:hAnsi="Arial"/>
          <w:sz w:val="18"/>
          <w:szCs w:val="18"/>
          <w:i w:val="1"/>
          <w:iCs w:val="1"/>
          <w:color w:val="auto"/>
        </w:rPr>
        <w:t>Corporate Secretary</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Washington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109220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99"/>
          </w:cols>
          <w:pgMar w:left="1360" w:top="263"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7960" w:type="dxa"/>
            <w:vAlign w:val="bottom"/>
            <w:gridSpan w:val="41"/>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6"/>
        </w:trPr>
        <w:tc>
          <w:tcPr>
            <w:tcW w:w="92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gridSpan w:val="16"/>
          </w:tcPr>
          <w:p>
            <w:pPr>
              <w:ind w:left="10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920" w:type="dxa"/>
            <w:vAlign w:val="bottom"/>
          </w:tcPr>
          <w:p>
            <w:pPr>
              <w:spacing w:after="0"/>
              <w:rPr>
                <w:sz w:val="24"/>
                <w:szCs w:val="24"/>
                <w:color w:val="auto"/>
              </w:rPr>
            </w:pPr>
          </w:p>
        </w:tc>
        <w:tc>
          <w:tcPr>
            <w:tcW w:w="17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b w:val="1"/>
                <w:bCs w:val="1"/>
                <w:color w:val="0000EE"/>
                <w:w w:val="97"/>
              </w:rPr>
              <w:t>PROXY STATEMENT</w:t>
            </w:r>
          </w:p>
        </w:tc>
        <w:tc>
          <w:tcPr>
            <w:tcW w:w="6200" w:type="dxa"/>
            <w:vAlign w:val="bottom"/>
            <w:gridSpan w:val="33"/>
          </w:tcPr>
          <w:p>
            <w:pPr>
              <w:spacing w:after="0"/>
              <w:rPr>
                <w:sz w:val="24"/>
                <w:szCs w:val="24"/>
                <w:color w:val="auto"/>
              </w:rPr>
            </w:pPr>
          </w:p>
        </w:tc>
        <w:tc>
          <w:tcPr>
            <w:tcW w:w="6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1</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38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9"/>
              </w:rPr>
              <w:t>Attending the Annual Meeting</w:t>
            </w:r>
          </w:p>
        </w:tc>
        <w:tc>
          <w:tcPr>
            <w:tcW w:w="5220" w:type="dxa"/>
            <w:vAlign w:val="bottom"/>
            <w:gridSpan w:val="24"/>
          </w:tcPr>
          <w:p>
            <w:pPr>
              <w:spacing w:after="0"/>
              <w:rPr>
                <w:sz w:val="22"/>
                <w:szCs w:val="22"/>
                <w:color w:val="auto"/>
              </w:rPr>
            </w:pPr>
          </w:p>
        </w:tc>
        <w:tc>
          <w:tcPr>
            <w:tcW w:w="660" w:type="dxa"/>
            <w:vAlign w:val="bottom"/>
            <w:gridSpan w:val="2"/>
          </w:tcPr>
          <w:p>
            <w:pPr>
              <w:spacing w:after="0"/>
              <w:rPr>
                <w:sz w:val="22"/>
                <w:szCs w:val="22"/>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1</w:t>
            </w: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0" w:type="dxa"/>
            <w:vAlign w:val="bottom"/>
            <w:gridSpan w:val="40"/>
          </w:tcPr>
          <w:p>
            <w:pPr>
              <w:spacing w:after="0"/>
              <w:rPr>
                <w:sz w:val="20"/>
                <w:szCs w:val="20"/>
                <w:color w:val="auto"/>
              </w:rPr>
            </w:pPr>
            <w:r>
              <w:rPr>
                <w:rFonts w:ascii="Arial" w:cs="Arial" w:eastAsia="Arial" w:hAnsi="Arial"/>
                <w:sz w:val="18"/>
                <w:szCs w:val="18"/>
                <w:color w:val="0000EE"/>
              </w:rPr>
              <w:t>Internet Availability of Annual Meeting Materials</w:t>
            </w:r>
          </w:p>
        </w:tc>
        <w:tc>
          <w:tcPr>
            <w:tcW w:w="760" w:type="dxa"/>
            <w:vAlign w:val="bottom"/>
            <w:gridSpan w:val="3"/>
          </w:tcPr>
          <w:p>
            <w:pPr>
              <w:jc w:val="right"/>
              <w:spacing w:after="0"/>
              <w:rPr>
                <w:sz w:val="20"/>
                <w:szCs w:val="20"/>
                <w:color w:val="auto"/>
              </w:rPr>
            </w:pPr>
            <w:r>
              <w:rPr>
                <w:rFonts w:ascii="Arial" w:cs="Arial" w:eastAsia="Arial" w:hAnsi="Arial"/>
                <w:sz w:val="18"/>
                <w:szCs w:val="18"/>
                <w:color w:val="0000EE"/>
              </w:rPr>
              <w:t>1</w:t>
            </w: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0" w:type="dxa"/>
            <w:vAlign w:val="bottom"/>
            <w:gridSpan w:val="40"/>
          </w:tcPr>
          <w:p>
            <w:pPr>
              <w:spacing w:after="0"/>
              <w:rPr>
                <w:sz w:val="20"/>
                <w:szCs w:val="20"/>
                <w:color w:val="auto"/>
              </w:rPr>
            </w:pPr>
            <w:r>
              <w:rPr>
                <w:rFonts w:ascii="Arial" w:cs="Arial" w:eastAsia="Arial" w:hAnsi="Arial"/>
                <w:sz w:val="18"/>
                <w:szCs w:val="18"/>
                <w:color w:val="0000EE"/>
              </w:rPr>
              <w:t>Proposals to Be Voted on at the Annual Meeting</w:t>
            </w:r>
          </w:p>
        </w:tc>
        <w:tc>
          <w:tcPr>
            <w:tcW w:w="760" w:type="dxa"/>
            <w:vAlign w:val="bottom"/>
            <w:gridSpan w:val="3"/>
          </w:tcPr>
          <w:p>
            <w:pPr>
              <w:jc w:val="right"/>
              <w:spacing w:after="0"/>
              <w:rPr>
                <w:sz w:val="20"/>
                <w:szCs w:val="20"/>
                <w:color w:val="auto"/>
              </w:rPr>
            </w:pPr>
            <w:r>
              <w:rPr>
                <w:rFonts w:ascii="Arial" w:cs="Arial" w:eastAsia="Arial" w:hAnsi="Arial"/>
                <w:sz w:val="18"/>
                <w:szCs w:val="18"/>
                <w:color w:val="0000EE"/>
              </w:rPr>
              <w:t>1</w:t>
            </w: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0" w:type="dxa"/>
            <w:vAlign w:val="bottom"/>
            <w:tcBorders>
              <w:top w:val="single" w:sz="8" w:color="0000EE"/>
              <w:bottom w:val="single" w:sz="8" w:color="0000EE"/>
            </w:tcBorders>
            <w:gridSpan w:val="21"/>
          </w:tcPr>
          <w:p>
            <w:pPr>
              <w:spacing w:after="0"/>
              <w:rPr>
                <w:sz w:val="20"/>
                <w:szCs w:val="20"/>
                <w:color w:val="auto"/>
              </w:rPr>
            </w:pPr>
            <w:r>
              <w:rPr>
                <w:rFonts w:ascii="Arial" w:cs="Arial" w:eastAsia="Arial" w:hAnsi="Arial"/>
                <w:sz w:val="18"/>
                <w:szCs w:val="18"/>
                <w:color w:val="0000EE"/>
                <w:w w:val="99"/>
              </w:rPr>
              <w:t>Record Date and Outstanding Shares</w:t>
            </w:r>
          </w:p>
        </w:tc>
        <w:tc>
          <w:tcPr>
            <w:tcW w:w="820" w:type="dxa"/>
            <w:vAlign w:val="bottom"/>
            <w:tcBorders>
              <w:top w:val="single" w:sz="8" w:color="0000EE"/>
            </w:tcBorders>
            <w:gridSpan w:val="9"/>
          </w:tcPr>
          <w:p>
            <w:pPr>
              <w:spacing w:after="0"/>
              <w:rPr>
                <w:sz w:val="22"/>
                <w:szCs w:val="22"/>
                <w:color w:val="auto"/>
              </w:rPr>
            </w:pPr>
          </w:p>
        </w:tc>
        <w:tc>
          <w:tcPr>
            <w:tcW w:w="3780" w:type="dxa"/>
            <w:vAlign w:val="bottom"/>
            <w:gridSpan w:val="10"/>
          </w:tcPr>
          <w:p>
            <w:pPr>
              <w:spacing w:after="0"/>
              <w:rPr>
                <w:sz w:val="22"/>
                <w:szCs w:val="22"/>
                <w:color w:val="auto"/>
              </w:rPr>
            </w:pPr>
          </w:p>
        </w:tc>
        <w:tc>
          <w:tcPr>
            <w:tcW w:w="660" w:type="dxa"/>
            <w:vAlign w:val="bottom"/>
            <w:gridSpan w:val="2"/>
          </w:tcPr>
          <w:p>
            <w:pPr>
              <w:spacing w:after="0"/>
              <w:rPr>
                <w:sz w:val="22"/>
                <w:szCs w:val="22"/>
                <w:color w:val="auto"/>
              </w:rPr>
            </w:pPr>
          </w:p>
        </w:tc>
        <w:tc>
          <w:tcPr>
            <w:tcW w:w="100" w:type="dxa"/>
            <w:vAlign w:val="bottom"/>
            <w:tcBorders>
              <w:top w:val="single" w:sz="8" w:color="0000EE"/>
              <w:bottom w:val="single" w:sz="8" w:color="0000EE"/>
            </w:tcBorders>
          </w:tcPr>
          <w:p>
            <w:pPr>
              <w:jc w:val="right"/>
              <w:spacing w:after="0"/>
              <w:rPr>
                <w:sz w:val="20"/>
                <w:szCs w:val="20"/>
                <w:color w:val="auto"/>
              </w:rPr>
            </w:pPr>
            <w:r>
              <w:rPr>
                <w:rFonts w:ascii="Arial" w:cs="Arial" w:eastAsia="Arial" w:hAnsi="Arial"/>
                <w:sz w:val="18"/>
                <w:szCs w:val="18"/>
                <w:color w:val="0000EE"/>
                <w:w w:val="79"/>
              </w:rPr>
              <w:t>2</w:t>
            </w: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0" w:type="dxa"/>
            <w:vAlign w:val="bottom"/>
            <w:gridSpan w:val="40"/>
          </w:tcPr>
          <w:p>
            <w:pPr>
              <w:spacing w:after="0"/>
              <w:rPr>
                <w:sz w:val="20"/>
                <w:szCs w:val="20"/>
                <w:color w:val="auto"/>
              </w:rPr>
            </w:pPr>
            <w:r>
              <w:rPr>
                <w:rFonts w:ascii="Arial" w:cs="Arial" w:eastAsia="Arial" w:hAnsi="Arial"/>
                <w:sz w:val="18"/>
                <w:szCs w:val="18"/>
                <w:color w:val="0000EE"/>
              </w:rPr>
              <w:t>Quorum and Voting</w:t>
            </w:r>
          </w:p>
        </w:tc>
        <w:tc>
          <w:tcPr>
            <w:tcW w:w="760" w:type="dxa"/>
            <w:vAlign w:val="bottom"/>
            <w:gridSpan w:val="3"/>
          </w:tcPr>
          <w:p>
            <w:pPr>
              <w:jc w:val="right"/>
              <w:spacing w:after="0"/>
              <w:rPr>
                <w:sz w:val="20"/>
                <w:szCs w:val="20"/>
                <w:color w:val="auto"/>
              </w:rPr>
            </w:pPr>
            <w:r>
              <w:rPr>
                <w:rFonts w:ascii="Arial" w:cs="Arial" w:eastAsia="Arial" w:hAnsi="Arial"/>
                <w:sz w:val="18"/>
                <w:szCs w:val="18"/>
                <w:color w:val="0000EE"/>
              </w:rPr>
              <w:t>2</w:t>
            </w: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2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8"/>
              </w:rPr>
              <w:t>Revocability of Proxies</w:t>
            </w:r>
          </w:p>
        </w:tc>
        <w:tc>
          <w:tcPr>
            <w:tcW w:w="5780" w:type="dxa"/>
            <w:vAlign w:val="bottom"/>
            <w:gridSpan w:val="29"/>
          </w:tcPr>
          <w:p>
            <w:pPr>
              <w:spacing w:after="0"/>
              <w:rPr>
                <w:sz w:val="22"/>
                <w:szCs w:val="22"/>
                <w:color w:val="auto"/>
              </w:rPr>
            </w:pPr>
          </w:p>
        </w:tc>
        <w:tc>
          <w:tcPr>
            <w:tcW w:w="660" w:type="dxa"/>
            <w:vAlign w:val="bottom"/>
            <w:gridSpan w:val="2"/>
          </w:tcPr>
          <w:p>
            <w:pPr>
              <w:spacing w:after="0"/>
              <w:rPr>
                <w:sz w:val="22"/>
                <w:szCs w:val="22"/>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4</w:t>
            </w: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8"/>
              </w:rPr>
              <w:t>Proxy Solicitation</w:t>
            </w:r>
          </w:p>
        </w:tc>
        <w:tc>
          <w:tcPr>
            <w:tcW w:w="6220" w:type="dxa"/>
            <w:vAlign w:val="bottom"/>
            <w:gridSpan w:val="34"/>
          </w:tcPr>
          <w:p>
            <w:pPr>
              <w:spacing w:after="0"/>
              <w:rPr>
                <w:sz w:val="22"/>
                <w:szCs w:val="22"/>
                <w:color w:val="auto"/>
              </w:rPr>
            </w:pPr>
          </w:p>
        </w:tc>
        <w:tc>
          <w:tcPr>
            <w:tcW w:w="660" w:type="dxa"/>
            <w:vAlign w:val="bottom"/>
            <w:gridSpan w:val="2"/>
          </w:tcPr>
          <w:p>
            <w:pPr>
              <w:spacing w:after="0"/>
              <w:rPr>
                <w:sz w:val="22"/>
                <w:szCs w:val="22"/>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4</w:t>
            </w: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9"/>
        </w:trPr>
        <w:tc>
          <w:tcPr>
            <w:tcW w:w="920" w:type="dxa"/>
            <w:vAlign w:val="bottom"/>
          </w:tcPr>
          <w:p>
            <w:pPr>
              <w:spacing w:after="0"/>
              <w:rPr>
                <w:sz w:val="24"/>
                <w:szCs w:val="24"/>
                <w:color w:val="auto"/>
              </w:rPr>
            </w:pPr>
          </w:p>
        </w:tc>
        <w:tc>
          <w:tcPr>
            <w:tcW w:w="7960" w:type="dxa"/>
            <w:vAlign w:val="bottom"/>
            <w:gridSpan w:val="41"/>
          </w:tcPr>
          <w:p>
            <w:pPr>
              <w:spacing w:after="0"/>
              <w:rPr>
                <w:sz w:val="20"/>
                <w:szCs w:val="20"/>
                <w:color w:val="auto"/>
              </w:rPr>
            </w:pPr>
            <w:r>
              <w:rPr>
                <w:rFonts w:ascii="Arial" w:cs="Arial" w:eastAsia="Arial" w:hAnsi="Arial"/>
                <w:sz w:val="18"/>
                <w:szCs w:val="18"/>
                <w:b w:val="1"/>
                <w:bCs w:val="1"/>
                <w:color w:val="0000EE"/>
              </w:rPr>
              <w:t>PROPOSAL 1 – ELECTION OF DIRECTORS</w:t>
            </w:r>
          </w:p>
        </w:tc>
        <w:tc>
          <w:tcPr>
            <w:tcW w:w="760" w:type="dxa"/>
            <w:vAlign w:val="bottom"/>
            <w:gridSpan w:val="3"/>
          </w:tcPr>
          <w:p>
            <w:pPr>
              <w:jc w:val="right"/>
              <w:spacing w:after="0"/>
              <w:rPr>
                <w:sz w:val="20"/>
                <w:szCs w:val="20"/>
                <w:color w:val="auto"/>
              </w:rPr>
            </w:pPr>
            <w:r>
              <w:rPr>
                <w:rFonts w:ascii="Arial" w:cs="Arial" w:eastAsia="Arial" w:hAnsi="Arial"/>
                <w:sz w:val="18"/>
                <w:szCs w:val="18"/>
                <w:color w:val="0000EE"/>
              </w:rPr>
              <w:t>5</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spacing w:after="0"/>
              <w:rPr>
                <w:sz w:val="24"/>
                <w:szCs w:val="24"/>
                <w:color w:val="auto"/>
              </w:rPr>
            </w:pPr>
          </w:p>
        </w:tc>
        <w:tc>
          <w:tcPr>
            <w:tcW w:w="7960" w:type="dxa"/>
            <w:vAlign w:val="bottom"/>
            <w:gridSpan w:val="41"/>
          </w:tcPr>
          <w:p>
            <w:pPr>
              <w:spacing w:after="0"/>
              <w:rPr>
                <w:sz w:val="20"/>
                <w:szCs w:val="20"/>
                <w:color w:val="auto"/>
              </w:rPr>
            </w:pPr>
            <w:r>
              <w:rPr>
                <w:rFonts w:ascii="Arial" w:cs="Arial" w:eastAsia="Arial" w:hAnsi="Arial"/>
                <w:sz w:val="18"/>
                <w:szCs w:val="18"/>
                <w:b w:val="1"/>
                <w:bCs w:val="1"/>
                <w:color w:val="0000EE"/>
              </w:rPr>
              <w:t>MORE INFORMATION ABOUT OUR DIRECTORS</w:t>
            </w:r>
          </w:p>
        </w:tc>
        <w:tc>
          <w:tcPr>
            <w:tcW w:w="760" w:type="dxa"/>
            <w:vAlign w:val="bottom"/>
            <w:gridSpan w:val="3"/>
          </w:tcPr>
          <w:p>
            <w:pPr>
              <w:jc w:val="right"/>
              <w:spacing w:after="0"/>
              <w:rPr>
                <w:sz w:val="20"/>
                <w:szCs w:val="20"/>
                <w:color w:val="auto"/>
              </w:rPr>
            </w:pPr>
            <w:r>
              <w:rPr>
                <w:rFonts w:ascii="Arial" w:cs="Arial" w:eastAsia="Arial" w:hAnsi="Arial"/>
                <w:sz w:val="18"/>
                <w:szCs w:val="18"/>
                <w:color w:val="0000EE"/>
              </w:rPr>
              <w:t>5</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80" w:type="dxa"/>
            <w:vAlign w:val="bottom"/>
            <w:gridSpan w:val="13"/>
          </w:tcPr>
          <w:p>
            <w:pPr>
              <w:spacing w:after="0"/>
              <w:rPr>
                <w:sz w:val="20"/>
                <w:szCs w:val="20"/>
                <w:color w:val="auto"/>
              </w:rPr>
            </w:pPr>
            <w:r>
              <w:rPr>
                <w:rFonts w:ascii="Arial" w:cs="Arial" w:eastAsia="Arial" w:hAnsi="Arial"/>
                <w:sz w:val="18"/>
                <w:szCs w:val="18"/>
                <w:color w:val="0000EE"/>
                <w:w w:val="95"/>
              </w:rPr>
              <w:t>Compensation of Directors</w:t>
            </w:r>
          </w:p>
        </w:tc>
        <w:tc>
          <w:tcPr>
            <w:tcW w:w="1580" w:type="dxa"/>
            <w:vAlign w:val="bottom"/>
            <w:gridSpan w:val="15"/>
          </w:tcPr>
          <w:p>
            <w:pPr>
              <w:spacing w:after="0"/>
              <w:rPr>
                <w:sz w:val="22"/>
                <w:szCs w:val="22"/>
                <w:color w:val="auto"/>
              </w:rPr>
            </w:pPr>
          </w:p>
        </w:tc>
        <w:tc>
          <w:tcPr>
            <w:tcW w:w="3940" w:type="dxa"/>
            <w:vAlign w:val="bottom"/>
            <w:gridSpan w:val="12"/>
          </w:tcPr>
          <w:p>
            <w:pPr>
              <w:spacing w:after="0"/>
              <w:rPr>
                <w:sz w:val="22"/>
                <w:szCs w:val="22"/>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0000EE"/>
              </w:rPr>
              <w:t>11</w:t>
            </w: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spacing w:after="0"/>
              <w:rPr>
                <w:sz w:val="24"/>
                <w:szCs w:val="24"/>
                <w:color w:val="auto"/>
              </w:rPr>
            </w:pPr>
          </w:p>
        </w:tc>
        <w:tc>
          <w:tcPr>
            <w:tcW w:w="7960" w:type="dxa"/>
            <w:vAlign w:val="bottom"/>
            <w:gridSpan w:val="41"/>
          </w:tcPr>
          <w:p>
            <w:pPr>
              <w:spacing w:after="0"/>
              <w:rPr>
                <w:sz w:val="20"/>
                <w:szCs w:val="20"/>
                <w:color w:val="auto"/>
              </w:rPr>
            </w:pPr>
            <w:r>
              <w:rPr>
                <w:rFonts w:ascii="Arial" w:cs="Arial" w:eastAsia="Arial" w:hAnsi="Arial"/>
                <w:sz w:val="18"/>
                <w:szCs w:val="18"/>
                <w:b w:val="1"/>
                <w:bCs w:val="1"/>
                <w:color w:val="0000EE"/>
              </w:rPr>
              <w:t>CORPORATE GOVERNANCE</w:t>
            </w:r>
          </w:p>
        </w:tc>
        <w:tc>
          <w:tcPr>
            <w:tcW w:w="2140" w:type="dxa"/>
            <w:vAlign w:val="bottom"/>
            <w:gridSpan w:val="4"/>
          </w:tcPr>
          <w:p>
            <w:pPr>
              <w:jc w:val="right"/>
              <w:ind w:right="1360"/>
              <w:spacing w:after="0"/>
              <w:rPr>
                <w:sz w:val="20"/>
                <w:szCs w:val="20"/>
                <w:color w:val="auto"/>
              </w:rPr>
            </w:pPr>
            <w:r>
              <w:rPr>
                <w:rFonts w:ascii="Arial" w:cs="Arial" w:eastAsia="Arial" w:hAnsi="Arial"/>
                <w:sz w:val="18"/>
                <w:szCs w:val="18"/>
                <w:color w:val="0000EE"/>
              </w:rPr>
              <w:t>14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0" w:type="dxa"/>
            <w:vAlign w:val="bottom"/>
            <w:gridSpan w:val="40"/>
          </w:tcPr>
          <w:p>
            <w:pPr>
              <w:spacing w:after="0"/>
              <w:rPr>
                <w:sz w:val="20"/>
                <w:szCs w:val="20"/>
                <w:color w:val="auto"/>
              </w:rPr>
            </w:pPr>
            <w:r>
              <w:rPr>
                <w:rFonts w:ascii="Arial" w:cs="Arial" w:eastAsia="Arial" w:hAnsi="Arial"/>
                <w:sz w:val="18"/>
                <w:szCs w:val="18"/>
                <w:color w:val="0000EE"/>
              </w:rPr>
              <w:t>Leadership Structure of the Board of Directors</w:t>
            </w:r>
          </w:p>
        </w:tc>
        <w:tc>
          <w:tcPr>
            <w:tcW w:w="2140" w:type="dxa"/>
            <w:vAlign w:val="bottom"/>
            <w:gridSpan w:val="4"/>
          </w:tcPr>
          <w:p>
            <w:pPr>
              <w:jc w:val="right"/>
              <w:ind w:right="1360"/>
              <w:spacing w:after="0"/>
              <w:rPr>
                <w:sz w:val="20"/>
                <w:szCs w:val="20"/>
                <w:color w:val="auto"/>
              </w:rPr>
            </w:pPr>
            <w:r>
              <w:rPr>
                <w:rFonts w:ascii="Arial" w:cs="Arial" w:eastAsia="Arial" w:hAnsi="Arial"/>
                <w:sz w:val="18"/>
                <w:szCs w:val="18"/>
                <w:color w:val="0000EE"/>
              </w:rPr>
              <w:t>14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60" w:type="dxa"/>
            <w:vAlign w:val="bottom"/>
            <w:gridSpan w:val="28"/>
          </w:tcPr>
          <w:p>
            <w:pPr>
              <w:spacing w:after="0"/>
              <w:rPr>
                <w:sz w:val="20"/>
                <w:szCs w:val="20"/>
                <w:color w:val="auto"/>
              </w:rPr>
            </w:pPr>
            <w:r>
              <w:rPr>
                <w:rFonts w:ascii="Arial" w:cs="Arial" w:eastAsia="Arial" w:hAnsi="Arial"/>
                <w:sz w:val="18"/>
                <w:szCs w:val="18"/>
                <w:color w:val="0000EE"/>
              </w:rPr>
              <w:t>Corporate Governance Guiding Principles</w:t>
            </w:r>
          </w:p>
        </w:tc>
        <w:tc>
          <w:tcPr>
            <w:tcW w:w="3940" w:type="dxa"/>
            <w:vAlign w:val="bottom"/>
            <w:gridSpan w:val="12"/>
          </w:tcPr>
          <w:p>
            <w:pPr>
              <w:spacing w:after="0"/>
              <w:rPr>
                <w:sz w:val="22"/>
                <w:szCs w:val="22"/>
                <w:color w:val="auto"/>
              </w:rPr>
            </w:pPr>
          </w:p>
        </w:tc>
        <w:tc>
          <w:tcPr>
            <w:tcW w:w="2140" w:type="dxa"/>
            <w:vAlign w:val="bottom"/>
            <w:gridSpan w:val="4"/>
          </w:tcPr>
          <w:p>
            <w:pPr>
              <w:jc w:val="right"/>
              <w:ind w:right="1360"/>
              <w:spacing w:after="0"/>
              <w:rPr>
                <w:sz w:val="20"/>
                <w:szCs w:val="20"/>
                <w:color w:val="auto"/>
              </w:rPr>
            </w:pPr>
            <w:r>
              <w:rPr>
                <w:rFonts w:ascii="Arial" w:cs="Arial" w:eastAsia="Arial" w:hAnsi="Arial"/>
                <w:sz w:val="18"/>
                <w:szCs w:val="18"/>
                <w:color w:val="0000EE"/>
              </w:rPr>
              <w:t>14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320" w:type="dxa"/>
            <w:vAlign w:val="bottom"/>
            <w:gridSpan w:val="26"/>
          </w:tcPr>
          <w:p>
            <w:pPr>
              <w:spacing w:after="0"/>
              <w:rPr>
                <w:sz w:val="20"/>
                <w:szCs w:val="20"/>
                <w:color w:val="auto"/>
              </w:rPr>
            </w:pPr>
            <w:r>
              <w:rPr>
                <w:rFonts w:ascii="Arial" w:cs="Arial" w:eastAsia="Arial" w:hAnsi="Arial"/>
                <w:sz w:val="18"/>
                <w:szCs w:val="18"/>
                <w:color w:val="0000EE"/>
              </w:rPr>
              <w:t>Board Matters – Meeting Attendance</w:t>
            </w:r>
          </w:p>
        </w:tc>
        <w:tc>
          <w:tcPr>
            <w:tcW w:w="4280" w:type="dxa"/>
            <w:vAlign w:val="bottom"/>
            <w:gridSpan w:val="14"/>
          </w:tcPr>
          <w:p>
            <w:pPr>
              <w:spacing w:after="0"/>
              <w:rPr>
                <w:sz w:val="22"/>
                <w:szCs w:val="22"/>
                <w:color w:val="auto"/>
              </w:rPr>
            </w:pPr>
          </w:p>
        </w:tc>
        <w:tc>
          <w:tcPr>
            <w:tcW w:w="2140" w:type="dxa"/>
            <w:vAlign w:val="bottom"/>
            <w:gridSpan w:val="4"/>
          </w:tcPr>
          <w:p>
            <w:pPr>
              <w:jc w:val="right"/>
              <w:ind w:right="1360"/>
              <w:spacing w:after="0"/>
              <w:rPr>
                <w:sz w:val="20"/>
                <w:szCs w:val="20"/>
                <w:color w:val="auto"/>
              </w:rPr>
            </w:pPr>
            <w:r>
              <w:rPr>
                <w:rFonts w:ascii="Arial" w:cs="Arial" w:eastAsia="Arial" w:hAnsi="Arial"/>
                <w:sz w:val="18"/>
                <w:szCs w:val="18"/>
                <w:color w:val="0000EE"/>
              </w:rPr>
              <w:t>14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20" w:type="dxa"/>
            <w:vAlign w:val="bottom"/>
            <w:gridSpan w:val="11"/>
          </w:tcPr>
          <w:p>
            <w:pPr>
              <w:spacing w:after="0"/>
              <w:rPr>
                <w:sz w:val="20"/>
                <w:szCs w:val="20"/>
                <w:color w:val="auto"/>
              </w:rPr>
            </w:pPr>
            <w:r>
              <w:rPr>
                <w:rFonts w:ascii="Arial" w:cs="Arial" w:eastAsia="Arial" w:hAnsi="Arial"/>
                <w:sz w:val="18"/>
                <w:szCs w:val="18"/>
                <w:color w:val="0000EE"/>
                <w:w w:val="98"/>
              </w:rPr>
              <w:t>Director Independence</w:t>
            </w:r>
          </w:p>
        </w:tc>
        <w:tc>
          <w:tcPr>
            <w:tcW w:w="1100" w:type="dxa"/>
            <w:vAlign w:val="bottom"/>
            <w:gridSpan w:val="8"/>
          </w:tcPr>
          <w:p>
            <w:pPr>
              <w:spacing w:after="0"/>
              <w:rPr>
                <w:sz w:val="22"/>
                <w:szCs w:val="22"/>
                <w:color w:val="auto"/>
              </w:rPr>
            </w:pPr>
          </w:p>
        </w:tc>
        <w:tc>
          <w:tcPr>
            <w:tcW w:w="4680" w:type="dxa"/>
            <w:vAlign w:val="bottom"/>
            <w:gridSpan w:val="21"/>
          </w:tcPr>
          <w:p>
            <w:pPr>
              <w:spacing w:after="0"/>
              <w:rPr>
                <w:sz w:val="22"/>
                <w:szCs w:val="22"/>
                <w:color w:val="auto"/>
              </w:rPr>
            </w:pPr>
          </w:p>
        </w:tc>
        <w:tc>
          <w:tcPr>
            <w:tcW w:w="2140" w:type="dxa"/>
            <w:vAlign w:val="bottom"/>
            <w:gridSpan w:val="4"/>
          </w:tcPr>
          <w:p>
            <w:pPr>
              <w:jc w:val="right"/>
              <w:ind w:right="1360"/>
              <w:spacing w:after="0"/>
              <w:rPr>
                <w:sz w:val="20"/>
                <w:szCs w:val="20"/>
                <w:color w:val="auto"/>
              </w:rPr>
            </w:pPr>
            <w:r>
              <w:rPr>
                <w:rFonts w:ascii="Arial" w:cs="Arial" w:eastAsia="Arial" w:hAnsi="Arial"/>
                <w:sz w:val="18"/>
                <w:szCs w:val="18"/>
                <w:color w:val="0000EE"/>
              </w:rPr>
              <w:t>14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0" w:type="dxa"/>
            <w:vAlign w:val="bottom"/>
            <w:gridSpan w:val="40"/>
          </w:tcPr>
          <w:p>
            <w:pPr>
              <w:spacing w:after="0"/>
              <w:rPr>
                <w:sz w:val="20"/>
                <w:szCs w:val="20"/>
                <w:color w:val="auto"/>
              </w:rPr>
            </w:pPr>
            <w:r>
              <w:rPr>
                <w:rFonts w:ascii="Arial" w:cs="Arial" w:eastAsia="Arial" w:hAnsi="Arial"/>
                <w:sz w:val="18"/>
                <w:szCs w:val="18"/>
                <w:color w:val="0000EE"/>
              </w:rPr>
              <w:t>Committees of the Board</w:t>
            </w:r>
          </w:p>
        </w:tc>
        <w:tc>
          <w:tcPr>
            <w:tcW w:w="2140" w:type="dxa"/>
            <w:vAlign w:val="bottom"/>
            <w:gridSpan w:val="4"/>
          </w:tcPr>
          <w:p>
            <w:pPr>
              <w:jc w:val="right"/>
              <w:ind w:right="1360"/>
              <w:spacing w:after="0"/>
              <w:rPr>
                <w:sz w:val="20"/>
                <w:szCs w:val="20"/>
                <w:color w:val="auto"/>
              </w:rPr>
            </w:pPr>
            <w:r>
              <w:rPr>
                <w:rFonts w:ascii="Arial" w:cs="Arial" w:eastAsia="Arial" w:hAnsi="Arial"/>
                <w:sz w:val="18"/>
                <w:szCs w:val="18"/>
                <w:color w:val="0000EE"/>
              </w:rPr>
              <w:t>15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60" w:type="dxa"/>
            <w:vAlign w:val="bottom"/>
            <w:gridSpan w:val="33"/>
          </w:tcPr>
          <w:p>
            <w:pPr>
              <w:spacing w:after="0"/>
              <w:rPr>
                <w:sz w:val="20"/>
                <w:szCs w:val="20"/>
                <w:color w:val="auto"/>
              </w:rPr>
            </w:pPr>
            <w:r>
              <w:rPr>
                <w:rFonts w:ascii="Arial" w:cs="Arial" w:eastAsia="Arial" w:hAnsi="Arial"/>
                <w:sz w:val="18"/>
                <w:szCs w:val="18"/>
                <w:color w:val="0000EE"/>
                <w:w w:val="99"/>
              </w:rPr>
              <w:t>Nominating and Corporate Governance Committee</w:t>
            </w:r>
          </w:p>
        </w:tc>
        <w:tc>
          <w:tcPr>
            <w:tcW w:w="3180" w:type="dxa"/>
            <w:vAlign w:val="bottom"/>
            <w:gridSpan w:val="6"/>
          </w:tcPr>
          <w:p>
            <w:pPr>
              <w:spacing w:after="0"/>
              <w:rPr>
                <w:sz w:val="22"/>
                <w:szCs w:val="22"/>
                <w:color w:val="auto"/>
              </w:rPr>
            </w:pPr>
          </w:p>
        </w:tc>
        <w:tc>
          <w:tcPr>
            <w:tcW w:w="2140" w:type="dxa"/>
            <w:vAlign w:val="bottom"/>
            <w:gridSpan w:val="4"/>
          </w:tcPr>
          <w:p>
            <w:pPr>
              <w:jc w:val="right"/>
              <w:ind w:right="1360"/>
              <w:spacing w:after="0"/>
              <w:rPr>
                <w:sz w:val="20"/>
                <w:szCs w:val="20"/>
                <w:color w:val="auto"/>
              </w:rPr>
            </w:pPr>
            <w:r>
              <w:rPr>
                <w:rFonts w:ascii="Arial" w:cs="Arial" w:eastAsia="Arial" w:hAnsi="Arial"/>
                <w:sz w:val="18"/>
                <w:szCs w:val="18"/>
                <w:color w:val="0000EE"/>
              </w:rPr>
              <w:t>15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20" w:type="dxa"/>
            <w:vAlign w:val="bottom"/>
            <w:gridSpan w:val="15"/>
          </w:tcPr>
          <w:p>
            <w:pPr>
              <w:spacing w:after="0"/>
              <w:rPr>
                <w:sz w:val="20"/>
                <w:szCs w:val="20"/>
                <w:color w:val="auto"/>
              </w:rPr>
            </w:pPr>
            <w:r>
              <w:rPr>
                <w:rFonts w:ascii="Arial" w:cs="Arial" w:eastAsia="Arial" w:hAnsi="Arial"/>
                <w:sz w:val="18"/>
                <w:szCs w:val="18"/>
                <w:color w:val="0000EE"/>
                <w:w w:val="97"/>
              </w:rPr>
              <w:t>Audit/Finance Committee</w:t>
            </w:r>
          </w:p>
        </w:tc>
        <w:tc>
          <w:tcPr>
            <w:tcW w:w="2040" w:type="dxa"/>
            <w:vAlign w:val="bottom"/>
            <w:gridSpan w:val="18"/>
          </w:tcPr>
          <w:p>
            <w:pPr>
              <w:spacing w:after="0"/>
              <w:rPr>
                <w:sz w:val="22"/>
                <w:szCs w:val="22"/>
                <w:color w:val="auto"/>
              </w:rPr>
            </w:pPr>
          </w:p>
        </w:tc>
        <w:tc>
          <w:tcPr>
            <w:tcW w:w="3180" w:type="dxa"/>
            <w:vAlign w:val="bottom"/>
            <w:gridSpan w:val="6"/>
          </w:tcPr>
          <w:p>
            <w:pPr>
              <w:spacing w:after="0"/>
              <w:rPr>
                <w:sz w:val="22"/>
                <w:szCs w:val="22"/>
                <w:color w:val="auto"/>
              </w:rPr>
            </w:pPr>
          </w:p>
        </w:tc>
        <w:tc>
          <w:tcPr>
            <w:tcW w:w="2140" w:type="dxa"/>
            <w:vAlign w:val="bottom"/>
            <w:gridSpan w:val="4"/>
          </w:tcPr>
          <w:p>
            <w:pPr>
              <w:jc w:val="right"/>
              <w:ind w:right="1360"/>
              <w:spacing w:after="0"/>
              <w:rPr>
                <w:sz w:val="20"/>
                <w:szCs w:val="20"/>
                <w:color w:val="auto"/>
              </w:rPr>
            </w:pPr>
            <w:r>
              <w:rPr>
                <w:rFonts w:ascii="Arial" w:cs="Arial" w:eastAsia="Arial" w:hAnsi="Arial"/>
                <w:sz w:val="18"/>
                <w:szCs w:val="18"/>
                <w:color w:val="0000EE"/>
              </w:rPr>
              <w:t>16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20" w:type="dxa"/>
            <w:vAlign w:val="bottom"/>
            <w:gridSpan w:val="15"/>
          </w:tcPr>
          <w:p>
            <w:pPr>
              <w:spacing w:after="0"/>
              <w:rPr>
                <w:sz w:val="20"/>
                <w:szCs w:val="20"/>
                <w:color w:val="auto"/>
              </w:rPr>
            </w:pPr>
            <w:r>
              <w:rPr>
                <w:rFonts w:ascii="Arial" w:cs="Arial" w:eastAsia="Arial" w:hAnsi="Arial"/>
                <w:sz w:val="18"/>
                <w:szCs w:val="18"/>
                <w:color w:val="0000EE"/>
                <w:w w:val="95"/>
              </w:rPr>
              <w:t>Compensation Committee</w:t>
            </w:r>
          </w:p>
        </w:tc>
        <w:tc>
          <w:tcPr>
            <w:tcW w:w="5220" w:type="dxa"/>
            <w:vAlign w:val="bottom"/>
            <w:gridSpan w:val="24"/>
          </w:tcPr>
          <w:p>
            <w:pPr>
              <w:spacing w:after="0"/>
              <w:rPr>
                <w:sz w:val="22"/>
                <w:szCs w:val="22"/>
                <w:color w:val="auto"/>
              </w:rPr>
            </w:pPr>
          </w:p>
        </w:tc>
        <w:tc>
          <w:tcPr>
            <w:tcW w:w="2140" w:type="dxa"/>
            <w:vAlign w:val="bottom"/>
            <w:gridSpan w:val="4"/>
          </w:tcPr>
          <w:p>
            <w:pPr>
              <w:jc w:val="right"/>
              <w:ind w:right="1360"/>
              <w:spacing w:after="0"/>
              <w:rPr>
                <w:sz w:val="20"/>
                <w:szCs w:val="20"/>
                <w:color w:val="auto"/>
              </w:rPr>
            </w:pPr>
            <w:r>
              <w:rPr>
                <w:rFonts w:ascii="Arial" w:cs="Arial" w:eastAsia="Arial" w:hAnsi="Arial"/>
                <w:sz w:val="18"/>
                <w:szCs w:val="18"/>
                <w:color w:val="0000EE"/>
              </w:rPr>
              <w:t>16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80" w:type="dxa"/>
            <w:vAlign w:val="bottom"/>
            <w:gridSpan w:val="36"/>
          </w:tcPr>
          <w:p>
            <w:pPr>
              <w:spacing w:after="0"/>
              <w:rPr>
                <w:sz w:val="20"/>
                <w:szCs w:val="20"/>
                <w:color w:val="auto"/>
              </w:rPr>
            </w:pPr>
            <w:r>
              <w:rPr>
                <w:rFonts w:ascii="Arial" w:cs="Arial" w:eastAsia="Arial" w:hAnsi="Arial"/>
                <w:sz w:val="18"/>
                <w:szCs w:val="18"/>
                <w:color w:val="0000EE"/>
                <w:w w:val="99"/>
              </w:rPr>
              <w:t>Compensation Committee Interlocks and Insider Participation</w:t>
            </w:r>
          </w:p>
        </w:tc>
        <w:tc>
          <w:tcPr>
            <w:tcW w:w="2720" w:type="dxa"/>
            <w:vAlign w:val="bottom"/>
            <w:gridSpan w:val="4"/>
          </w:tcPr>
          <w:p>
            <w:pPr>
              <w:spacing w:after="0"/>
              <w:rPr>
                <w:sz w:val="22"/>
                <w:szCs w:val="22"/>
                <w:color w:val="auto"/>
              </w:rPr>
            </w:pPr>
          </w:p>
        </w:tc>
        <w:tc>
          <w:tcPr>
            <w:tcW w:w="2140" w:type="dxa"/>
            <w:vAlign w:val="bottom"/>
            <w:gridSpan w:val="4"/>
          </w:tcPr>
          <w:p>
            <w:pPr>
              <w:jc w:val="right"/>
              <w:ind w:right="1360"/>
              <w:spacing w:after="0"/>
              <w:rPr>
                <w:sz w:val="20"/>
                <w:szCs w:val="20"/>
                <w:color w:val="auto"/>
              </w:rPr>
            </w:pPr>
            <w:r>
              <w:rPr>
                <w:rFonts w:ascii="Arial" w:cs="Arial" w:eastAsia="Arial" w:hAnsi="Arial"/>
                <w:sz w:val="18"/>
                <w:szCs w:val="18"/>
                <w:color w:val="0000EE"/>
              </w:rPr>
              <w:t>16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80" w:type="dxa"/>
            <w:vAlign w:val="bottom"/>
            <w:gridSpan w:val="36"/>
          </w:tcPr>
          <w:p>
            <w:pPr>
              <w:spacing w:after="0"/>
              <w:rPr>
                <w:sz w:val="20"/>
                <w:szCs w:val="20"/>
                <w:color w:val="auto"/>
              </w:rPr>
            </w:pPr>
            <w:r>
              <w:rPr>
                <w:rFonts w:ascii="Arial" w:cs="Arial" w:eastAsia="Arial" w:hAnsi="Arial"/>
                <w:sz w:val="18"/>
                <w:szCs w:val="18"/>
                <w:color w:val="0000EE"/>
              </w:rPr>
              <w:t>Transactions with Related Persons</w:t>
            </w:r>
          </w:p>
        </w:tc>
        <w:tc>
          <w:tcPr>
            <w:tcW w:w="2720" w:type="dxa"/>
            <w:vAlign w:val="bottom"/>
            <w:gridSpan w:val="4"/>
          </w:tcPr>
          <w:p>
            <w:pPr>
              <w:spacing w:after="0"/>
              <w:rPr>
                <w:sz w:val="22"/>
                <w:szCs w:val="22"/>
                <w:color w:val="auto"/>
              </w:rPr>
            </w:pPr>
          </w:p>
        </w:tc>
        <w:tc>
          <w:tcPr>
            <w:tcW w:w="2140" w:type="dxa"/>
            <w:vAlign w:val="bottom"/>
            <w:gridSpan w:val="4"/>
          </w:tcPr>
          <w:p>
            <w:pPr>
              <w:jc w:val="right"/>
              <w:ind w:right="1360"/>
              <w:spacing w:after="0"/>
              <w:rPr>
                <w:sz w:val="20"/>
                <w:szCs w:val="20"/>
                <w:color w:val="auto"/>
              </w:rPr>
            </w:pPr>
            <w:r>
              <w:rPr>
                <w:rFonts w:ascii="Arial" w:cs="Arial" w:eastAsia="Arial" w:hAnsi="Arial"/>
                <w:sz w:val="18"/>
                <w:szCs w:val="18"/>
                <w:color w:val="0000EE"/>
              </w:rPr>
              <w:t>16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0" w:type="dxa"/>
            <w:vAlign w:val="bottom"/>
            <w:gridSpan w:val="40"/>
          </w:tcPr>
          <w:p>
            <w:pPr>
              <w:spacing w:after="0"/>
              <w:rPr>
                <w:sz w:val="20"/>
                <w:szCs w:val="20"/>
                <w:color w:val="auto"/>
              </w:rPr>
            </w:pPr>
            <w:r>
              <w:rPr>
                <w:rFonts w:ascii="Arial" w:cs="Arial" w:eastAsia="Arial" w:hAnsi="Arial"/>
                <w:sz w:val="18"/>
                <w:szCs w:val="18"/>
                <w:color w:val="0000EE"/>
              </w:rPr>
              <w:t>Our Board’s Role in Risk Oversight</w:t>
            </w:r>
          </w:p>
        </w:tc>
        <w:tc>
          <w:tcPr>
            <w:tcW w:w="2140" w:type="dxa"/>
            <w:vAlign w:val="bottom"/>
            <w:gridSpan w:val="4"/>
          </w:tcPr>
          <w:p>
            <w:pPr>
              <w:jc w:val="right"/>
              <w:ind w:right="1360"/>
              <w:spacing w:after="0"/>
              <w:rPr>
                <w:sz w:val="20"/>
                <w:szCs w:val="20"/>
                <w:color w:val="auto"/>
              </w:rPr>
            </w:pPr>
            <w:r>
              <w:rPr>
                <w:rFonts w:ascii="Arial" w:cs="Arial" w:eastAsia="Arial" w:hAnsi="Arial"/>
                <w:sz w:val="18"/>
                <w:szCs w:val="18"/>
                <w:color w:val="0000EE"/>
              </w:rPr>
              <w:t>17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780" w:type="dxa"/>
            <w:vAlign w:val="bottom"/>
            <w:gridSpan w:val="18"/>
          </w:tcPr>
          <w:p>
            <w:pPr>
              <w:spacing w:after="0"/>
              <w:rPr>
                <w:sz w:val="20"/>
                <w:szCs w:val="20"/>
                <w:color w:val="auto"/>
              </w:rPr>
            </w:pPr>
            <w:r>
              <w:rPr>
                <w:rFonts w:ascii="Arial" w:cs="Arial" w:eastAsia="Arial" w:hAnsi="Arial"/>
                <w:sz w:val="18"/>
                <w:szCs w:val="18"/>
                <w:color w:val="0000EE"/>
              </w:rPr>
              <w:t>Code of Conduct</w:t>
            </w:r>
          </w:p>
        </w:tc>
        <w:tc>
          <w:tcPr>
            <w:tcW w:w="4820" w:type="dxa"/>
            <w:vAlign w:val="bottom"/>
            <w:gridSpan w:val="22"/>
          </w:tcPr>
          <w:p>
            <w:pPr>
              <w:spacing w:after="0"/>
              <w:rPr>
                <w:sz w:val="22"/>
                <w:szCs w:val="22"/>
                <w:color w:val="auto"/>
              </w:rPr>
            </w:pPr>
          </w:p>
        </w:tc>
        <w:tc>
          <w:tcPr>
            <w:tcW w:w="2140" w:type="dxa"/>
            <w:vAlign w:val="bottom"/>
            <w:gridSpan w:val="4"/>
          </w:tcPr>
          <w:p>
            <w:pPr>
              <w:jc w:val="right"/>
              <w:ind w:right="1360"/>
              <w:spacing w:after="0"/>
              <w:rPr>
                <w:sz w:val="20"/>
                <w:szCs w:val="20"/>
                <w:color w:val="auto"/>
              </w:rPr>
            </w:pPr>
            <w:r>
              <w:rPr>
                <w:rFonts w:ascii="Arial" w:cs="Arial" w:eastAsia="Arial" w:hAnsi="Arial"/>
                <w:sz w:val="18"/>
                <w:szCs w:val="18"/>
                <w:color w:val="0000EE"/>
              </w:rPr>
              <w:t>17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0" w:type="dxa"/>
            <w:vAlign w:val="bottom"/>
            <w:gridSpan w:val="40"/>
          </w:tcPr>
          <w:p>
            <w:pPr>
              <w:spacing w:after="0"/>
              <w:rPr>
                <w:sz w:val="20"/>
                <w:szCs w:val="20"/>
                <w:color w:val="auto"/>
              </w:rPr>
            </w:pPr>
            <w:r>
              <w:rPr>
                <w:rFonts w:ascii="Arial" w:cs="Arial" w:eastAsia="Arial" w:hAnsi="Arial"/>
                <w:sz w:val="18"/>
                <w:szCs w:val="18"/>
                <w:color w:val="0000EE"/>
              </w:rPr>
              <w:t>Anti-Hedging Policy</w:t>
            </w:r>
          </w:p>
        </w:tc>
        <w:tc>
          <w:tcPr>
            <w:tcW w:w="2140" w:type="dxa"/>
            <w:vAlign w:val="bottom"/>
            <w:gridSpan w:val="4"/>
          </w:tcPr>
          <w:p>
            <w:pPr>
              <w:jc w:val="right"/>
              <w:ind w:right="1360"/>
              <w:spacing w:after="0"/>
              <w:rPr>
                <w:sz w:val="20"/>
                <w:szCs w:val="20"/>
                <w:color w:val="auto"/>
              </w:rPr>
            </w:pPr>
            <w:r>
              <w:rPr>
                <w:rFonts w:ascii="Arial" w:cs="Arial" w:eastAsia="Arial" w:hAnsi="Arial"/>
                <w:sz w:val="18"/>
                <w:szCs w:val="18"/>
                <w:color w:val="0000EE"/>
              </w:rPr>
              <w:t>18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160" w:type="dxa"/>
            <w:vAlign w:val="bottom"/>
            <w:gridSpan w:val="24"/>
          </w:tcPr>
          <w:p>
            <w:pPr>
              <w:spacing w:after="0"/>
              <w:rPr>
                <w:sz w:val="20"/>
                <w:szCs w:val="20"/>
                <w:color w:val="auto"/>
              </w:rPr>
            </w:pPr>
            <w:r>
              <w:rPr>
                <w:rFonts w:ascii="Arial" w:cs="Arial" w:eastAsia="Arial" w:hAnsi="Arial"/>
                <w:sz w:val="18"/>
                <w:szCs w:val="18"/>
                <w:color w:val="0000EE"/>
                <w:w w:val="98"/>
              </w:rPr>
              <w:t>Incentive Repayment (Clawback) Policy</w:t>
            </w:r>
          </w:p>
        </w:tc>
        <w:tc>
          <w:tcPr>
            <w:tcW w:w="4440" w:type="dxa"/>
            <w:vAlign w:val="bottom"/>
            <w:gridSpan w:val="16"/>
          </w:tcPr>
          <w:p>
            <w:pPr>
              <w:spacing w:after="0"/>
              <w:rPr>
                <w:sz w:val="22"/>
                <w:szCs w:val="22"/>
                <w:color w:val="auto"/>
              </w:rPr>
            </w:pPr>
          </w:p>
        </w:tc>
        <w:tc>
          <w:tcPr>
            <w:tcW w:w="2140" w:type="dxa"/>
            <w:vAlign w:val="bottom"/>
            <w:gridSpan w:val="4"/>
          </w:tcPr>
          <w:p>
            <w:pPr>
              <w:jc w:val="right"/>
              <w:ind w:right="1360"/>
              <w:spacing w:after="0"/>
              <w:rPr>
                <w:sz w:val="20"/>
                <w:szCs w:val="20"/>
                <w:color w:val="auto"/>
              </w:rPr>
            </w:pPr>
            <w:r>
              <w:rPr>
                <w:rFonts w:ascii="Arial" w:cs="Arial" w:eastAsia="Arial" w:hAnsi="Arial"/>
                <w:sz w:val="18"/>
                <w:szCs w:val="18"/>
                <w:color w:val="0000EE"/>
              </w:rPr>
              <w:t>18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5"/>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40" w:type="dxa"/>
            <w:vAlign w:val="bottom"/>
            <w:gridSpan w:val="22"/>
          </w:tcPr>
          <w:p>
            <w:pPr>
              <w:spacing w:after="0"/>
              <w:rPr>
                <w:sz w:val="20"/>
                <w:szCs w:val="20"/>
                <w:color w:val="auto"/>
              </w:rPr>
            </w:pPr>
            <w:r>
              <w:rPr>
                <w:rFonts w:ascii="Arial" w:cs="Arial" w:eastAsia="Arial" w:hAnsi="Arial"/>
                <w:sz w:val="18"/>
                <w:szCs w:val="18"/>
                <w:color w:val="0000EE"/>
                <w:w w:val="99"/>
              </w:rPr>
              <w:t>Director Nominations by Shareholders</w:t>
            </w:r>
          </w:p>
        </w:tc>
        <w:tc>
          <w:tcPr>
            <w:tcW w:w="120" w:type="dxa"/>
            <w:vAlign w:val="bottom"/>
            <w:gridSpan w:val="2"/>
          </w:tcPr>
          <w:p>
            <w:pPr>
              <w:spacing w:after="0"/>
              <w:rPr>
                <w:sz w:val="22"/>
                <w:szCs w:val="22"/>
                <w:color w:val="auto"/>
              </w:rPr>
            </w:pPr>
          </w:p>
        </w:tc>
        <w:tc>
          <w:tcPr>
            <w:tcW w:w="4440" w:type="dxa"/>
            <w:vAlign w:val="bottom"/>
            <w:gridSpan w:val="16"/>
          </w:tcPr>
          <w:p>
            <w:pPr>
              <w:spacing w:after="0"/>
              <w:rPr>
                <w:sz w:val="22"/>
                <w:szCs w:val="22"/>
                <w:color w:val="auto"/>
              </w:rPr>
            </w:pPr>
          </w:p>
        </w:tc>
        <w:tc>
          <w:tcPr>
            <w:tcW w:w="2140" w:type="dxa"/>
            <w:vAlign w:val="bottom"/>
            <w:gridSpan w:val="4"/>
          </w:tcPr>
          <w:p>
            <w:pPr>
              <w:jc w:val="right"/>
              <w:ind w:right="1360"/>
              <w:spacing w:after="0"/>
              <w:rPr>
                <w:sz w:val="20"/>
                <w:szCs w:val="20"/>
                <w:color w:val="auto"/>
              </w:rPr>
            </w:pPr>
            <w:r>
              <w:rPr>
                <w:rFonts w:ascii="Arial" w:cs="Arial" w:eastAsia="Arial" w:hAnsi="Arial"/>
                <w:sz w:val="18"/>
                <w:szCs w:val="18"/>
                <w:color w:val="0000EE"/>
              </w:rPr>
              <w:t>18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5"/>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560" w:type="dxa"/>
            <w:vAlign w:val="bottom"/>
            <w:gridSpan w:val="27"/>
          </w:tcPr>
          <w:p>
            <w:pPr>
              <w:spacing w:after="0"/>
              <w:rPr>
                <w:sz w:val="20"/>
                <w:szCs w:val="20"/>
                <w:color w:val="auto"/>
              </w:rPr>
            </w:pPr>
            <w:r>
              <w:rPr>
                <w:rFonts w:ascii="Arial" w:cs="Arial" w:eastAsia="Arial" w:hAnsi="Arial"/>
                <w:sz w:val="18"/>
                <w:szCs w:val="18"/>
                <w:color w:val="0000EE"/>
                <w:w w:val="98"/>
              </w:rPr>
              <w:t>Shareholder Communications with the Board</w:t>
            </w:r>
          </w:p>
        </w:tc>
        <w:tc>
          <w:tcPr>
            <w:tcW w:w="4040" w:type="dxa"/>
            <w:vAlign w:val="bottom"/>
            <w:gridSpan w:val="13"/>
          </w:tcPr>
          <w:p>
            <w:pPr>
              <w:spacing w:after="0"/>
              <w:rPr>
                <w:sz w:val="22"/>
                <w:szCs w:val="22"/>
                <w:color w:val="auto"/>
              </w:rPr>
            </w:pPr>
          </w:p>
        </w:tc>
        <w:tc>
          <w:tcPr>
            <w:tcW w:w="2140" w:type="dxa"/>
            <w:vAlign w:val="bottom"/>
            <w:gridSpan w:val="4"/>
          </w:tcPr>
          <w:p>
            <w:pPr>
              <w:jc w:val="right"/>
              <w:ind w:right="1360"/>
              <w:spacing w:after="0"/>
              <w:rPr>
                <w:sz w:val="20"/>
                <w:szCs w:val="20"/>
                <w:color w:val="auto"/>
              </w:rPr>
            </w:pPr>
            <w:r>
              <w:rPr>
                <w:rFonts w:ascii="Arial" w:cs="Arial" w:eastAsia="Arial" w:hAnsi="Arial"/>
                <w:sz w:val="18"/>
                <w:szCs w:val="18"/>
                <w:color w:val="0000EE"/>
              </w:rPr>
              <w:t>19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5"/>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spacing w:after="0"/>
              <w:rPr>
                <w:sz w:val="24"/>
                <w:szCs w:val="24"/>
                <w:color w:val="auto"/>
              </w:rPr>
            </w:pPr>
          </w:p>
        </w:tc>
        <w:tc>
          <w:tcPr>
            <w:tcW w:w="7960" w:type="dxa"/>
            <w:vAlign w:val="bottom"/>
            <w:gridSpan w:val="41"/>
          </w:tcPr>
          <w:p>
            <w:pPr>
              <w:spacing w:after="0"/>
              <w:rPr>
                <w:sz w:val="20"/>
                <w:szCs w:val="20"/>
                <w:color w:val="auto"/>
              </w:rPr>
            </w:pPr>
            <w:r>
              <w:rPr>
                <w:rFonts w:ascii="Arial" w:cs="Arial" w:eastAsia="Arial" w:hAnsi="Arial"/>
                <w:sz w:val="18"/>
                <w:szCs w:val="18"/>
                <w:b w:val="1"/>
                <w:bCs w:val="1"/>
                <w:color w:val="0000EE"/>
              </w:rPr>
              <w:t>PROPOSAL 2 – ADVISORY APPROVAL OF EXECUTIVE COMPENSATION (Say-on-Pay)</w:t>
            </w:r>
          </w:p>
        </w:tc>
        <w:tc>
          <w:tcPr>
            <w:tcW w:w="2140" w:type="dxa"/>
            <w:vAlign w:val="bottom"/>
            <w:gridSpan w:val="4"/>
          </w:tcPr>
          <w:p>
            <w:pPr>
              <w:jc w:val="right"/>
              <w:ind w:right="1360"/>
              <w:spacing w:after="0"/>
              <w:rPr>
                <w:sz w:val="20"/>
                <w:szCs w:val="20"/>
                <w:color w:val="auto"/>
              </w:rPr>
            </w:pPr>
            <w:r>
              <w:rPr>
                <w:rFonts w:ascii="Arial" w:cs="Arial" w:eastAsia="Arial" w:hAnsi="Arial"/>
                <w:sz w:val="18"/>
                <w:szCs w:val="18"/>
                <w:color w:val="0000EE"/>
              </w:rPr>
              <w:t>20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5"/>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spacing w:after="0"/>
              <w:rPr>
                <w:sz w:val="24"/>
                <w:szCs w:val="24"/>
                <w:color w:val="auto"/>
              </w:rPr>
            </w:pPr>
          </w:p>
        </w:tc>
        <w:tc>
          <w:tcPr>
            <w:tcW w:w="7960" w:type="dxa"/>
            <w:vAlign w:val="bottom"/>
            <w:gridSpan w:val="41"/>
          </w:tcPr>
          <w:p>
            <w:pPr>
              <w:spacing w:after="0"/>
              <w:rPr>
                <w:sz w:val="20"/>
                <w:szCs w:val="20"/>
                <w:color w:val="auto"/>
              </w:rPr>
            </w:pPr>
            <w:r>
              <w:rPr>
                <w:rFonts w:ascii="Arial" w:cs="Arial" w:eastAsia="Arial" w:hAnsi="Arial"/>
                <w:sz w:val="18"/>
                <w:szCs w:val="18"/>
                <w:b w:val="1"/>
                <w:bCs w:val="1"/>
                <w:color w:val="0000EE"/>
              </w:rPr>
              <w:t>PROPOSAL 3 – ADVISORY VOTE ON FREQUENCY OF FUTURE ADVISORY VOTES ON</w:t>
            </w:r>
          </w:p>
        </w:tc>
        <w:tc>
          <w:tcPr>
            <w:tcW w:w="2140" w:type="dxa"/>
            <w:vAlign w:val="bottom"/>
            <w:gridSpan w:val="4"/>
            <w:vMerge w:val="restart"/>
          </w:tcPr>
          <w:p>
            <w:pPr>
              <w:jc w:val="right"/>
              <w:ind w:right="1360"/>
              <w:spacing w:after="0"/>
              <w:rPr>
                <w:sz w:val="20"/>
                <w:szCs w:val="20"/>
                <w:color w:val="auto"/>
              </w:rPr>
            </w:pPr>
            <w:r>
              <w:rPr>
                <w:rFonts w:ascii="Arial" w:cs="Arial" w:eastAsia="Arial" w:hAnsi="Arial"/>
                <w:sz w:val="18"/>
                <w:szCs w:val="18"/>
                <w:color w:val="0000EE"/>
              </w:rPr>
              <w:t>22</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4220" w:type="dxa"/>
            <w:vAlign w:val="bottom"/>
            <w:tcBorders>
              <w:top w:val="single" w:sz="8" w:color="0000EE"/>
            </w:tcBorders>
            <w:gridSpan w:val="32"/>
          </w:tcPr>
          <w:p>
            <w:pPr>
              <w:spacing w:after="0" w:line="182" w:lineRule="exact"/>
              <w:rPr>
                <w:sz w:val="20"/>
                <w:szCs w:val="20"/>
                <w:color w:val="auto"/>
              </w:rPr>
            </w:pPr>
            <w:r>
              <w:rPr>
                <w:rFonts w:ascii="Arial" w:cs="Arial" w:eastAsia="Arial" w:hAnsi="Arial"/>
                <w:sz w:val="18"/>
                <w:szCs w:val="18"/>
                <w:b w:val="1"/>
                <w:bCs w:val="1"/>
                <w:color w:val="0000EE"/>
                <w:w w:val="97"/>
              </w:rPr>
              <w:t>EXECUTIVE COMPENSATION (Say-on-Frequency)</w:t>
            </w:r>
          </w:p>
        </w:tc>
        <w:tc>
          <w:tcPr>
            <w:tcW w:w="3140" w:type="dxa"/>
            <w:vAlign w:val="bottom"/>
            <w:tcBorders>
              <w:top w:val="single" w:sz="8" w:color="0000EE"/>
            </w:tcBorders>
            <w:gridSpan w:val="8"/>
          </w:tcPr>
          <w:p>
            <w:pPr>
              <w:spacing w:after="0"/>
              <w:rPr>
                <w:sz w:val="15"/>
                <w:szCs w:val="15"/>
                <w:color w:val="auto"/>
              </w:rPr>
            </w:pPr>
          </w:p>
        </w:tc>
        <w:tc>
          <w:tcPr>
            <w:tcW w:w="600" w:type="dxa"/>
            <w:vAlign w:val="bottom"/>
          </w:tcPr>
          <w:p>
            <w:pPr>
              <w:spacing w:after="0"/>
              <w:rPr>
                <w:sz w:val="15"/>
                <w:szCs w:val="15"/>
                <w:color w:val="auto"/>
              </w:rPr>
            </w:pPr>
          </w:p>
        </w:tc>
        <w:tc>
          <w:tcPr>
            <w:tcW w:w="21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5"/>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spacing w:after="0"/>
              <w:rPr>
                <w:sz w:val="24"/>
                <w:szCs w:val="24"/>
                <w:color w:val="auto"/>
              </w:rPr>
            </w:pPr>
          </w:p>
        </w:tc>
        <w:tc>
          <w:tcPr>
            <w:tcW w:w="2520" w:type="dxa"/>
            <w:vAlign w:val="bottom"/>
            <w:gridSpan w:val="15"/>
          </w:tcPr>
          <w:p>
            <w:pPr>
              <w:spacing w:after="0"/>
              <w:rPr>
                <w:sz w:val="20"/>
                <w:szCs w:val="20"/>
                <w:color w:val="auto"/>
              </w:rPr>
            </w:pPr>
            <w:r>
              <w:rPr>
                <w:rFonts w:ascii="Arial" w:cs="Arial" w:eastAsia="Arial" w:hAnsi="Arial"/>
                <w:sz w:val="18"/>
                <w:szCs w:val="18"/>
                <w:b w:val="1"/>
                <w:bCs w:val="1"/>
                <w:color w:val="0000EE"/>
                <w:w w:val="98"/>
              </w:rPr>
              <w:t>EXECUTIVE COMPENSATION</w:t>
            </w:r>
          </w:p>
        </w:tc>
        <w:tc>
          <w:tcPr>
            <w:tcW w:w="1700" w:type="dxa"/>
            <w:vAlign w:val="bottom"/>
            <w:gridSpan w:val="17"/>
          </w:tcPr>
          <w:p>
            <w:pPr>
              <w:spacing w:after="0"/>
              <w:rPr>
                <w:sz w:val="24"/>
                <w:szCs w:val="24"/>
                <w:color w:val="auto"/>
              </w:rPr>
            </w:pPr>
          </w:p>
        </w:tc>
        <w:tc>
          <w:tcPr>
            <w:tcW w:w="3740" w:type="dxa"/>
            <w:vAlign w:val="bottom"/>
            <w:gridSpan w:val="9"/>
          </w:tcPr>
          <w:p>
            <w:pPr>
              <w:spacing w:after="0"/>
              <w:rPr>
                <w:sz w:val="24"/>
                <w:szCs w:val="24"/>
                <w:color w:val="auto"/>
              </w:rPr>
            </w:pPr>
          </w:p>
        </w:tc>
        <w:tc>
          <w:tcPr>
            <w:tcW w:w="2140" w:type="dxa"/>
            <w:vAlign w:val="bottom"/>
            <w:gridSpan w:val="4"/>
          </w:tcPr>
          <w:p>
            <w:pPr>
              <w:jc w:val="right"/>
              <w:ind w:right="1360"/>
              <w:spacing w:after="0"/>
              <w:rPr>
                <w:sz w:val="20"/>
                <w:szCs w:val="20"/>
                <w:color w:val="auto"/>
              </w:rPr>
            </w:pPr>
            <w:r>
              <w:rPr>
                <w:rFonts w:ascii="Arial" w:cs="Arial" w:eastAsia="Arial" w:hAnsi="Arial"/>
                <w:sz w:val="18"/>
                <w:szCs w:val="18"/>
                <w:color w:val="0000EE"/>
              </w:rPr>
              <w:t>23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5"/>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spacing w:after="0"/>
              <w:rPr>
                <w:sz w:val="24"/>
                <w:szCs w:val="24"/>
                <w:color w:val="auto"/>
              </w:rPr>
            </w:pPr>
          </w:p>
        </w:tc>
        <w:tc>
          <w:tcPr>
            <w:tcW w:w="3420" w:type="dxa"/>
            <w:vAlign w:val="bottom"/>
            <w:gridSpan w:val="24"/>
          </w:tcPr>
          <w:p>
            <w:pPr>
              <w:spacing w:after="0"/>
              <w:rPr>
                <w:sz w:val="20"/>
                <w:szCs w:val="20"/>
                <w:color w:val="auto"/>
              </w:rPr>
            </w:pPr>
            <w:r>
              <w:rPr>
                <w:rFonts w:ascii="Arial" w:cs="Arial" w:eastAsia="Arial" w:hAnsi="Arial"/>
                <w:sz w:val="18"/>
                <w:szCs w:val="18"/>
                <w:b w:val="1"/>
                <w:bCs w:val="1"/>
                <w:color w:val="0000EE"/>
                <w:w w:val="99"/>
              </w:rPr>
              <w:t>Compensation Discussion and Analysis</w:t>
            </w:r>
          </w:p>
        </w:tc>
        <w:tc>
          <w:tcPr>
            <w:tcW w:w="4540" w:type="dxa"/>
            <w:vAlign w:val="bottom"/>
            <w:gridSpan w:val="17"/>
          </w:tcPr>
          <w:p>
            <w:pPr>
              <w:spacing w:after="0"/>
              <w:rPr>
                <w:sz w:val="24"/>
                <w:szCs w:val="24"/>
                <w:color w:val="auto"/>
              </w:rPr>
            </w:pPr>
          </w:p>
        </w:tc>
        <w:tc>
          <w:tcPr>
            <w:tcW w:w="2140" w:type="dxa"/>
            <w:vAlign w:val="bottom"/>
            <w:gridSpan w:val="4"/>
          </w:tcPr>
          <w:p>
            <w:pPr>
              <w:jc w:val="right"/>
              <w:ind w:right="1360"/>
              <w:spacing w:after="0"/>
              <w:rPr>
                <w:sz w:val="20"/>
                <w:szCs w:val="20"/>
                <w:color w:val="auto"/>
              </w:rPr>
            </w:pPr>
            <w:r>
              <w:rPr>
                <w:rFonts w:ascii="Arial" w:cs="Arial" w:eastAsia="Arial" w:hAnsi="Arial"/>
                <w:sz w:val="18"/>
                <w:szCs w:val="18"/>
                <w:color w:val="0000EE"/>
              </w:rPr>
              <w:t>23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5"/>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0" w:type="dxa"/>
            <w:vAlign w:val="bottom"/>
            <w:gridSpan w:val="10"/>
          </w:tcPr>
          <w:p>
            <w:pPr>
              <w:spacing w:after="0"/>
              <w:rPr>
                <w:sz w:val="20"/>
                <w:szCs w:val="20"/>
                <w:color w:val="auto"/>
              </w:rPr>
            </w:pPr>
            <w:r>
              <w:rPr>
                <w:rFonts w:ascii="Arial" w:cs="Arial" w:eastAsia="Arial" w:hAnsi="Arial"/>
                <w:sz w:val="18"/>
                <w:szCs w:val="18"/>
                <w:color w:val="0000EE"/>
                <w:w w:val="98"/>
              </w:rPr>
              <w:t>Executive Summary</w:t>
            </w:r>
          </w:p>
        </w:tc>
        <w:tc>
          <w:tcPr>
            <w:tcW w:w="1460" w:type="dxa"/>
            <w:vAlign w:val="bottom"/>
            <w:gridSpan w:val="13"/>
          </w:tcPr>
          <w:p>
            <w:pPr>
              <w:spacing w:after="0"/>
              <w:rPr>
                <w:sz w:val="22"/>
                <w:szCs w:val="22"/>
                <w:color w:val="auto"/>
              </w:rPr>
            </w:pPr>
          </w:p>
        </w:tc>
        <w:tc>
          <w:tcPr>
            <w:tcW w:w="4540" w:type="dxa"/>
            <w:vAlign w:val="bottom"/>
            <w:gridSpan w:val="17"/>
          </w:tcPr>
          <w:p>
            <w:pPr>
              <w:spacing w:after="0"/>
              <w:rPr>
                <w:sz w:val="22"/>
                <w:szCs w:val="22"/>
                <w:color w:val="auto"/>
              </w:rPr>
            </w:pPr>
          </w:p>
        </w:tc>
        <w:tc>
          <w:tcPr>
            <w:tcW w:w="2140" w:type="dxa"/>
            <w:vAlign w:val="bottom"/>
            <w:gridSpan w:val="4"/>
          </w:tcPr>
          <w:p>
            <w:pPr>
              <w:jc w:val="right"/>
              <w:ind w:right="1360"/>
              <w:spacing w:after="0"/>
              <w:rPr>
                <w:sz w:val="20"/>
                <w:szCs w:val="20"/>
                <w:color w:val="auto"/>
              </w:rPr>
            </w:pPr>
            <w:r>
              <w:rPr>
                <w:rFonts w:ascii="Arial" w:cs="Arial" w:eastAsia="Arial" w:hAnsi="Arial"/>
                <w:sz w:val="18"/>
                <w:szCs w:val="18"/>
                <w:color w:val="0000EE"/>
              </w:rPr>
              <w:t>23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5"/>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40" w:type="dxa"/>
            <w:vAlign w:val="bottom"/>
            <w:gridSpan w:val="39"/>
          </w:tcPr>
          <w:p>
            <w:pPr>
              <w:spacing w:after="0"/>
              <w:rPr>
                <w:sz w:val="20"/>
                <w:szCs w:val="20"/>
                <w:color w:val="auto"/>
              </w:rPr>
            </w:pPr>
            <w:r>
              <w:rPr>
                <w:rFonts w:ascii="Arial" w:cs="Arial" w:eastAsia="Arial" w:hAnsi="Arial"/>
                <w:sz w:val="18"/>
                <w:szCs w:val="18"/>
                <w:color w:val="0000EE"/>
              </w:rPr>
              <w:t>Business Performance</w:t>
            </w:r>
          </w:p>
        </w:tc>
        <w:tc>
          <w:tcPr>
            <w:tcW w:w="2140" w:type="dxa"/>
            <w:vAlign w:val="bottom"/>
            <w:gridSpan w:val="4"/>
          </w:tcPr>
          <w:p>
            <w:pPr>
              <w:jc w:val="right"/>
              <w:ind w:right="1360"/>
              <w:spacing w:after="0"/>
              <w:rPr>
                <w:sz w:val="20"/>
                <w:szCs w:val="20"/>
                <w:color w:val="auto"/>
              </w:rPr>
            </w:pPr>
            <w:r>
              <w:rPr>
                <w:rFonts w:ascii="Arial" w:cs="Arial" w:eastAsia="Arial" w:hAnsi="Arial"/>
                <w:sz w:val="18"/>
                <w:szCs w:val="18"/>
                <w:color w:val="0000EE"/>
              </w:rPr>
              <w:t>23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60" w:type="dxa"/>
            <w:vAlign w:val="bottom"/>
            <w:tcBorders>
              <w:left w:val="single" w:sz="8" w:color="0000EE"/>
            </w:tcBorders>
            <w:gridSpan w:val="8"/>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0" w:type="dxa"/>
            <w:vAlign w:val="bottom"/>
            <w:gridSpan w:val="14"/>
          </w:tcPr>
          <w:p>
            <w:pPr>
              <w:spacing w:after="0"/>
              <w:rPr>
                <w:sz w:val="20"/>
                <w:szCs w:val="20"/>
                <w:color w:val="auto"/>
              </w:rPr>
            </w:pPr>
            <w:r>
              <w:rPr>
                <w:rFonts w:ascii="Arial" w:cs="Arial" w:eastAsia="Arial" w:hAnsi="Arial"/>
                <w:sz w:val="18"/>
                <w:szCs w:val="18"/>
                <w:color w:val="0000EE"/>
                <w:w w:val="98"/>
              </w:rPr>
              <w:t>Compensation Highlights</w:t>
            </w:r>
          </w:p>
        </w:tc>
        <w:tc>
          <w:tcPr>
            <w:tcW w:w="5240" w:type="dxa"/>
            <w:vAlign w:val="bottom"/>
            <w:gridSpan w:val="25"/>
          </w:tcPr>
          <w:p>
            <w:pPr>
              <w:spacing w:after="0"/>
              <w:rPr>
                <w:sz w:val="22"/>
                <w:szCs w:val="22"/>
                <w:color w:val="auto"/>
              </w:rPr>
            </w:pPr>
          </w:p>
        </w:tc>
        <w:tc>
          <w:tcPr>
            <w:tcW w:w="2140" w:type="dxa"/>
            <w:vAlign w:val="bottom"/>
            <w:gridSpan w:val="4"/>
          </w:tcPr>
          <w:p>
            <w:pPr>
              <w:jc w:val="right"/>
              <w:ind w:right="1360"/>
              <w:spacing w:after="0"/>
              <w:rPr>
                <w:sz w:val="20"/>
                <w:szCs w:val="20"/>
                <w:color w:val="auto"/>
              </w:rPr>
            </w:pPr>
            <w:r>
              <w:rPr>
                <w:rFonts w:ascii="Arial" w:cs="Arial" w:eastAsia="Arial" w:hAnsi="Arial"/>
                <w:sz w:val="18"/>
                <w:szCs w:val="18"/>
                <w:color w:val="0000EE"/>
              </w:rPr>
              <w:t>24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60" w:type="dxa"/>
            <w:vAlign w:val="bottom"/>
            <w:tcBorders>
              <w:left w:val="single" w:sz="8" w:color="0000EE"/>
            </w:tcBorders>
            <w:gridSpan w:val="8"/>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0" w:type="dxa"/>
            <w:vAlign w:val="bottom"/>
            <w:gridSpan w:val="23"/>
          </w:tcPr>
          <w:p>
            <w:pPr>
              <w:spacing w:after="0"/>
              <w:rPr>
                <w:sz w:val="20"/>
                <w:szCs w:val="20"/>
                <w:color w:val="auto"/>
              </w:rPr>
            </w:pPr>
            <w:r>
              <w:rPr>
                <w:rFonts w:ascii="Arial" w:cs="Arial" w:eastAsia="Arial" w:hAnsi="Arial"/>
                <w:sz w:val="18"/>
                <w:szCs w:val="18"/>
                <w:color w:val="0000EE"/>
                <w:w w:val="98"/>
              </w:rPr>
              <w:t>Linking CEO Pay and Performance</w:t>
            </w:r>
          </w:p>
        </w:tc>
        <w:tc>
          <w:tcPr>
            <w:tcW w:w="4440" w:type="dxa"/>
            <w:vAlign w:val="bottom"/>
            <w:gridSpan w:val="16"/>
          </w:tcPr>
          <w:p>
            <w:pPr>
              <w:spacing w:after="0"/>
              <w:rPr>
                <w:sz w:val="22"/>
                <w:szCs w:val="22"/>
                <w:color w:val="auto"/>
              </w:rPr>
            </w:pPr>
          </w:p>
        </w:tc>
        <w:tc>
          <w:tcPr>
            <w:tcW w:w="2140" w:type="dxa"/>
            <w:vAlign w:val="bottom"/>
            <w:gridSpan w:val="4"/>
          </w:tcPr>
          <w:p>
            <w:pPr>
              <w:jc w:val="right"/>
              <w:ind w:right="1360"/>
              <w:spacing w:after="0"/>
              <w:rPr>
                <w:sz w:val="20"/>
                <w:szCs w:val="20"/>
                <w:color w:val="auto"/>
              </w:rPr>
            </w:pPr>
            <w:r>
              <w:rPr>
                <w:rFonts w:ascii="Arial" w:cs="Arial" w:eastAsia="Arial" w:hAnsi="Arial"/>
                <w:sz w:val="18"/>
                <w:szCs w:val="18"/>
                <w:color w:val="0000EE"/>
              </w:rPr>
              <w:t>25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60" w:type="dxa"/>
            <w:vAlign w:val="bottom"/>
            <w:tcBorders>
              <w:left w:val="single" w:sz="8" w:color="0000EE"/>
            </w:tcBorders>
            <w:gridSpan w:val="8"/>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60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0" w:type="dxa"/>
            <w:vAlign w:val="bottom"/>
            <w:gridSpan w:val="26"/>
          </w:tcPr>
          <w:p>
            <w:pPr>
              <w:spacing w:after="0"/>
              <w:rPr>
                <w:sz w:val="20"/>
                <w:szCs w:val="20"/>
                <w:color w:val="auto"/>
              </w:rPr>
            </w:pPr>
            <w:r>
              <w:rPr>
                <w:rFonts w:ascii="Arial" w:cs="Arial" w:eastAsia="Arial" w:hAnsi="Arial"/>
                <w:sz w:val="18"/>
                <w:szCs w:val="18"/>
                <w:color w:val="0000EE"/>
                <w:w w:val="98"/>
              </w:rPr>
              <w:t>Best Compensation Practices &amp; Policies</w:t>
            </w:r>
          </w:p>
        </w:tc>
        <w:tc>
          <w:tcPr>
            <w:tcW w:w="4040" w:type="dxa"/>
            <w:vAlign w:val="bottom"/>
            <w:gridSpan w:val="13"/>
          </w:tcPr>
          <w:p>
            <w:pPr>
              <w:spacing w:after="0"/>
              <w:rPr>
                <w:sz w:val="22"/>
                <w:szCs w:val="22"/>
                <w:color w:val="auto"/>
              </w:rPr>
            </w:pPr>
          </w:p>
        </w:tc>
        <w:tc>
          <w:tcPr>
            <w:tcW w:w="2140" w:type="dxa"/>
            <w:vAlign w:val="bottom"/>
            <w:gridSpan w:val="4"/>
          </w:tcPr>
          <w:p>
            <w:pPr>
              <w:jc w:val="right"/>
              <w:ind w:right="1360"/>
              <w:spacing w:after="0"/>
              <w:rPr>
                <w:sz w:val="20"/>
                <w:szCs w:val="20"/>
                <w:color w:val="auto"/>
              </w:rPr>
            </w:pPr>
            <w:r>
              <w:rPr>
                <w:rFonts w:ascii="Arial" w:cs="Arial" w:eastAsia="Arial" w:hAnsi="Arial"/>
                <w:sz w:val="18"/>
                <w:szCs w:val="18"/>
                <w:color w:val="0000EE"/>
              </w:rPr>
              <w:t>27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60" w:type="dxa"/>
            <w:vAlign w:val="bottom"/>
            <w:tcBorders>
              <w:left w:val="single" w:sz="8" w:color="0000EE"/>
            </w:tcBorders>
            <w:gridSpan w:val="8"/>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600" w:type="dxa"/>
            <w:vAlign w:val="bottom"/>
            <w:tcBorders>
              <w:left w:val="single" w:sz="8" w:color="0000EE"/>
            </w:tcBorders>
            <w:gridSpan w:val="4"/>
            <w:shd w:val="clear" w:color="auto" w:fill="0000EE"/>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60" w:type="dxa"/>
            <w:vAlign w:val="bottom"/>
            <w:gridSpan w:val="31"/>
          </w:tcPr>
          <w:p>
            <w:pPr>
              <w:spacing w:after="0"/>
              <w:rPr>
                <w:sz w:val="20"/>
                <w:szCs w:val="20"/>
                <w:color w:val="auto"/>
              </w:rPr>
            </w:pPr>
            <w:r>
              <w:rPr>
                <w:rFonts w:ascii="Arial" w:cs="Arial" w:eastAsia="Arial" w:hAnsi="Arial"/>
                <w:sz w:val="18"/>
                <w:szCs w:val="18"/>
                <w:color w:val="0000EE"/>
                <w:w w:val="99"/>
              </w:rPr>
              <w:t>2022 Say-on-Pay &amp; Shareholder Engagement</w:t>
            </w:r>
          </w:p>
        </w:tc>
        <w:tc>
          <w:tcPr>
            <w:tcW w:w="3580" w:type="dxa"/>
            <w:vAlign w:val="bottom"/>
            <w:gridSpan w:val="8"/>
          </w:tcPr>
          <w:p>
            <w:pPr>
              <w:spacing w:after="0"/>
              <w:rPr>
                <w:sz w:val="22"/>
                <w:szCs w:val="22"/>
                <w:color w:val="auto"/>
              </w:rPr>
            </w:pPr>
          </w:p>
        </w:tc>
        <w:tc>
          <w:tcPr>
            <w:tcW w:w="2140" w:type="dxa"/>
            <w:vAlign w:val="bottom"/>
            <w:gridSpan w:val="4"/>
          </w:tcPr>
          <w:p>
            <w:pPr>
              <w:jc w:val="right"/>
              <w:ind w:right="1360"/>
              <w:spacing w:after="0"/>
              <w:rPr>
                <w:sz w:val="20"/>
                <w:szCs w:val="20"/>
                <w:color w:val="auto"/>
              </w:rPr>
            </w:pPr>
            <w:r>
              <w:rPr>
                <w:rFonts w:ascii="Arial" w:cs="Arial" w:eastAsia="Arial" w:hAnsi="Arial"/>
                <w:sz w:val="18"/>
                <w:szCs w:val="18"/>
                <w:color w:val="0000EE"/>
              </w:rPr>
              <w:t>27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60" w:type="dxa"/>
            <w:vAlign w:val="bottom"/>
            <w:tcBorders>
              <w:left w:val="single" w:sz="8" w:color="0000EE"/>
            </w:tcBorders>
            <w:gridSpan w:val="8"/>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600" w:type="dxa"/>
            <w:vAlign w:val="bottom"/>
            <w:tcBorders>
              <w:left w:val="single" w:sz="8" w:color="0000EE"/>
            </w:tcBorders>
            <w:gridSpan w:val="4"/>
            <w:shd w:val="clear" w:color="auto" w:fill="0000EE"/>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300" w:type="dxa"/>
            <w:vAlign w:val="bottom"/>
            <w:tcBorders>
              <w:lef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0" w:type="dxa"/>
            <w:vAlign w:val="bottom"/>
            <w:gridSpan w:val="40"/>
          </w:tcPr>
          <w:p>
            <w:pPr>
              <w:spacing w:after="0"/>
              <w:rPr>
                <w:sz w:val="20"/>
                <w:szCs w:val="20"/>
                <w:color w:val="auto"/>
              </w:rPr>
            </w:pPr>
            <w:r>
              <w:rPr>
                <w:rFonts w:ascii="Arial" w:cs="Arial" w:eastAsia="Arial" w:hAnsi="Arial"/>
                <w:sz w:val="18"/>
                <w:szCs w:val="18"/>
                <w:color w:val="0000EE"/>
              </w:rPr>
              <w:t>What Guides Our Program</w:t>
            </w:r>
          </w:p>
        </w:tc>
        <w:tc>
          <w:tcPr>
            <w:tcW w:w="2140" w:type="dxa"/>
            <w:vAlign w:val="bottom"/>
            <w:gridSpan w:val="4"/>
          </w:tcPr>
          <w:p>
            <w:pPr>
              <w:jc w:val="right"/>
              <w:ind w:right="1360"/>
              <w:spacing w:after="0"/>
              <w:rPr>
                <w:sz w:val="20"/>
                <w:szCs w:val="20"/>
                <w:color w:val="auto"/>
              </w:rPr>
            </w:pPr>
            <w:r>
              <w:rPr>
                <w:rFonts w:ascii="Arial" w:cs="Arial" w:eastAsia="Arial" w:hAnsi="Arial"/>
                <w:sz w:val="18"/>
                <w:szCs w:val="18"/>
                <w:color w:val="0000EE"/>
              </w:rPr>
              <w:t>28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60" w:type="dxa"/>
            <w:vAlign w:val="bottom"/>
            <w:tcBorders>
              <w:left w:val="single" w:sz="8" w:color="0000EE"/>
            </w:tcBorders>
            <w:gridSpan w:val="8"/>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500" w:type="dxa"/>
            <w:vAlign w:val="bottom"/>
            <w:gridSpan w:val="30"/>
          </w:tcPr>
          <w:p>
            <w:pPr>
              <w:spacing w:after="0"/>
              <w:rPr>
                <w:sz w:val="20"/>
                <w:szCs w:val="20"/>
                <w:color w:val="auto"/>
              </w:rPr>
            </w:pPr>
            <w:r>
              <w:rPr>
                <w:rFonts w:ascii="Arial" w:cs="Arial" w:eastAsia="Arial" w:hAnsi="Arial"/>
                <w:sz w:val="18"/>
                <w:szCs w:val="18"/>
                <w:color w:val="0000EE"/>
                <w:w w:val="98"/>
              </w:rPr>
              <w:t>Our Compensation Philosophy &amp; Objectives</w:t>
            </w:r>
          </w:p>
        </w:tc>
        <w:tc>
          <w:tcPr>
            <w:tcW w:w="3740" w:type="dxa"/>
            <w:vAlign w:val="bottom"/>
            <w:gridSpan w:val="9"/>
          </w:tcPr>
          <w:p>
            <w:pPr>
              <w:spacing w:after="0"/>
              <w:rPr>
                <w:sz w:val="22"/>
                <w:szCs w:val="22"/>
                <w:color w:val="auto"/>
              </w:rPr>
            </w:pPr>
          </w:p>
        </w:tc>
        <w:tc>
          <w:tcPr>
            <w:tcW w:w="2140" w:type="dxa"/>
            <w:vAlign w:val="bottom"/>
            <w:gridSpan w:val="4"/>
          </w:tcPr>
          <w:p>
            <w:pPr>
              <w:jc w:val="right"/>
              <w:ind w:right="1360"/>
              <w:spacing w:after="0"/>
              <w:rPr>
                <w:sz w:val="20"/>
                <w:szCs w:val="20"/>
                <w:color w:val="auto"/>
              </w:rPr>
            </w:pPr>
            <w:r>
              <w:rPr>
                <w:rFonts w:ascii="Arial" w:cs="Arial" w:eastAsia="Arial" w:hAnsi="Arial"/>
                <w:sz w:val="18"/>
                <w:szCs w:val="18"/>
                <w:color w:val="0000EE"/>
              </w:rPr>
              <w:t>28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60" w:type="dxa"/>
            <w:vAlign w:val="bottom"/>
            <w:tcBorders>
              <w:left w:val="single" w:sz="8" w:color="0000EE"/>
            </w:tcBorders>
            <w:gridSpan w:val="8"/>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600" w:type="dxa"/>
            <w:vAlign w:val="bottom"/>
            <w:tcBorders>
              <w:left w:val="single" w:sz="8" w:color="0000EE"/>
            </w:tcBorders>
            <w:gridSpan w:val="4"/>
            <w:shd w:val="clear" w:color="auto" w:fill="0000EE"/>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300" w:type="dxa"/>
            <w:vAlign w:val="bottom"/>
            <w:tcBorders>
              <w:left w:val="single" w:sz="8" w:color="0000EE"/>
            </w:tcBorders>
            <w:gridSpan w:val="4"/>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160" w:type="dxa"/>
            <w:vAlign w:val="bottom"/>
            <w:gridSpan w:val="36"/>
          </w:tcPr>
          <w:p>
            <w:pPr>
              <w:spacing w:after="0"/>
              <w:rPr>
                <w:sz w:val="20"/>
                <w:szCs w:val="20"/>
                <w:color w:val="auto"/>
              </w:rPr>
            </w:pPr>
            <w:r>
              <w:rPr>
                <w:rFonts w:ascii="Arial" w:cs="Arial" w:eastAsia="Arial" w:hAnsi="Arial"/>
                <w:sz w:val="18"/>
                <w:szCs w:val="18"/>
                <w:color w:val="0000EE"/>
                <w:w w:val="99"/>
              </w:rPr>
              <w:t>The Principal Elements of Pay: Total Direct Compensation (TDC)</w:t>
            </w:r>
          </w:p>
        </w:tc>
        <w:tc>
          <w:tcPr>
            <w:tcW w:w="2080" w:type="dxa"/>
            <w:vAlign w:val="bottom"/>
            <w:gridSpan w:val="3"/>
          </w:tcPr>
          <w:p>
            <w:pPr>
              <w:spacing w:after="0"/>
              <w:rPr>
                <w:sz w:val="22"/>
                <w:szCs w:val="22"/>
                <w:color w:val="auto"/>
              </w:rPr>
            </w:pPr>
          </w:p>
        </w:tc>
        <w:tc>
          <w:tcPr>
            <w:tcW w:w="2140" w:type="dxa"/>
            <w:vAlign w:val="bottom"/>
            <w:gridSpan w:val="4"/>
          </w:tcPr>
          <w:p>
            <w:pPr>
              <w:jc w:val="right"/>
              <w:ind w:right="1360"/>
              <w:spacing w:after="0"/>
              <w:rPr>
                <w:sz w:val="20"/>
                <w:szCs w:val="20"/>
                <w:color w:val="auto"/>
              </w:rPr>
            </w:pPr>
            <w:r>
              <w:rPr>
                <w:rFonts w:ascii="Arial" w:cs="Arial" w:eastAsia="Arial" w:hAnsi="Arial"/>
                <w:sz w:val="18"/>
                <w:szCs w:val="18"/>
                <w:color w:val="0000EE"/>
              </w:rPr>
              <w:t>28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760" w:type="dxa"/>
            <w:vAlign w:val="bottom"/>
            <w:tcBorders>
              <w:left w:val="single" w:sz="8" w:color="0000EE"/>
            </w:tcBorders>
            <w:gridSpan w:val="8"/>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600" w:type="dxa"/>
            <w:vAlign w:val="bottom"/>
            <w:tcBorders>
              <w:left w:val="single" w:sz="8" w:color="0000EE"/>
            </w:tcBorders>
            <w:gridSpan w:val="4"/>
            <w:shd w:val="clear" w:color="auto" w:fill="0000EE"/>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680" w:type="dxa"/>
            <w:vAlign w:val="bottom"/>
            <w:tcBorders>
              <w:left w:val="single" w:sz="8" w:color="0000EE"/>
            </w:tcBorders>
            <w:gridSpan w:val="6"/>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EE"/>
                <w:w w:val="96"/>
              </w:rPr>
              <w:t>Pay Mix</w:t>
            </w:r>
          </w:p>
        </w:tc>
        <w:tc>
          <w:tcPr>
            <w:tcW w:w="4520" w:type="dxa"/>
            <w:vAlign w:val="bottom"/>
            <w:gridSpan w:val="34"/>
          </w:tcPr>
          <w:p>
            <w:pPr>
              <w:spacing w:after="0"/>
              <w:rPr>
                <w:sz w:val="22"/>
                <w:szCs w:val="22"/>
                <w:color w:val="auto"/>
              </w:rPr>
            </w:pPr>
          </w:p>
        </w:tc>
        <w:tc>
          <w:tcPr>
            <w:tcW w:w="2080" w:type="dxa"/>
            <w:vAlign w:val="bottom"/>
            <w:gridSpan w:val="3"/>
          </w:tcPr>
          <w:p>
            <w:pPr>
              <w:spacing w:after="0"/>
              <w:rPr>
                <w:sz w:val="22"/>
                <w:szCs w:val="22"/>
                <w:color w:val="auto"/>
              </w:rPr>
            </w:pPr>
          </w:p>
        </w:tc>
        <w:tc>
          <w:tcPr>
            <w:tcW w:w="2140" w:type="dxa"/>
            <w:vAlign w:val="bottom"/>
            <w:gridSpan w:val="4"/>
          </w:tcPr>
          <w:p>
            <w:pPr>
              <w:jc w:val="right"/>
              <w:ind w:right="1360"/>
              <w:spacing w:after="0"/>
              <w:rPr>
                <w:sz w:val="20"/>
                <w:szCs w:val="20"/>
                <w:color w:val="auto"/>
              </w:rPr>
            </w:pPr>
            <w:r>
              <w:rPr>
                <w:rFonts w:ascii="Arial" w:cs="Arial" w:eastAsia="Arial" w:hAnsi="Arial"/>
                <w:sz w:val="18"/>
                <w:szCs w:val="18"/>
                <w:color w:val="0000EE"/>
              </w:rPr>
              <w:t>29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380" w:type="dxa"/>
            <w:vAlign w:val="bottom"/>
            <w:gridSpan w:val="16"/>
          </w:tcPr>
          <w:p>
            <w:pPr>
              <w:spacing w:after="0"/>
              <w:rPr>
                <w:sz w:val="20"/>
                <w:szCs w:val="20"/>
                <w:color w:val="auto"/>
              </w:rPr>
            </w:pPr>
            <w:r>
              <w:rPr>
                <w:rFonts w:ascii="Arial" w:cs="Arial" w:eastAsia="Arial" w:hAnsi="Arial"/>
                <w:sz w:val="18"/>
                <w:szCs w:val="18"/>
                <w:color w:val="0000EE"/>
                <w:w w:val="98"/>
              </w:rPr>
              <w:t>Our Decision-Making Process</w:t>
            </w:r>
          </w:p>
        </w:tc>
        <w:tc>
          <w:tcPr>
            <w:tcW w:w="5220" w:type="dxa"/>
            <w:vAlign w:val="bottom"/>
            <w:gridSpan w:val="24"/>
          </w:tcPr>
          <w:p>
            <w:pPr>
              <w:spacing w:after="0"/>
              <w:rPr>
                <w:sz w:val="22"/>
                <w:szCs w:val="22"/>
                <w:color w:val="auto"/>
              </w:rPr>
            </w:pPr>
          </w:p>
        </w:tc>
        <w:tc>
          <w:tcPr>
            <w:tcW w:w="2140" w:type="dxa"/>
            <w:vAlign w:val="bottom"/>
            <w:gridSpan w:val="4"/>
          </w:tcPr>
          <w:p>
            <w:pPr>
              <w:jc w:val="right"/>
              <w:ind w:right="1360"/>
              <w:spacing w:after="0"/>
              <w:rPr>
                <w:sz w:val="20"/>
                <w:szCs w:val="20"/>
                <w:color w:val="auto"/>
              </w:rPr>
            </w:pPr>
            <w:r>
              <w:rPr>
                <w:rFonts w:ascii="Arial" w:cs="Arial" w:eastAsia="Arial" w:hAnsi="Arial"/>
                <w:sz w:val="18"/>
                <w:szCs w:val="18"/>
                <w:color w:val="0000EE"/>
              </w:rPr>
              <w:t>29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60" w:type="dxa"/>
            <w:vAlign w:val="bottom"/>
            <w:tcBorders>
              <w:left w:val="single" w:sz="8" w:color="0000EE"/>
            </w:tcBorders>
            <w:gridSpan w:val="8"/>
            <w:shd w:val="clear" w:color="auto" w:fill="0000EE"/>
          </w:tcPr>
          <w:p>
            <w:pPr>
              <w:spacing w:after="0" w:line="20" w:lineRule="exact"/>
              <w:rPr>
                <w:sz w:val="1"/>
                <w:szCs w:val="1"/>
                <w:color w:val="auto"/>
              </w:rPr>
            </w:pPr>
          </w:p>
        </w:tc>
        <w:tc>
          <w:tcPr>
            <w:tcW w:w="300" w:type="dxa"/>
            <w:vAlign w:val="bottom"/>
            <w:tcBorders>
              <w:left w:val="single" w:sz="8" w:color="0000EE"/>
            </w:tcBorders>
            <w:gridSpan w:val="3"/>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40" w:type="dxa"/>
            <w:vAlign w:val="bottom"/>
            <w:gridSpan w:val="33"/>
          </w:tcPr>
          <w:p>
            <w:pPr>
              <w:spacing w:after="0"/>
              <w:rPr>
                <w:sz w:val="20"/>
                <w:szCs w:val="20"/>
                <w:color w:val="auto"/>
              </w:rPr>
            </w:pPr>
            <w:r>
              <w:rPr>
                <w:rFonts w:ascii="Arial" w:cs="Arial" w:eastAsia="Arial" w:hAnsi="Arial"/>
                <w:sz w:val="18"/>
                <w:szCs w:val="18"/>
                <w:color w:val="0000EE"/>
                <w:w w:val="99"/>
              </w:rPr>
              <w:t>The 2022 Executive Compensation Program in Detail</w:t>
            </w:r>
          </w:p>
        </w:tc>
        <w:tc>
          <w:tcPr>
            <w:tcW w:w="3360" w:type="dxa"/>
            <w:vAlign w:val="bottom"/>
            <w:gridSpan w:val="7"/>
          </w:tcPr>
          <w:p>
            <w:pPr>
              <w:spacing w:after="0"/>
              <w:rPr>
                <w:sz w:val="22"/>
                <w:szCs w:val="22"/>
                <w:color w:val="auto"/>
              </w:rPr>
            </w:pPr>
          </w:p>
        </w:tc>
        <w:tc>
          <w:tcPr>
            <w:tcW w:w="2140" w:type="dxa"/>
            <w:vAlign w:val="bottom"/>
            <w:gridSpan w:val="4"/>
          </w:tcPr>
          <w:p>
            <w:pPr>
              <w:jc w:val="right"/>
              <w:ind w:right="1360"/>
              <w:spacing w:after="0"/>
              <w:rPr>
                <w:sz w:val="20"/>
                <w:szCs w:val="20"/>
                <w:color w:val="auto"/>
              </w:rPr>
            </w:pPr>
            <w:r>
              <w:rPr>
                <w:rFonts w:ascii="Arial" w:cs="Arial" w:eastAsia="Arial" w:hAnsi="Arial"/>
                <w:sz w:val="18"/>
                <w:szCs w:val="18"/>
                <w:color w:val="0000EE"/>
              </w:rPr>
              <w:t>31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60" w:type="dxa"/>
            <w:vAlign w:val="bottom"/>
            <w:tcBorders>
              <w:left w:val="single" w:sz="8" w:color="0000EE"/>
            </w:tcBorders>
            <w:gridSpan w:val="8"/>
            <w:shd w:val="clear" w:color="auto" w:fill="0000EE"/>
          </w:tcPr>
          <w:p>
            <w:pPr>
              <w:spacing w:after="0" w:line="20" w:lineRule="exact"/>
              <w:rPr>
                <w:sz w:val="1"/>
                <w:szCs w:val="1"/>
                <w:color w:val="auto"/>
              </w:rPr>
            </w:pPr>
          </w:p>
        </w:tc>
        <w:tc>
          <w:tcPr>
            <w:tcW w:w="900" w:type="dxa"/>
            <w:vAlign w:val="bottom"/>
            <w:tcBorders>
              <w:left w:val="single" w:sz="8" w:color="0000EE"/>
            </w:tcBorders>
            <w:gridSpan w:val="7"/>
            <w:shd w:val="clear" w:color="auto" w:fill="0000EE"/>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680" w:type="dxa"/>
            <w:vAlign w:val="bottom"/>
            <w:tcBorders>
              <w:left w:val="single" w:sz="8" w:color="0000EE"/>
            </w:tcBorders>
            <w:gridSpan w:val="6"/>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80" w:type="dxa"/>
            <w:vAlign w:val="bottom"/>
            <w:gridSpan w:val="32"/>
          </w:tcPr>
          <w:p>
            <w:pPr>
              <w:spacing w:after="0"/>
              <w:rPr>
                <w:sz w:val="20"/>
                <w:szCs w:val="20"/>
                <w:color w:val="auto"/>
              </w:rPr>
            </w:pPr>
            <w:r>
              <w:rPr>
                <w:rFonts w:ascii="Arial" w:cs="Arial" w:eastAsia="Arial" w:hAnsi="Arial"/>
                <w:sz w:val="18"/>
                <w:szCs w:val="18"/>
                <w:color w:val="0000EE"/>
              </w:rPr>
              <w:t>Base Salary</w:t>
            </w:r>
          </w:p>
        </w:tc>
        <w:tc>
          <w:tcPr>
            <w:tcW w:w="3360" w:type="dxa"/>
            <w:vAlign w:val="bottom"/>
            <w:gridSpan w:val="7"/>
          </w:tcPr>
          <w:p>
            <w:pPr>
              <w:spacing w:after="0"/>
              <w:rPr>
                <w:sz w:val="22"/>
                <w:szCs w:val="22"/>
                <w:color w:val="auto"/>
              </w:rPr>
            </w:pPr>
          </w:p>
        </w:tc>
        <w:tc>
          <w:tcPr>
            <w:tcW w:w="2140" w:type="dxa"/>
            <w:vAlign w:val="bottom"/>
            <w:gridSpan w:val="4"/>
          </w:tcPr>
          <w:p>
            <w:pPr>
              <w:jc w:val="right"/>
              <w:ind w:right="1360"/>
              <w:spacing w:after="0"/>
              <w:rPr>
                <w:sz w:val="20"/>
                <w:szCs w:val="20"/>
                <w:color w:val="auto"/>
              </w:rPr>
            </w:pPr>
            <w:r>
              <w:rPr>
                <w:rFonts w:ascii="Arial" w:cs="Arial" w:eastAsia="Arial" w:hAnsi="Arial"/>
                <w:sz w:val="18"/>
                <w:szCs w:val="18"/>
                <w:color w:val="0000EE"/>
              </w:rPr>
              <w:t>31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80" w:type="dxa"/>
            <w:vAlign w:val="bottom"/>
            <w:gridSpan w:val="34"/>
          </w:tcPr>
          <w:p>
            <w:pPr>
              <w:spacing w:after="0"/>
              <w:rPr>
                <w:sz w:val="20"/>
                <w:szCs w:val="20"/>
                <w:color w:val="auto"/>
              </w:rPr>
            </w:pPr>
            <w:r>
              <w:rPr>
                <w:rFonts w:ascii="Arial" w:cs="Arial" w:eastAsia="Arial" w:hAnsi="Arial"/>
                <w:sz w:val="18"/>
                <w:szCs w:val="18"/>
                <w:color w:val="0000EE"/>
                <w:w w:val="99"/>
              </w:rPr>
              <w:t>Annual Cash Incentives: The Itron Incentive Plan (IIP)</w:t>
            </w:r>
          </w:p>
        </w:tc>
        <w:tc>
          <w:tcPr>
            <w:tcW w:w="2960" w:type="dxa"/>
            <w:vAlign w:val="bottom"/>
            <w:gridSpan w:val="5"/>
          </w:tcPr>
          <w:p>
            <w:pPr>
              <w:spacing w:after="0"/>
              <w:rPr>
                <w:sz w:val="22"/>
                <w:szCs w:val="22"/>
                <w:color w:val="auto"/>
              </w:rPr>
            </w:pPr>
          </w:p>
        </w:tc>
        <w:tc>
          <w:tcPr>
            <w:tcW w:w="2140" w:type="dxa"/>
            <w:vAlign w:val="bottom"/>
            <w:gridSpan w:val="4"/>
          </w:tcPr>
          <w:p>
            <w:pPr>
              <w:jc w:val="right"/>
              <w:ind w:right="1360"/>
              <w:spacing w:after="0"/>
              <w:rPr>
                <w:sz w:val="20"/>
                <w:szCs w:val="20"/>
                <w:color w:val="auto"/>
              </w:rPr>
            </w:pPr>
            <w:r>
              <w:rPr>
                <w:rFonts w:ascii="Arial" w:cs="Arial" w:eastAsia="Arial" w:hAnsi="Arial"/>
                <w:sz w:val="18"/>
                <w:szCs w:val="18"/>
                <w:color w:val="0000EE"/>
              </w:rPr>
              <w:t>32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60" w:type="dxa"/>
            <w:vAlign w:val="bottom"/>
            <w:gridSpan w:val="11"/>
            <w:shd w:val="clear" w:color="auto" w:fill="0000EE"/>
          </w:tcPr>
          <w:p>
            <w:pPr>
              <w:spacing w:after="0" w:line="20" w:lineRule="exact"/>
              <w:rPr>
                <w:sz w:val="1"/>
                <w:szCs w:val="1"/>
                <w:color w:val="auto"/>
              </w:rPr>
            </w:pPr>
          </w:p>
        </w:tc>
        <w:tc>
          <w:tcPr>
            <w:tcW w:w="900" w:type="dxa"/>
            <w:vAlign w:val="bottom"/>
            <w:tcBorders>
              <w:left w:val="single" w:sz="8" w:color="0000EE"/>
            </w:tcBorders>
            <w:gridSpan w:val="7"/>
            <w:shd w:val="clear" w:color="auto" w:fill="0000EE"/>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1080" w:type="dxa"/>
            <w:vAlign w:val="bottom"/>
            <w:tcBorders>
              <w:left w:val="single" w:sz="8" w:color="0000EE"/>
            </w:tcBorders>
            <w:gridSpan w:val="8"/>
            <w:shd w:val="clear" w:color="auto" w:fill="0000EE"/>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gridSpan w:val="12"/>
          </w:tcPr>
          <w:p>
            <w:pPr>
              <w:spacing w:after="0"/>
              <w:rPr>
                <w:sz w:val="20"/>
                <w:szCs w:val="20"/>
                <w:color w:val="auto"/>
              </w:rPr>
            </w:pPr>
            <w:r>
              <w:rPr>
                <w:rFonts w:ascii="Arial" w:cs="Arial" w:eastAsia="Arial" w:hAnsi="Arial"/>
                <w:sz w:val="18"/>
                <w:szCs w:val="18"/>
                <w:color w:val="0000EE"/>
                <w:w w:val="96"/>
              </w:rPr>
              <w:t>Long-Term Incentives</w:t>
            </w:r>
          </w:p>
        </w:tc>
        <w:tc>
          <w:tcPr>
            <w:tcW w:w="2560" w:type="dxa"/>
            <w:vAlign w:val="bottom"/>
            <w:gridSpan w:val="22"/>
          </w:tcPr>
          <w:p>
            <w:pPr>
              <w:spacing w:after="0"/>
              <w:rPr>
                <w:sz w:val="22"/>
                <w:szCs w:val="22"/>
                <w:color w:val="auto"/>
              </w:rPr>
            </w:pPr>
          </w:p>
        </w:tc>
        <w:tc>
          <w:tcPr>
            <w:tcW w:w="2960" w:type="dxa"/>
            <w:vAlign w:val="bottom"/>
            <w:gridSpan w:val="5"/>
          </w:tcPr>
          <w:p>
            <w:pPr>
              <w:spacing w:after="0"/>
              <w:rPr>
                <w:sz w:val="22"/>
                <w:szCs w:val="22"/>
                <w:color w:val="auto"/>
              </w:rPr>
            </w:pPr>
          </w:p>
        </w:tc>
        <w:tc>
          <w:tcPr>
            <w:tcW w:w="2140" w:type="dxa"/>
            <w:vAlign w:val="bottom"/>
            <w:gridSpan w:val="4"/>
          </w:tcPr>
          <w:p>
            <w:pPr>
              <w:jc w:val="right"/>
              <w:ind w:right="1360"/>
              <w:spacing w:after="0"/>
              <w:rPr>
                <w:sz w:val="20"/>
                <w:szCs w:val="20"/>
                <w:color w:val="auto"/>
              </w:rPr>
            </w:pPr>
            <w:r>
              <w:rPr>
                <w:rFonts w:ascii="Arial" w:cs="Arial" w:eastAsia="Arial" w:hAnsi="Arial"/>
                <w:sz w:val="18"/>
                <w:szCs w:val="18"/>
                <w:color w:val="0000EE"/>
              </w:rPr>
              <w:t>33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60" w:type="dxa"/>
            <w:vAlign w:val="bottom"/>
            <w:gridSpan w:val="11"/>
            <w:shd w:val="clear" w:color="auto" w:fill="0000EE"/>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4040" w:type="dxa"/>
            <w:vAlign w:val="bottom"/>
            <w:gridSpan w:val="1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40" w:type="dxa"/>
            <w:vAlign w:val="bottom"/>
            <w:gridSpan w:val="39"/>
          </w:tcPr>
          <w:p>
            <w:pPr>
              <w:spacing w:after="0"/>
              <w:rPr>
                <w:sz w:val="20"/>
                <w:szCs w:val="20"/>
                <w:color w:val="auto"/>
              </w:rPr>
            </w:pPr>
            <w:r>
              <w:rPr>
                <w:rFonts w:ascii="Arial" w:cs="Arial" w:eastAsia="Arial" w:hAnsi="Arial"/>
                <w:sz w:val="18"/>
                <w:szCs w:val="18"/>
                <w:color w:val="0000EE"/>
              </w:rPr>
              <w:t>Other Practices, Policies and Guidelines</w:t>
            </w:r>
          </w:p>
        </w:tc>
        <w:tc>
          <w:tcPr>
            <w:tcW w:w="2140" w:type="dxa"/>
            <w:vAlign w:val="bottom"/>
            <w:gridSpan w:val="4"/>
          </w:tcPr>
          <w:p>
            <w:pPr>
              <w:jc w:val="right"/>
              <w:ind w:right="1360"/>
              <w:spacing w:after="0"/>
              <w:rPr>
                <w:sz w:val="20"/>
                <w:szCs w:val="20"/>
                <w:color w:val="auto"/>
              </w:rPr>
            </w:pPr>
            <w:r>
              <w:rPr>
                <w:rFonts w:ascii="Arial" w:cs="Arial" w:eastAsia="Arial" w:hAnsi="Arial"/>
                <w:sz w:val="18"/>
                <w:szCs w:val="18"/>
                <w:color w:val="0000EE"/>
              </w:rPr>
              <w:t>36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60" w:type="dxa"/>
            <w:vAlign w:val="bottom"/>
            <w:gridSpan w:val="18"/>
            <w:shd w:val="clear" w:color="auto" w:fill="0000EE"/>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4040" w:type="dxa"/>
            <w:vAlign w:val="bottom"/>
            <w:gridSpan w:val="1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40" w:type="dxa"/>
            <w:vAlign w:val="bottom"/>
            <w:gridSpan w:val="25"/>
          </w:tcPr>
          <w:p>
            <w:pPr>
              <w:spacing w:after="0"/>
              <w:rPr>
                <w:sz w:val="20"/>
                <w:szCs w:val="20"/>
                <w:color w:val="auto"/>
              </w:rPr>
            </w:pPr>
            <w:r>
              <w:rPr>
                <w:rFonts w:ascii="Arial" w:cs="Arial" w:eastAsia="Arial" w:hAnsi="Arial"/>
                <w:sz w:val="18"/>
                <w:szCs w:val="18"/>
                <w:color w:val="0000EE"/>
              </w:rPr>
              <w:t>Stock Ownership Guidelines</w:t>
            </w:r>
          </w:p>
        </w:tc>
        <w:tc>
          <w:tcPr>
            <w:tcW w:w="4040" w:type="dxa"/>
            <w:vAlign w:val="bottom"/>
            <w:gridSpan w:val="13"/>
          </w:tcPr>
          <w:p>
            <w:pPr>
              <w:spacing w:after="0"/>
              <w:rPr>
                <w:sz w:val="22"/>
                <w:szCs w:val="22"/>
                <w:color w:val="auto"/>
              </w:rPr>
            </w:pPr>
          </w:p>
        </w:tc>
        <w:tc>
          <w:tcPr>
            <w:tcW w:w="2140" w:type="dxa"/>
            <w:vAlign w:val="bottom"/>
            <w:gridSpan w:val="4"/>
          </w:tcPr>
          <w:p>
            <w:pPr>
              <w:jc w:val="right"/>
              <w:ind w:right="1360"/>
              <w:spacing w:after="0"/>
              <w:rPr>
                <w:sz w:val="20"/>
                <w:szCs w:val="20"/>
                <w:color w:val="auto"/>
              </w:rPr>
            </w:pPr>
            <w:r>
              <w:rPr>
                <w:rFonts w:ascii="Arial" w:cs="Arial" w:eastAsia="Arial" w:hAnsi="Arial"/>
                <w:sz w:val="18"/>
                <w:szCs w:val="18"/>
                <w:color w:val="0000EE"/>
              </w:rPr>
              <w:t>36</w:t>
            </w:r>
          </w:p>
        </w:tc>
        <w:tc>
          <w:tcPr>
            <w:tcW w:w="0" w:type="dxa"/>
            <w:vAlign w:val="bottom"/>
          </w:tcPr>
          <w:p>
            <w:pPr>
              <w:spacing w:after="0"/>
              <w:rPr>
                <w:sz w:val="1"/>
                <w:szCs w:val="1"/>
                <w:color w:val="auto"/>
              </w:rPr>
            </w:pPr>
          </w:p>
        </w:tc>
      </w:tr>
      <w:tr>
        <w:trPr>
          <w:trHeight w:val="243"/>
        </w:trPr>
        <w:tc>
          <w:tcPr>
            <w:tcW w:w="9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top w:val="single" w:sz="8" w:color="0000EE"/>
              <w:bottom w:val="single" w:sz="8" w:color="auto"/>
            </w:tcBorders>
          </w:tcPr>
          <w:p>
            <w:pPr>
              <w:spacing w:after="0"/>
              <w:rPr>
                <w:sz w:val="21"/>
                <w:szCs w:val="21"/>
                <w:color w:val="auto"/>
              </w:rPr>
            </w:pPr>
          </w:p>
        </w:tc>
        <w:tc>
          <w:tcPr>
            <w:tcW w:w="180" w:type="dxa"/>
            <w:vAlign w:val="bottom"/>
            <w:tcBorders>
              <w:top w:val="single" w:sz="8" w:color="0000EE"/>
              <w:bottom w:val="single" w:sz="8" w:color="auto"/>
            </w:tcBorders>
          </w:tcPr>
          <w:p>
            <w:pPr>
              <w:spacing w:after="0"/>
              <w:rPr>
                <w:sz w:val="21"/>
                <w:szCs w:val="21"/>
                <w:color w:val="auto"/>
              </w:rPr>
            </w:pPr>
          </w:p>
        </w:tc>
        <w:tc>
          <w:tcPr>
            <w:tcW w:w="140" w:type="dxa"/>
            <w:vAlign w:val="bottom"/>
            <w:tcBorders>
              <w:top w:val="single" w:sz="8" w:color="0000EE"/>
              <w:bottom w:val="single" w:sz="8" w:color="auto"/>
            </w:tcBorders>
          </w:tcPr>
          <w:p>
            <w:pPr>
              <w:spacing w:after="0"/>
              <w:rPr>
                <w:sz w:val="21"/>
                <w:szCs w:val="21"/>
                <w:color w:val="auto"/>
              </w:rPr>
            </w:pPr>
          </w:p>
        </w:tc>
        <w:tc>
          <w:tcPr>
            <w:tcW w:w="60" w:type="dxa"/>
            <w:vAlign w:val="bottom"/>
            <w:tcBorders>
              <w:top w:val="single" w:sz="8" w:color="0000EE"/>
              <w:bottom w:val="single" w:sz="8" w:color="auto"/>
            </w:tcBorders>
          </w:tcPr>
          <w:p>
            <w:pPr>
              <w:spacing w:after="0"/>
              <w:rPr>
                <w:sz w:val="21"/>
                <w:szCs w:val="21"/>
                <w:color w:val="auto"/>
              </w:rPr>
            </w:pPr>
          </w:p>
        </w:tc>
        <w:tc>
          <w:tcPr>
            <w:tcW w:w="20" w:type="dxa"/>
            <w:vAlign w:val="bottom"/>
            <w:tcBorders>
              <w:top w:val="single" w:sz="8" w:color="0000EE"/>
              <w:bottom w:val="single" w:sz="8" w:color="auto"/>
            </w:tcBorders>
          </w:tcPr>
          <w:p>
            <w:pPr>
              <w:spacing w:after="0"/>
              <w:rPr>
                <w:sz w:val="21"/>
                <w:szCs w:val="21"/>
                <w:color w:val="auto"/>
              </w:rPr>
            </w:pPr>
          </w:p>
        </w:tc>
        <w:tc>
          <w:tcPr>
            <w:tcW w:w="140" w:type="dxa"/>
            <w:vAlign w:val="bottom"/>
            <w:tcBorders>
              <w:top w:val="single" w:sz="8" w:color="0000EE"/>
              <w:bottom w:val="single" w:sz="8" w:color="auto"/>
            </w:tcBorders>
          </w:tcPr>
          <w:p>
            <w:pPr>
              <w:spacing w:after="0"/>
              <w:rPr>
                <w:sz w:val="21"/>
                <w:szCs w:val="21"/>
                <w:color w:val="auto"/>
              </w:rPr>
            </w:pPr>
          </w:p>
        </w:tc>
        <w:tc>
          <w:tcPr>
            <w:tcW w:w="20" w:type="dxa"/>
            <w:vAlign w:val="bottom"/>
            <w:tcBorders>
              <w:top w:val="single" w:sz="8" w:color="0000EE"/>
              <w:bottom w:val="single" w:sz="8" w:color="auto"/>
            </w:tcBorders>
          </w:tcPr>
          <w:p>
            <w:pPr>
              <w:spacing w:after="0"/>
              <w:rPr>
                <w:sz w:val="21"/>
                <w:szCs w:val="21"/>
                <w:color w:val="auto"/>
              </w:rPr>
            </w:pPr>
          </w:p>
        </w:tc>
        <w:tc>
          <w:tcPr>
            <w:tcW w:w="40" w:type="dxa"/>
            <w:vAlign w:val="bottom"/>
            <w:tcBorders>
              <w:top w:val="single" w:sz="8" w:color="0000EE"/>
              <w:bottom w:val="single" w:sz="8" w:color="auto"/>
            </w:tcBorders>
          </w:tcPr>
          <w:p>
            <w:pPr>
              <w:spacing w:after="0"/>
              <w:rPr>
                <w:sz w:val="21"/>
                <w:szCs w:val="21"/>
                <w:color w:val="auto"/>
              </w:rPr>
            </w:pPr>
          </w:p>
        </w:tc>
        <w:tc>
          <w:tcPr>
            <w:tcW w:w="220" w:type="dxa"/>
            <w:vAlign w:val="bottom"/>
            <w:tcBorders>
              <w:top w:val="single" w:sz="8" w:color="0000EE"/>
              <w:bottom w:val="single" w:sz="8" w:color="auto"/>
            </w:tcBorders>
          </w:tcPr>
          <w:p>
            <w:pPr>
              <w:spacing w:after="0"/>
              <w:rPr>
                <w:sz w:val="21"/>
                <w:szCs w:val="21"/>
                <w:color w:val="auto"/>
              </w:rPr>
            </w:pPr>
          </w:p>
        </w:tc>
        <w:tc>
          <w:tcPr>
            <w:tcW w:w="160" w:type="dxa"/>
            <w:vAlign w:val="bottom"/>
            <w:tcBorders>
              <w:top w:val="single" w:sz="8" w:color="0000EE"/>
              <w:bottom w:val="single" w:sz="8" w:color="auto"/>
            </w:tcBorders>
          </w:tcPr>
          <w:p>
            <w:pPr>
              <w:spacing w:after="0"/>
              <w:rPr>
                <w:sz w:val="21"/>
                <w:szCs w:val="21"/>
                <w:color w:val="auto"/>
              </w:rPr>
            </w:pPr>
          </w:p>
        </w:tc>
        <w:tc>
          <w:tcPr>
            <w:tcW w:w="100" w:type="dxa"/>
            <w:vAlign w:val="bottom"/>
            <w:tcBorders>
              <w:top w:val="single" w:sz="8" w:color="0000EE"/>
              <w:bottom w:val="single" w:sz="8" w:color="auto"/>
            </w:tcBorders>
          </w:tcPr>
          <w:p>
            <w:pPr>
              <w:spacing w:after="0"/>
              <w:rPr>
                <w:sz w:val="21"/>
                <w:szCs w:val="21"/>
                <w:color w:val="auto"/>
              </w:rPr>
            </w:pPr>
          </w:p>
        </w:tc>
        <w:tc>
          <w:tcPr>
            <w:tcW w:w="80" w:type="dxa"/>
            <w:vAlign w:val="bottom"/>
            <w:tcBorders>
              <w:top w:val="single" w:sz="8" w:color="0000EE"/>
              <w:bottom w:val="single" w:sz="8" w:color="auto"/>
            </w:tcBorders>
          </w:tcPr>
          <w:p>
            <w:pPr>
              <w:spacing w:after="0"/>
              <w:rPr>
                <w:sz w:val="21"/>
                <w:szCs w:val="21"/>
                <w:color w:val="auto"/>
              </w:rPr>
            </w:pPr>
          </w:p>
        </w:tc>
        <w:tc>
          <w:tcPr>
            <w:tcW w:w="200" w:type="dxa"/>
            <w:vAlign w:val="bottom"/>
            <w:tcBorders>
              <w:top w:val="single" w:sz="8" w:color="0000EE"/>
              <w:bottom w:val="single" w:sz="8" w:color="auto"/>
            </w:tcBorders>
          </w:tcPr>
          <w:p>
            <w:pPr>
              <w:spacing w:after="0"/>
              <w:rPr>
                <w:sz w:val="21"/>
                <w:szCs w:val="21"/>
                <w:color w:val="auto"/>
              </w:rPr>
            </w:pPr>
          </w:p>
        </w:tc>
        <w:tc>
          <w:tcPr>
            <w:tcW w:w="20" w:type="dxa"/>
            <w:vAlign w:val="bottom"/>
            <w:tcBorders>
              <w:top w:val="single" w:sz="8" w:color="0000EE"/>
              <w:bottom w:val="single" w:sz="8" w:color="auto"/>
            </w:tcBorders>
          </w:tcPr>
          <w:p>
            <w:pPr>
              <w:spacing w:after="0"/>
              <w:rPr>
                <w:sz w:val="21"/>
                <w:szCs w:val="21"/>
                <w:color w:val="auto"/>
              </w:rPr>
            </w:pPr>
          </w:p>
        </w:tc>
        <w:tc>
          <w:tcPr>
            <w:tcW w:w="380" w:type="dxa"/>
            <w:vAlign w:val="bottom"/>
            <w:tcBorders>
              <w:top w:val="single" w:sz="8" w:color="0000EE"/>
              <w:bottom w:val="single" w:sz="8" w:color="auto"/>
            </w:tcBorders>
          </w:tcPr>
          <w:p>
            <w:pPr>
              <w:spacing w:after="0"/>
              <w:rPr>
                <w:sz w:val="21"/>
                <w:szCs w:val="21"/>
                <w:color w:val="auto"/>
              </w:rPr>
            </w:pPr>
          </w:p>
        </w:tc>
        <w:tc>
          <w:tcPr>
            <w:tcW w:w="20" w:type="dxa"/>
            <w:vAlign w:val="bottom"/>
            <w:tcBorders>
              <w:top w:val="single" w:sz="8" w:color="0000EE"/>
              <w:bottom w:val="single" w:sz="8" w:color="auto"/>
            </w:tcBorders>
          </w:tcPr>
          <w:p>
            <w:pPr>
              <w:spacing w:after="0"/>
              <w:rPr>
                <w:sz w:val="21"/>
                <w:szCs w:val="21"/>
                <w:color w:val="auto"/>
              </w:rPr>
            </w:pPr>
          </w:p>
        </w:tc>
        <w:tc>
          <w:tcPr>
            <w:tcW w:w="140" w:type="dxa"/>
            <w:vAlign w:val="bottom"/>
            <w:tcBorders>
              <w:top w:val="single" w:sz="8" w:color="0000EE"/>
              <w:bottom w:val="single" w:sz="8" w:color="auto"/>
            </w:tcBorders>
          </w:tcPr>
          <w:p>
            <w:pPr>
              <w:spacing w:after="0"/>
              <w:rPr>
                <w:sz w:val="21"/>
                <w:szCs w:val="21"/>
                <w:color w:val="auto"/>
              </w:rPr>
            </w:pPr>
          </w:p>
        </w:tc>
        <w:tc>
          <w:tcPr>
            <w:tcW w:w="60" w:type="dxa"/>
            <w:vAlign w:val="bottom"/>
            <w:tcBorders>
              <w:top w:val="single" w:sz="8" w:color="0000EE"/>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0" w:type="dxa"/>
            <w:vAlign w:val="bottom"/>
            <w:tcBorders>
              <w:top w:val="single" w:sz="8" w:color="0000EE"/>
              <w:bottom w:val="single" w:sz="8" w:color="auto"/>
            </w:tcBorders>
          </w:tcPr>
          <w:p>
            <w:pPr>
              <w:spacing w:after="0"/>
              <w:rPr>
                <w:sz w:val="21"/>
                <w:szCs w:val="21"/>
                <w:color w:val="auto"/>
              </w:rPr>
            </w:pPr>
          </w:p>
        </w:tc>
        <w:tc>
          <w:tcPr>
            <w:tcW w:w="100" w:type="dxa"/>
            <w:vAlign w:val="bottom"/>
            <w:tcBorders>
              <w:top w:val="single" w:sz="8" w:color="0000EE"/>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2" w:right="4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6560" w:type="dxa"/>
            <w:vAlign w:val="bottom"/>
            <w:gridSpan w:val="27"/>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20" w:type="dxa"/>
            <w:vAlign w:val="bottom"/>
            <w:gridSpan w:val="28"/>
          </w:tcPr>
          <w:p>
            <w:pPr>
              <w:spacing w:after="0"/>
              <w:rPr>
                <w:sz w:val="20"/>
                <w:szCs w:val="20"/>
                <w:color w:val="auto"/>
              </w:rPr>
            </w:pPr>
            <w:r>
              <w:rPr>
                <w:rFonts w:ascii="Arial" w:cs="Arial" w:eastAsia="Arial" w:hAnsi="Arial"/>
                <w:sz w:val="18"/>
                <w:szCs w:val="18"/>
                <w:color w:val="0000EE"/>
              </w:rPr>
              <w:t>Anti-Hedging Policy</w:t>
            </w:r>
          </w:p>
        </w:tc>
        <w:tc>
          <w:tcPr>
            <w:tcW w:w="640" w:type="dxa"/>
            <w:vAlign w:val="bottom"/>
            <w:gridSpan w:val="2"/>
          </w:tcPr>
          <w:p>
            <w:pPr>
              <w:jc w:val="right"/>
              <w:spacing w:after="0"/>
              <w:rPr>
                <w:sz w:val="20"/>
                <w:szCs w:val="20"/>
                <w:color w:val="auto"/>
              </w:rPr>
            </w:pPr>
            <w:r>
              <w:rPr>
                <w:rFonts w:ascii="Arial" w:cs="Arial" w:eastAsia="Arial" w:hAnsi="Arial"/>
                <w:sz w:val="18"/>
                <w:szCs w:val="18"/>
                <w:color w:val="0000EE"/>
              </w:rPr>
              <w:t>36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20" w:type="dxa"/>
            <w:vAlign w:val="bottom"/>
            <w:gridSpan w:val="28"/>
          </w:tcPr>
          <w:p>
            <w:pPr>
              <w:spacing w:after="0"/>
              <w:rPr>
                <w:sz w:val="20"/>
                <w:szCs w:val="20"/>
                <w:color w:val="auto"/>
              </w:rPr>
            </w:pPr>
            <w:r>
              <w:rPr>
                <w:rFonts w:ascii="Arial" w:cs="Arial" w:eastAsia="Arial" w:hAnsi="Arial"/>
                <w:sz w:val="18"/>
                <w:szCs w:val="18"/>
                <w:color w:val="0000EE"/>
              </w:rPr>
              <w:t>Change-in-Control Agreements</w:t>
            </w:r>
          </w:p>
        </w:tc>
        <w:tc>
          <w:tcPr>
            <w:tcW w:w="640" w:type="dxa"/>
            <w:vAlign w:val="bottom"/>
            <w:gridSpan w:val="2"/>
          </w:tcPr>
          <w:p>
            <w:pPr>
              <w:jc w:val="right"/>
              <w:spacing w:after="0"/>
              <w:rPr>
                <w:sz w:val="20"/>
                <w:szCs w:val="20"/>
                <w:color w:val="auto"/>
              </w:rPr>
            </w:pPr>
            <w:r>
              <w:rPr>
                <w:rFonts w:ascii="Arial" w:cs="Arial" w:eastAsia="Arial" w:hAnsi="Arial"/>
                <w:sz w:val="18"/>
                <w:szCs w:val="18"/>
                <w:color w:val="0000EE"/>
              </w:rPr>
              <w:t>36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20" w:type="dxa"/>
            <w:vAlign w:val="bottom"/>
            <w:gridSpan w:val="28"/>
          </w:tcPr>
          <w:p>
            <w:pPr>
              <w:spacing w:after="0"/>
              <w:rPr>
                <w:sz w:val="20"/>
                <w:szCs w:val="20"/>
                <w:color w:val="auto"/>
              </w:rPr>
            </w:pPr>
            <w:r>
              <w:rPr>
                <w:rFonts w:ascii="Arial" w:cs="Arial" w:eastAsia="Arial" w:hAnsi="Arial"/>
                <w:sz w:val="18"/>
                <w:szCs w:val="18"/>
                <w:color w:val="0000EE"/>
              </w:rPr>
              <w:t>Employment Agreements; Severance Policy</w:t>
            </w:r>
          </w:p>
        </w:tc>
        <w:tc>
          <w:tcPr>
            <w:tcW w:w="640" w:type="dxa"/>
            <w:vAlign w:val="bottom"/>
            <w:gridSpan w:val="2"/>
          </w:tcPr>
          <w:p>
            <w:pPr>
              <w:jc w:val="right"/>
              <w:spacing w:after="0"/>
              <w:rPr>
                <w:sz w:val="20"/>
                <w:szCs w:val="20"/>
                <w:color w:val="auto"/>
              </w:rPr>
            </w:pPr>
            <w:r>
              <w:rPr>
                <w:rFonts w:ascii="Arial" w:cs="Arial" w:eastAsia="Arial" w:hAnsi="Arial"/>
                <w:sz w:val="18"/>
                <w:szCs w:val="18"/>
                <w:color w:val="0000EE"/>
              </w:rPr>
              <w:t>36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500" w:type="dxa"/>
            <w:vAlign w:val="bottom"/>
            <w:gridSpan w:val="20"/>
          </w:tcPr>
          <w:p>
            <w:pPr>
              <w:spacing w:after="0"/>
              <w:rPr>
                <w:sz w:val="20"/>
                <w:szCs w:val="20"/>
                <w:color w:val="auto"/>
              </w:rPr>
            </w:pPr>
            <w:r>
              <w:rPr>
                <w:rFonts w:ascii="Arial" w:cs="Arial" w:eastAsia="Arial" w:hAnsi="Arial"/>
                <w:sz w:val="18"/>
                <w:szCs w:val="18"/>
                <w:color w:val="0000EE"/>
              </w:rPr>
              <w:t>Incentive Repayment (Clawback) Policy</w:t>
            </w:r>
          </w:p>
        </w:tc>
        <w:tc>
          <w:tcPr>
            <w:tcW w:w="3520" w:type="dxa"/>
            <w:vAlign w:val="bottom"/>
            <w:gridSpan w:val="8"/>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0000EE"/>
              </w:rPr>
              <w:t>36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140" w:type="dxa"/>
            <w:vAlign w:val="bottom"/>
            <w:gridSpan w:val="18"/>
          </w:tcPr>
          <w:p>
            <w:pPr>
              <w:spacing w:after="0"/>
              <w:rPr>
                <w:sz w:val="20"/>
                <w:szCs w:val="20"/>
                <w:color w:val="auto"/>
              </w:rPr>
            </w:pPr>
            <w:r>
              <w:rPr>
                <w:rFonts w:ascii="Arial" w:cs="Arial" w:eastAsia="Arial" w:hAnsi="Arial"/>
                <w:sz w:val="18"/>
                <w:szCs w:val="18"/>
                <w:color w:val="0000EE"/>
                <w:w w:val="98"/>
              </w:rPr>
              <w:t>Executive Deferred Compensation Plan</w:t>
            </w:r>
          </w:p>
        </w:tc>
        <w:tc>
          <w:tcPr>
            <w:tcW w:w="3880" w:type="dxa"/>
            <w:vAlign w:val="bottom"/>
            <w:gridSpan w:val="10"/>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0000EE"/>
              </w:rPr>
              <w:t>37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140" w:type="dxa"/>
            <w:vAlign w:val="bottom"/>
            <w:gridSpan w:val="18"/>
          </w:tcPr>
          <w:p>
            <w:pPr>
              <w:spacing w:after="0"/>
              <w:rPr>
                <w:sz w:val="20"/>
                <w:szCs w:val="20"/>
                <w:color w:val="auto"/>
              </w:rPr>
            </w:pPr>
            <w:r>
              <w:rPr>
                <w:rFonts w:ascii="Arial" w:cs="Arial" w:eastAsia="Arial" w:hAnsi="Arial"/>
                <w:sz w:val="18"/>
                <w:szCs w:val="18"/>
                <w:color w:val="0000EE"/>
              </w:rPr>
              <w:t>General Benefits and Perquisites</w:t>
            </w:r>
          </w:p>
        </w:tc>
        <w:tc>
          <w:tcPr>
            <w:tcW w:w="3880" w:type="dxa"/>
            <w:vAlign w:val="bottom"/>
            <w:gridSpan w:val="10"/>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0000EE"/>
              </w:rPr>
              <w:t>37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40" w:type="dxa"/>
            <w:vAlign w:val="bottom"/>
            <w:gridSpan w:val="21"/>
          </w:tcPr>
          <w:p>
            <w:pPr>
              <w:spacing w:after="0"/>
              <w:rPr>
                <w:sz w:val="20"/>
                <w:szCs w:val="20"/>
                <w:color w:val="auto"/>
              </w:rPr>
            </w:pPr>
            <w:r>
              <w:rPr>
                <w:rFonts w:ascii="Arial" w:cs="Arial" w:eastAsia="Arial" w:hAnsi="Arial"/>
                <w:sz w:val="18"/>
                <w:szCs w:val="18"/>
                <w:color w:val="0000EE"/>
                <w:w w:val="99"/>
              </w:rPr>
              <w:t>401(k) Plan and Employee Stock Purchase Plan</w:t>
            </w:r>
          </w:p>
        </w:tc>
        <w:tc>
          <w:tcPr>
            <w:tcW w:w="3180" w:type="dxa"/>
            <w:vAlign w:val="bottom"/>
            <w:gridSpan w:val="7"/>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0000EE"/>
              </w:rPr>
              <w:t>37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300" w:type="dxa"/>
            <w:vAlign w:val="bottom"/>
            <w:gridSpan w:val="11"/>
          </w:tcPr>
          <w:p>
            <w:pPr>
              <w:spacing w:after="0"/>
              <w:rPr>
                <w:sz w:val="20"/>
                <w:szCs w:val="20"/>
                <w:color w:val="auto"/>
              </w:rPr>
            </w:pPr>
            <w:r>
              <w:rPr>
                <w:rFonts w:ascii="Arial" w:cs="Arial" w:eastAsia="Arial" w:hAnsi="Arial"/>
                <w:sz w:val="18"/>
                <w:szCs w:val="18"/>
                <w:color w:val="0000EE"/>
                <w:w w:val="94"/>
              </w:rPr>
              <w:t>Impact of Tax and Accounting</w:t>
            </w:r>
          </w:p>
        </w:tc>
        <w:tc>
          <w:tcPr>
            <w:tcW w:w="1540" w:type="dxa"/>
            <w:vAlign w:val="bottom"/>
            <w:gridSpan w:val="10"/>
          </w:tcPr>
          <w:p>
            <w:pPr>
              <w:spacing w:after="0"/>
              <w:rPr>
                <w:sz w:val="22"/>
                <w:szCs w:val="22"/>
                <w:color w:val="auto"/>
              </w:rPr>
            </w:pPr>
          </w:p>
        </w:tc>
        <w:tc>
          <w:tcPr>
            <w:tcW w:w="3180" w:type="dxa"/>
            <w:vAlign w:val="bottom"/>
            <w:gridSpan w:val="7"/>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0000EE"/>
              </w:rPr>
              <w:t>37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7740" w:type="dxa"/>
            <w:vAlign w:val="bottom"/>
            <w:gridSpan w:val="29"/>
          </w:tcPr>
          <w:p>
            <w:pPr>
              <w:spacing w:after="0"/>
              <w:rPr>
                <w:sz w:val="20"/>
                <w:szCs w:val="20"/>
                <w:color w:val="auto"/>
              </w:rPr>
            </w:pPr>
            <w:r>
              <w:rPr>
                <w:rFonts w:ascii="Arial" w:cs="Arial" w:eastAsia="Arial" w:hAnsi="Arial"/>
                <w:sz w:val="18"/>
                <w:szCs w:val="18"/>
                <w:color w:val="0000EE"/>
              </w:rPr>
              <w:t>​Compensation Committee Report</w:t>
            </w:r>
          </w:p>
        </w:tc>
        <w:tc>
          <w:tcPr>
            <w:tcW w:w="640" w:type="dxa"/>
            <w:vAlign w:val="bottom"/>
            <w:gridSpan w:val="2"/>
          </w:tcPr>
          <w:p>
            <w:pPr>
              <w:jc w:val="right"/>
              <w:spacing w:after="0"/>
              <w:rPr>
                <w:sz w:val="20"/>
                <w:szCs w:val="20"/>
                <w:color w:val="auto"/>
              </w:rPr>
            </w:pPr>
            <w:r>
              <w:rPr>
                <w:rFonts w:ascii="Arial" w:cs="Arial" w:eastAsia="Arial" w:hAnsi="Arial"/>
                <w:sz w:val="18"/>
                <w:szCs w:val="18"/>
                <w:color w:val="0000EE"/>
              </w:rPr>
              <w:t>38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100" w:type="dxa"/>
            <w:vAlign w:val="bottom"/>
            <w:gridSpan w:val="30"/>
          </w:tcPr>
          <w:p>
            <w:pPr>
              <w:spacing w:after="0"/>
              <w:rPr>
                <w:sz w:val="20"/>
                <w:szCs w:val="20"/>
                <w:color w:val="auto"/>
              </w:rPr>
            </w:pPr>
            <w:r>
              <w:rPr>
                <w:rFonts w:ascii="Arial" w:cs="Arial" w:eastAsia="Arial" w:hAnsi="Arial"/>
                <w:sz w:val="18"/>
                <w:szCs w:val="18"/>
                <w:b w:val="1"/>
                <w:bCs w:val="1"/>
                <w:color w:val="0000EE"/>
              </w:rPr>
              <w:t>Executive Compensation Tables</w:t>
            </w:r>
          </w:p>
        </w:tc>
        <w:tc>
          <w:tcPr>
            <w:tcW w:w="640" w:type="dxa"/>
            <w:vAlign w:val="bottom"/>
            <w:gridSpan w:val="2"/>
          </w:tcPr>
          <w:p>
            <w:pPr>
              <w:jc w:val="right"/>
              <w:spacing w:after="0"/>
              <w:rPr>
                <w:sz w:val="20"/>
                <w:szCs w:val="20"/>
                <w:color w:val="auto"/>
              </w:rPr>
            </w:pPr>
            <w:r>
              <w:rPr>
                <w:rFonts w:ascii="Arial" w:cs="Arial" w:eastAsia="Arial" w:hAnsi="Arial"/>
                <w:sz w:val="18"/>
                <w:szCs w:val="18"/>
                <w:color w:val="0000EE"/>
              </w:rPr>
              <w:t>39</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2460" w:type="dxa"/>
            <w:vAlign w:val="bottom"/>
            <w:gridSpan w:val="9"/>
          </w:tcPr>
          <w:p>
            <w:pPr>
              <w:spacing w:after="0"/>
              <w:rPr>
                <w:sz w:val="20"/>
                <w:szCs w:val="20"/>
                <w:color w:val="auto"/>
              </w:rPr>
            </w:pPr>
            <w:r>
              <w:rPr>
                <w:rFonts w:ascii="Arial" w:cs="Arial" w:eastAsia="Arial" w:hAnsi="Arial"/>
                <w:sz w:val="18"/>
                <w:szCs w:val="18"/>
                <w:color w:val="0000EE"/>
                <w:w w:val="98"/>
              </w:rPr>
              <w:t>Summary Compensation Table</w:t>
            </w:r>
          </w:p>
        </w:tc>
        <w:tc>
          <w:tcPr>
            <w:tcW w:w="5280" w:type="dxa"/>
            <w:vAlign w:val="bottom"/>
            <w:gridSpan w:val="20"/>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0000EE"/>
              </w:rPr>
              <w:t>39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3300" w:type="dxa"/>
            <w:vAlign w:val="bottom"/>
            <w:gridSpan w:val="14"/>
          </w:tcPr>
          <w:p>
            <w:pPr>
              <w:spacing w:after="0"/>
              <w:rPr>
                <w:sz w:val="20"/>
                <w:szCs w:val="20"/>
                <w:color w:val="auto"/>
              </w:rPr>
            </w:pPr>
            <w:r>
              <w:rPr>
                <w:rFonts w:ascii="Arial" w:cs="Arial" w:eastAsia="Arial" w:hAnsi="Arial"/>
                <w:sz w:val="18"/>
                <w:szCs w:val="18"/>
                <w:color w:val="0000EE"/>
                <w:w w:val="98"/>
              </w:rPr>
              <w:t>2022 Grants of Plan-Based Awards Table</w:t>
            </w:r>
          </w:p>
        </w:tc>
        <w:tc>
          <w:tcPr>
            <w:tcW w:w="4440" w:type="dxa"/>
            <w:vAlign w:val="bottom"/>
            <w:gridSpan w:val="15"/>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0000EE"/>
              </w:rPr>
              <w:t>40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4600" w:type="dxa"/>
            <w:vAlign w:val="bottom"/>
            <w:gridSpan w:val="23"/>
          </w:tcPr>
          <w:p>
            <w:pPr>
              <w:spacing w:after="0"/>
              <w:rPr>
                <w:sz w:val="20"/>
                <w:szCs w:val="20"/>
                <w:color w:val="auto"/>
              </w:rPr>
            </w:pPr>
            <w:r>
              <w:rPr>
                <w:rFonts w:ascii="Arial" w:cs="Arial" w:eastAsia="Arial" w:hAnsi="Arial"/>
                <w:sz w:val="18"/>
                <w:szCs w:val="18"/>
                <w:color w:val="0000EE"/>
                <w:w w:val="98"/>
              </w:rPr>
              <w:t>2022 Outstanding Equity Awards at Fiscal Year End Table</w:t>
            </w:r>
          </w:p>
        </w:tc>
        <w:tc>
          <w:tcPr>
            <w:tcW w:w="3140" w:type="dxa"/>
            <w:vAlign w:val="bottom"/>
            <w:gridSpan w:val="6"/>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0000EE"/>
              </w:rPr>
              <w:t>41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3740" w:type="dxa"/>
            <w:vAlign w:val="bottom"/>
            <w:gridSpan w:val="18"/>
          </w:tcPr>
          <w:p>
            <w:pPr>
              <w:spacing w:after="0"/>
              <w:rPr>
                <w:sz w:val="20"/>
                <w:szCs w:val="20"/>
                <w:color w:val="auto"/>
              </w:rPr>
            </w:pPr>
            <w:r>
              <w:rPr>
                <w:rFonts w:ascii="Arial" w:cs="Arial" w:eastAsia="Arial" w:hAnsi="Arial"/>
                <w:sz w:val="18"/>
                <w:szCs w:val="18"/>
                <w:color w:val="0000EE"/>
                <w:w w:val="98"/>
              </w:rPr>
              <w:t>2022 Option Exercises and Stock Vested Table</w:t>
            </w:r>
          </w:p>
        </w:tc>
        <w:tc>
          <w:tcPr>
            <w:tcW w:w="860" w:type="dxa"/>
            <w:vAlign w:val="bottom"/>
            <w:gridSpan w:val="5"/>
          </w:tcPr>
          <w:p>
            <w:pPr>
              <w:spacing w:after="0"/>
              <w:rPr>
                <w:sz w:val="22"/>
                <w:szCs w:val="22"/>
                <w:color w:val="auto"/>
              </w:rPr>
            </w:pPr>
          </w:p>
        </w:tc>
        <w:tc>
          <w:tcPr>
            <w:tcW w:w="3140" w:type="dxa"/>
            <w:vAlign w:val="bottom"/>
            <w:gridSpan w:val="6"/>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0000EE"/>
              </w:rPr>
              <w:t>42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7740" w:type="dxa"/>
            <w:vAlign w:val="bottom"/>
            <w:gridSpan w:val="29"/>
          </w:tcPr>
          <w:p>
            <w:pPr>
              <w:spacing w:after="0"/>
              <w:rPr>
                <w:sz w:val="20"/>
                <w:szCs w:val="20"/>
                <w:color w:val="auto"/>
              </w:rPr>
            </w:pPr>
            <w:r>
              <w:rPr>
                <w:rFonts w:ascii="Arial" w:cs="Arial" w:eastAsia="Arial" w:hAnsi="Arial"/>
                <w:sz w:val="18"/>
                <w:szCs w:val="18"/>
                <w:color w:val="0000EE"/>
              </w:rPr>
              <w:t>2022 Nonqualified Deferred Compensation Table</w:t>
            </w:r>
          </w:p>
        </w:tc>
        <w:tc>
          <w:tcPr>
            <w:tcW w:w="640" w:type="dxa"/>
            <w:vAlign w:val="bottom"/>
            <w:gridSpan w:val="2"/>
          </w:tcPr>
          <w:p>
            <w:pPr>
              <w:jc w:val="right"/>
              <w:spacing w:after="0"/>
              <w:rPr>
                <w:sz w:val="20"/>
                <w:szCs w:val="20"/>
                <w:color w:val="auto"/>
              </w:rPr>
            </w:pPr>
            <w:r>
              <w:rPr>
                <w:rFonts w:ascii="Arial" w:cs="Arial" w:eastAsia="Arial" w:hAnsi="Arial"/>
                <w:sz w:val="18"/>
                <w:szCs w:val="18"/>
                <w:color w:val="0000EE"/>
              </w:rPr>
              <w:t>43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3860" w:type="dxa"/>
            <w:vAlign w:val="bottom"/>
            <w:gridSpan w:val="19"/>
          </w:tcPr>
          <w:p>
            <w:pPr>
              <w:spacing w:after="0"/>
              <w:rPr>
                <w:sz w:val="20"/>
                <w:szCs w:val="20"/>
                <w:color w:val="auto"/>
              </w:rPr>
            </w:pPr>
            <w:r>
              <w:rPr>
                <w:rFonts w:ascii="Arial" w:cs="Arial" w:eastAsia="Arial" w:hAnsi="Arial"/>
                <w:sz w:val="18"/>
                <w:szCs w:val="18"/>
                <w:color w:val="0000EE"/>
              </w:rPr>
              <w:t>Potential Payments Upon Termination</w:t>
            </w:r>
          </w:p>
        </w:tc>
        <w:tc>
          <w:tcPr>
            <w:tcW w:w="3880" w:type="dxa"/>
            <w:vAlign w:val="bottom"/>
            <w:gridSpan w:val="10"/>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0000EE"/>
              </w:rPr>
              <w:t>43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7740" w:type="dxa"/>
            <w:vAlign w:val="bottom"/>
            <w:gridSpan w:val="29"/>
          </w:tcPr>
          <w:p>
            <w:pPr>
              <w:spacing w:after="0"/>
              <w:rPr>
                <w:sz w:val="20"/>
                <w:szCs w:val="20"/>
                <w:color w:val="auto"/>
              </w:rPr>
            </w:pPr>
            <w:r>
              <w:rPr>
                <w:rFonts w:ascii="Arial" w:cs="Arial" w:eastAsia="Arial" w:hAnsi="Arial"/>
                <w:sz w:val="18"/>
                <w:szCs w:val="18"/>
                <w:color w:val="0000EE"/>
              </w:rPr>
              <w:t>Potential Payments Upon Change-in-Control</w:t>
            </w:r>
          </w:p>
        </w:tc>
        <w:tc>
          <w:tcPr>
            <w:tcW w:w="640" w:type="dxa"/>
            <w:vAlign w:val="bottom"/>
            <w:gridSpan w:val="2"/>
          </w:tcPr>
          <w:p>
            <w:pPr>
              <w:jc w:val="right"/>
              <w:spacing w:after="0"/>
              <w:rPr>
                <w:sz w:val="20"/>
                <w:szCs w:val="20"/>
                <w:color w:val="auto"/>
              </w:rPr>
            </w:pPr>
            <w:r>
              <w:rPr>
                <w:rFonts w:ascii="Arial" w:cs="Arial" w:eastAsia="Arial" w:hAnsi="Arial"/>
                <w:sz w:val="18"/>
                <w:szCs w:val="18"/>
                <w:color w:val="0000EE"/>
              </w:rPr>
              <w:t>45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3020" w:type="dxa"/>
            <w:vAlign w:val="bottom"/>
            <w:gridSpan w:val="12"/>
          </w:tcPr>
          <w:p>
            <w:pPr>
              <w:spacing w:after="0"/>
              <w:rPr>
                <w:sz w:val="20"/>
                <w:szCs w:val="20"/>
                <w:color w:val="auto"/>
              </w:rPr>
            </w:pPr>
            <w:r>
              <w:rPr>
                <w:rFonts w:ascii="Arial" w:cs="Arial" w:eastAsia="Arial" w:hAnsi="Arial"/>
                <w:sz w:val="18"/>
                <w:szCs w:val="18"/>
                <w:color w:val="0000EE"/>
                <w:w w:val="96"/>
              </w:rPr>
              <w:t>Termination Payment Tables for NEOs</w:t>
            </w:r>
          </w:p>
        </w:tc>
        <w:tc>
          <w:tcPr>
            <w:tcW w:w="520" w:type="dxa"/>
            <w:vAlign w:val="bottom"/>
            <w:gridSpan w:val="4"/>
          </w:tcPr>
          <w:p>
            <w:pPr>
              <w:spacing w:after="0"/>
              <w:rPr>
                <w:sz w:val="22"/>
                <w:szCs w:val="22"/>
                <w:color w:val="auto"/>
              </w:rPr>
            </w:pPr>
          </w:p>
        </w:tc>
        <w:tc>
          <w:tcPr>
            <w:tcW w:w="4200" w:type="dxa"/>
            <w:vAlign w:val="bottom"/>
            <w:gridSpan w:val="13"/>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0000EE"/>
              </w:rPr>
              <w:t>47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3020" w:type="dxa"/>
            <w:vAlign w:val="bottom"/>
            <w:gridSpan w:val="12"/>
          </w:tcPr>
          <w:p>
            <w:pPr>
              <w:spacing w:after="0"/>
              <w:rPr>
                <w:sz w:val="20"/>
                <w:szCs w:val="20"/>
                <w:color w:val="auto"/>
              </w:rPr>
            </w:pPr>
            <w:r>
              <w:rPr>
                <w:rFonts w:ascii="Arial" w:cs="Arial" w:eastAsia="Arial" w:hAnsi="Arial"/>
                <w:sz w:val="18"/>
                <w:szCs w:val="18"/>
                <w:color w:val="0000EE"/>
                <w:w w:val="97"/>
              </w:rPr>
              <w:t>2022 Compensation Risk Assessment</w:t>
            </w:r>
          </w:p>
        </w:tc>
        <w:tc>
          <w:tcPr>
            <w:tcW w:w="4720" w:type="dxa"/>
            <w:vAlign w:val="bottom"/>
            <w:gridSpan w:val="17"/>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0000EE"/>
              </w:rPr>
              <w:t>52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1220" w:type="dxa"/>
            <w:vAlign w:val="bottom"/>
            <w:gridSpan w:val="3"/>
          </w:tcPr>
          <w:p>
            <w:pPr>
              <w:spacing w:after="0"/>
              <w:rPr>
                <w:sz w:val="20"/>
                <w:szCs w:val="20"/>
                <w:color w:val="auto"/>
              </w:rPr>
            </w:pPr>
            <w:r>
              <w:rPr>
                <w:rFonts w:ascii="Arial" w:cs="Arial" w:eastAsia="Arial" w:hAnsi="Arial"/>
                <w:sz w:val="18"/>
                <w:szCs w:val="18"/>
                <w:color w:val="0000EE"/>
                <w:w w:val="98"/>
              </w:rPr>
              <w:t>CEO Pay Ratio</w:t>
            </w:r>
          </w:p>
        </w:tc>
        <w:tc>
          <w:tcPr>
            <w:tcW w:w="1800" w:type="dxa"/>
            <w:vAlign w:val="bottom"/>
            <w:gridSpan w:val="9"/>
          </w:tcPr>
          <w:p>
            <w:pPr>
              <w:spacing w:after="0"/>
              <w:rPr>
                <w:sz w:val="22"/>
                <w:szCs w:val="22"/>
                <w:color w:val="auto"/>
              </w:rPr>
            </w:pPr>
          </w:p>
        </w:tc>
        <w:tc>
          <w:tcPr>
            <w:tcW w:w="4720" w:type="dxa"/>
            <w:vAlign w:val="bottom"/>
            <w:gridSpan w:val="17"/>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0000EE"/>
              </w:rPr>
              <w:t>52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7740" w:type="dxa"/>
            <w:vAlign w:val="bottom"/>
            <w:gridSpan w:val="29"/>
          </w:tcPr>
          <w:p>
            <w:pPr>
              <w:spacing w:after="0"/>
              <w:rPr>
                <w:sz w:val="20"/>
                <w:szCs w:val="20"/>
                <w:color w:val="auto"/>
              </w:rPr>
            </w:pPr>
            <w:r>
              <w:rPr>
                <w:rFonts w:ascii="Arial" w:cs="Arial" w:eastAsia="Arial" w:hAnsi="Arial"/>
                <w:sz w:val="18"/>
                <w:szCs w:val="18"/>
                <w:color w:val="0000EE"/>
              </w:rPr>
              <w:t>Pay Versus Performance</w:t>
            </w:r>
          </w:p>
        </w:tc>
        <w:tc>
          <w:tcPr>
            <w:tcW w:w="640" w:type="dxa"/>
            <w:vAlign w:val="bottom"/>
            <w:gridSpan w:val="2"/>
          </w:tcPr>
          <w:p>
            <w:pPr>
              <w:jc w:val="right"/>
              <w:spacing w:after="0"/>
              <w:rPr>
                <w:sz w:val="20"/>
                <w:szCs w:val="20"/>
                <w:color w:val="auto"/>
              </w:rPr>
            </w:pPr>
            <w:r>
              <w:rPr>
                <w:rFonts w:ascii="Arial" w:cs="Arial" w:eastAsia="Arial" w:hAnsi="Arial"/>
                <w:sz w:val="18"/>
                <w:szCs w:val="18"/>
                <w:color w:val="0000EE"/>
              </w:rPr>
              <w:t>53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100" w:type="dxa"/>
            <w:vAlign w:val="bottom"/>
            <w:gridSpan w:val="30"/>
          </w:tcPr>
          <w:p>
            <w:pPr>
              <w:spacing w:after="0"/>
              <w:rPr>
                <w:sz w:val="20"/>
                <w:szCs w:val="20"/>
                <w:color w:val="auto"/>
              </w:rPr>
            </w:pPr>
            <w:r>
              <w:rPr>
                <w:rFonts w:ascii="Arial" w:cs="Arial" w:eastAsia="Arial" w:hAnsi="Arial"/>
                <w:sz w:val="18"/>
                <w:szCs w:val="18"/>
                <w:b w:val="1"/>
                <w:bCs w:val="1"/>
                <w:color w:val="0000EE"/>
              </w:rPr>
              <w:t>PROPOSAL 4 – APPROVAL OF THE AMENDMENT OF THE ITRON, INC. 2012 EMPLOYEE</w:t>
            </w: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0000EE"/>
              </w:rPr>
              <w:t>56</w:t>
            </w:r>
          </w:p>
        </w:tc>
        <w:tc>
          <w:tcPr>
            <w:tcW w:w="0" w:type="dxa"/>
            <w:vAlign w:val="bottom"/>
          </w:tcPr>
          <w:p>
            <w:pPr>
              <w:spacing w:after="0"/>
              <w:rPr>
                <w:sz w:val="1"/>
                <w:szCs w:val="1"/>
                <w:color w:val="auto"/>
              </w:rPr>
            </w:pPr>
          </w:p>
        </w:tc>
      </w:tr>
      <w:tr>
        <w:trPr>
          <w:trHeight w:val="183"/>
        </w:trPr>
        <w:tc>
          <w:tcPr>
            <w:tcW w:w="222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b w:val="1"/>
                <w:bCs w:val="1"/>
                <w:color w:val="0000EE"/>
                <w:w w:val="98"/>
              </w:rPr>
              <w:t>STOCK PURCHASE PLAN</w:t>
            </w:r>
          </w:p>
        </w:tc>
        <w:tc>
          <w:tcPr>
            <w:tcW w:w="5320" w:type="dxa"/>
            <w:vAlign w:val="bottom"/>
            <w:tcBorders>
              <w:top w:val="single" w:sz="8" w:color="0000EE"/>
            </w:tcBorders>
            <w:gridSpan w:val="22"/>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100" w:type="dxa"/>
            <w:vAlign w:val="bottom"/>
            <w:gridSpan w:val="30"/>
          </w:tcPr>
          <w:p>
            <w:pPr>
              <w:spacing w:after="0"/>
              <w:rPr>
                <w:sz w:val="20"/>
                <w:szCs w:val="20"/>
                <w:color w:val="auto"/>
              </w:rPr>
            </w:pPr>
            <w:r>
              <w:rPr>
                <w:rFonts w:ascii="Arial" w:cs="Arial" w:eastAsia="Arial" w:hAnsi="Arial"/>
                <w:sz w:val="18"/>
                <w:szCs w:val="18"/>
                <w:b w:val="1"/>
                <w:bCs w:val="1"/>
                <w:color w:val="0000EE"/>
              </w:rPr>
              <w:t>PROPOSAL 5 – RATIFICATION OF INDEPENDENT REGISTERED PUBLIC ACCOUNTANT</w:t>
            </w:r>
          </w:p>
        </w:tc>
        <w:tc>
          <w:tcPr>
            <w:tcW w:w="640" w:type="dxa"/>
            <w:vAlign w:val="bottom"/>
            <w:gridSpan w:val="2"/>
          </w:tcPr>
          <w:p>
            <w:pPr>
              <w:jc w:val="right"/>
              <w:spacing w:after="0"/>
              <w:rPr>
                <w:sz w:val="20"/>
                <w:szCs w:val="20"/>
                <w:color w:val="auto"/>
              </w:rPr>
            </w:pPr>
            <w:r>
              <w:rPr>
                <w:rFonts w:ascii="Arial" w:cs="Arial" w:eastAsia="Arial" w:hAnsi="Arial"/>
                <w:sz w:val="18"/>
                <w:szCs w:val="18"/>
                <w:color w:val="0000EE"/>
              </w:rPr>
              <w:t>61</w:t>
            </w:r>
          </w:p>
        </w:tc>
        <w:tc>
          <w:tcPr>
            <w:tcW w:w="0" w:type="dxa"/>
            <w:vAlign w:val="bottom"/>
          </w:tcPr>
          <w:p>
            <w:pPr>
              <w:spacing w:after="0"/>
              <w:rPr>
                <w:sz w:val="1"/>
                <w:szCs w:val="1"/>
                <w:color w:val="auto"/>
              </w:rPr>
            </w:pPr>
          </w:p>
        </w:tc>
      </w:tr>
      <w:tr>
        <w:trPr>
          <w:trHeight w:val="20"/>
        </w:trPr>
        <w:tc>
          <w:tcPr>
            <w:tcW w:w="1920" w:type="dxa"/>
            <w:vAlign w:val="bottom"/>
            <w:gridSpan w:val="5"/>
            <w:shd w:val="clear" w:color="auto" w:fill="0000EE"/>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100" w:type="dxa"/>
            <w:vAlign w:val="bottom"/>
            <w:gridSpan w:val="30"/>
          </w:tcPr>
          <w:p>
            <w:pPr>
              <w:spacing w:after="0"/>
              <w:rPr>
                <w:sz w:val="20"/>
                <w:szCs w:val="20"/>
                <w:color w:val="auto"/>
              </w:rPr>
            </w:pPr>
            <w:r>
              <w:rPr>
                <w:rFonts w:ascii="Arial" w:cs="Arial" w:eastAsia="Arial" w:hAnsi="Arial"/>
                <w:sz w:val="18"/>
                <w:szCs w:val="18"/>
                <w:b w:val="1"/>
                <w:bCs w:val="1"/>
                <w:color w:val="0000EE"/>
              </w:rPr>
              <w:t>INDEPENDENT REGISTERED PUBLIC ACCOUNTING FIRM’S AUDIT FEES AND SERVICES</w:t>
            </w:r>
          </w:p>
        </w:tc>
        <w:tc>
          <w:tcPr>
            <w:tcW w:w="640" w:type="dxa"/>
            <w:vAlign w:val="bottom"/>
            <w:gridSpan w:val="2"/>
          </w:tcPr>
          <w:p>
            <w:pPr>
              <w:jc w:val="right"/>
              <w:spacing w:after="0"/>
              <w:rPr>
                <w:sz w:val="20"/>
                <w:szCs w:val="20"/>
                <w:color w:val="auto"/>
              </w:rPr>
            </w:pPr>
            <w:r>
              <w:rPr>
                <w:rFonts w:ascii="Arial" w:cs="Arial" w:eastAsia="Arial" w:hAnsi="Arial"/>
                <w:sz w:val="18"/>
                <w:szCs w:val="18"/>
                <w:color w:val="0000EE"/>
              </w:rPr>
              <w:t>61</w:t>
            </w:r>
          </w:p>
        </w:tc>
        <w:tc>
          <w:tcPr>
            <w:tcW w:w="0" w:type="dxa"/>
            <w:vAlign w:val="bottom"/>
          </w:tcPr>
          <w:p>
            <w:pPr>
              <w:spacing w:after="0"/>
              <w:rPr>
                <w:sz w:val="1"/>
                <w:szCs w:val="1"/>
                <w:color w:val="auto"/>
              </w:rPr>
            </w:pPr>
          </w:p>
        </w:tc>
      </w:tr>
      <w:tr>
        <w:trPr>
          <w:trHeight w:val="20"/>
        </w:trPr>
        <w:tc>
          <w:tcPr>
            <w:tcW w:w="1920" w:type="dxa"/>
            <w:vAlign w:val="bottom"/>
            <w:gridSpan w:val="5"/>
            <w:shd w:val="clear" w:color="auto" w:fill="0000EE"/>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780" w:type="dxa"/>
            <w:vAlign w:val="bottom"/>
            <w:gridSpan w:val="16"/>
          </w:tcPr>
          <w:p>
            <w:pPr>
              <w:spacing w:after="0"/>
              <w:rPr>
                <w:sz w:val="20"/>
                <w:szCs w:val="20"/>
                <w:color w:val="auto"/>
              </w:rPr>
            </w:pPr>
            <w:r>
              <w:rPr>
                <w:rFonts w:ascii="Arial" w:cs="Arial" w:eastAsia="Arial" w:hAnsi="Arial"/>
                <w:sz w:val="18"/>
                <w:szCs w:val="18"/>
                <w:b w:val="1"/>
                <w:bCs w:val="1"/>
                <w:color w:val="0000EE"/>
                <w:w w:val="99"/>
              </w:rPr>
              <w:t>2022 AUDIT/FINANCE COMMITTEE REPORT</w:t>
            </w:r>
          </w:p>
        </w:tc>
        <w:tc>
          <w:tcPr>
            <w:tcW w:w="3880" w:type="dxa"/>
            <w:vAlign w:val="bottom"/>
            <w:gridSpan w:val="13"/>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0000EE"/>
              </w:rPr>
              <w:t>62</w:t>
            </w:r>
          </w:p>
        </w:tc>
        <w:tc>
          <w:tcPr>
            <w:tcW w:w="0" w:type="dxa"/>
            <w:vAlign w:val="bottom"/>
          </w:tcPr>
          <w:p>
            <w:pPr>
              <w:spacing w:after="0"/>
              <w:rPr>
                <w:sz w:val="1"/>
                <w:szCs w:val="1"/>
                <w:color w:val="auto"/>
              </w:rPr>
            </w:pPr>
          </w:p>
        </w:tc>
      </w:tr>
      <w:tr>
        <w:trPr>
          <w:trHeight w:val="20"/>
        </w:trPr>
        <w:tc>
          <w:tcPr>
            <w:tcW w:w="1920" w:type="dxa"/>
            <w:vAlign w:val="bottom"/>
            <w:gridSpan w:val="5"/>
            <w:shd w:val="clear" w:color="auto" w:fill="0000EE"/>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020" w:type="dxa"/>
            <w:vAlign w:val="bottom"/>
            <w:gridSpan w:val="18"/>
          </w:tcPr>
          <w:p>
            <w:pPr>
              <w:spacing w:after="0"/>
              <w:rPr>
                <w:sz w:val="20"/>
                <w:szCs w:val="20"/>
                <w:color w:val="auto"/>
              </w:rPr>
            </w:pPr>
            <w:r>
              <w:rPr>
                <w:rFonts w:ascii="Arial" w:cs="Arial" w:eastAsia="Arial" w:hAnsi="Arial"/>
                <w:sz w:val="18"/>
                <w:szCs w:val="18"/>
                <w:b w:val="1"/>
                <w:bCs w:val="1"/>
                <w:color w:val="0000EE"/>
                <w:w w:val="98"/>
              </w:rPr>
              <w:t>EQUITY COMPENSATION PLAN INFORMATION</w:t>
            </w:r>
          </w:p>
        </w:tc>
        <w:tc>
          <w:tcPr>
            <w:tcW w:w="4080" w:type="dxa"/>
            <w:vAlign w:val="bottom"/>
            <w:gridSpan w:val="12"/>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0000EE"/>
              </w:rPr>
              <w:t>63</w:t>
            </w:r>
          </w:p>
        </w:tc>
        <w:tc>
          <w:tcPr>
            <w:tcW w:w="0" w:type="dxa"/>
            <w:vAlign w:val="bottom"/>
          </w:tcPr>
          <w:p>
            <w:pPr>
              <w:spacing w:after="0"/>
              <w:rPr>
                <w:sz w:val="1"/>
                <w:szCs w:val="1"/>
                <w:color w:val="auto"/>
              </w:rPr>
            </w:pPr>
          </w:p>
        </w:tc>
      </w:tr>
      <w:tr>
        <w:trPr>
          <w:trHeight w:val="20"/>
        </w:trPr>
        <w:tc>
          <w:tcPr>
            <w:tcW w:w="1920" w:type="dxa"/>
            <w:vAlign w:val="bottom"/>
            <w:gridSpan w:val="5"/>
            <w:shd w:val="clear" w:color="auto" w:fill="0000EE"/>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640" w:type="dxa"/>
            <w:vAlign w:val="bottom"/>
            <w:tcBorders>
              <w:left w:val="single" w:sz="8" w:color="0000EE"/>
            </w:tcBorders>
            <w:gridSpan w:val="5"/>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100" w:type="dxa"/>
            <w:vAlign w:val="bottom"/>
            <w:gridSpan w:val="30"/>
          </w:tcPr>
          <w:p>
            <w:pPr>
              <w:spacing w:after="0"/>
              <w:rPr>
                <w:sz w:val="20"/>
                <w:szCs w:val="20"/>
                <w:color w:val="auto"/>
              </w:rPr>
            </w:pPr>
            <w:r>
              <w:rPr>
                <w:rFonts w:ascii="Arial" w:cs="Arial" w:eastAsia="Arial" w:hAnsi="Arial"/>
                <w:sz w:val="18"/>
                <w:szCs w:val="18"/>
                <w:b w:val="1"/>
                <w:bCs w:val="1"/>
                <w:color w:val="0000EE"/>
              </w:rPr>
              <w:t>SECURITY OWNERSHIP OF CERTAIN BENEFICIAL OWNERS AND MANAGEMENT</w:t>
            </w:r>
          </w:p>
        </w:tc>
        <w:tc>
          <w:tcPr>
            <w:tcW w:w="640" w:type="dxa"/>
            <w:vAlign w:val="bottom"/>
            <w:gridSpan w:val="2"/>
          </w:tcPr>
          <w:p>
            <w:pPr>
              <w:jc w:val="right"/>
              <w:spacing w:after="0"/>
              <w:rPr>
                <w:sz w:val="20"/>
                <w:szCs w:val="20"/>
                <w:color w:val="auto"/>
              </w:rPr>
            </w:pPr>
            <w:r>
              <w:rPr>
                <w:rFonts w:ascii="Arial" w:cs="Arial" w:eastAsia="Arial" w:hAnsi="Arial"/>
                <w:sz w:val="18"/>
                <w:szCs w:val="18"/>
                <w:color w:val="0000EE"/>
              </w:rPr>
              <w:t>64</w:t>
            </w:r>
          </w:p>
        </w:tc>
        <w:tc>
          <w:tcPr>
            <w:tcW w:w="0" w:type="dxa"/>
            <w:vAlign w:val="bottom"/>
          </w:tcPr>
          <w:p>
            <w:pPr>
              <w:spacing w:after="0"/>
              <w:rPr>
                <w:sz w:val="1"/>
                <w:szCs w:val="1"/>
                <w:color w:val="auto"/>
              </w:rPr>
            </w:pPr>
          </w:p>
        </w:tc>
      </w:tr>
      <w:tr>
        <w:trPr>
          <w:trHeight w:val="20"/>
        </w:trPr>
        <w:tc>
          <w:tcPr>
            <w:tcW w:w="1920" w:type="dxa"/>
            <w:vAlign w:val="bottom"/>
            <w:gridSpan w:val="5"/>
            <w:shd w:val="clear" w:color="auto" w:fill="0000EE"/>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880" w:type="dxa"/>
            <w:vAlign w:val="bottom"/>
            <w:tcBorders>
              <w:left w:val="single" w:sz="8" w:color="0000EE"/>
            </w:tcBorders>
            <w:gridSpan w:val="8"/>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380" w:type="dxa"/>
            <w:vAlign w:val="bottom"/>
            <w:gridSpan w:val="13"/>
          </w:tcPr>
          <w:p>
            <w:pPr>
              <w:spacing w:after="0"/>
              <w:rPr>
                <w:sz w:val="20"/>
                <w:szCs w:val="20"/>
                <w:color w:val="auto"/>
              </w:rPr>
            </w:pPr>
            <w:r>
              <w:rPr>
                <w:rFonts w:ascii="Arial" w:cs="Arial" w:eastAsia="Arial" w:hAnsi="Arial"/>
                <w:sz w:val="18"/>
                <w:szCs w:val="18"/>
                <w:b w:val="1"/>
                <w:bCs w:val="1"/>
                <w:color w:val="0000EE"/>
                <w:w w:val="98"/>
              </w:rPr>
              <w:t>LIST OF SHAREHOLDERS OF RECORD</w:t>
            </w:r>
          </w:p>
        </w:tc>
        <w:tc>
          <w:tcPr>
            <w:tcW w:w="3600" w:type="dxa"/>
            <w:vAlign w:val="bottom"/>
            <w:gridSpan w:val="13"/>
          </w:tcPr>
          <w:p>
            <w:pPr>
              <w:spacing w:after="0"/>
              <w:rPr>
                <w:sz w:val="24"/>
                <w:szCs w:val="24"/>
                <w:color w:val="auto"/>
              </w:rPr>
            </w:pPr>
          </w:p>
        </w:tc>
        <w:tc>
          <w:tcPr>
            <w:tcW w:w="1120" w:type="dxa"/>
            <w:vAlign w:val="bottom"/>
            <w:gridSpan w:val="4"/>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0000EE"/>
              </w:rPr>
              <w:t>65</w:t>
            </w:r>
          </w:p>
        </w:tc>
        <w:tc>
          <w:tcPr>
            <w:tcW w:w="0" w:type="dxa"/>
            <w:vAlign w:val="bottom"/>
          </w:tcPr>
          <w:p>
            <w:pPr>
              <w:spacing w:after="0"/>
              <w:rPr>
                <w:sz w:val="1"/>
                <w:szCs w:val="1"/>
                <w:color w:val="auto"/>
              </w:rPr>
            </w:pPr>
          </w:p>
        </w:tc>
      </w:tr>
      <w:tr>
        <w:trPr>
          <w:trHeight w:val="20"/>
        </w:trPr>
        <w:tc>
          <w:tcPr>
            <w:tcW w:w="1920" w:type="dxa"/>
            <w:vAlign w:val="bottom"/>
            <w:gridSpan w:val="5"/>
            <w:shd w:val="clear" w:color="auto" w:fill="0000EE"/>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260" w:type="dxa"/>
            <w:vAlign w:val="bottom"/>
            <w:gridSpan w:val="21"/>
          </w:tcPr>
          <w:p>
            <w:pPr>
              <w:spacing w:after="0"/>
              <w:rPr>
                <w:sz w:val="20"/>
                <w:szCs w:val="20"/>
                <w:color w:val="auto"/>
              </w:rPr>
            </w:pPr>
            <w:r>
              <w:rPr>
                <w:rFonts w:ascii="Arial" w:cs="Arial" w:eastAsia="Arial" w:hAnsi="Arial"/>
                <w:sz w:val="18"/>
                <w:szCs w:val="18"/>
                <w:b w:val="1"/>
                <w:bCs w:val="1"/>
                <w:color w:val="0000EE"/>
                <w:w w:val="98"/>
              </w:rPr>
              <w:t>ANNUAL REPORT AND FINANCIAL STATEMENTS</w:t>
            </w:r>
          </w:p>
        </w:tc>
        <w:tc>
          <w:tcPr>
            <w:tcW w:w="3840" w:type="dxa"/>
            <w:vAlign w:val="bottom"/>
            <w:gridSpan w:val="9"/>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0000EE"/>
              </w:rPr>
              <w:t>65</w:t>
            </w:r>
          </w:p>
        </w:tc>
        <w:tc>
          <w:tcPr>
            <w:tcW w:w="0" w:type="dxa"/>
            <w:vAlign w:val="bottom"/>
          </w:tcPr>
          <w:p>
            <w:pPr>
              <w:spacing w:after="0"/>
              <w:rPr>
                <w:sz w:val="1"/>
                <w:szCs w:val="1"/>
                <w:color w:val="auto"/>
              </w:rPr>
            </w:pPr>
          </w:p>
        </w:tc>
      </w:tr>
      <w:tr>
        <w:trPr>
          <w:trHeight w:val="20"/>
        </w:trPr>
        <w:tc>
          <w:tcPr>
            <w:tcW w:w="1920" w:type="dxa"/>
            <w:vAlign w:val="bottom"/>
            <w:gridSpan w:val="5"/>
            <w:shd w:val="clear" w:color="auto" w:fill="0000EE"/>
          </w:tcPr>
          <w:p>
            <w:pPr>
              <w:spacing w:after="0" w:line="20" w:lineRule="exact"/>
              <w:rPr>
                <w:sz w:val="1"/>
                <w:szCs w:val="1"/>
                <w:color w:val="auto"/>
              </w:rPr>
            </w:pPr>
          </w:p>
        </w:tc>
        <w:tc>
          <w:tcPr>
            <w:tcW w:w="2340" w:type="dxa"/>
            <w:vAlign w:val="bottom"/>
            <w:gridSpan w:val="16"/>
            <w:shd w:val="clear" w:color="auto" w:fill="0000EE"/>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540" w:type="dxa"/>
            <w:vAlign w:val="bottom"/>
            <w:gridSpan w:val="25"/>
          </w:tcPr>
          <w:p>
            <w:pPr>
              <w:spacing w:after="0"/>
              <w:rPr>
                <w:sz w:val="20"/>
                <w:szCs w:val="20"/>
                <w:color w:val="auto"/>
              </w:rPr>
            </w:pPr>
            <w:r>
              <w:rPr>
                <w:rFonts w:ascii="Arial" w:cs="Arial" w:eastAsia="Arial" w:hAnsi="Arial"/>
                <w:sz w:val="18"/>
                <w:szCs w:val="18"/>
                <w:b w:val="1"/>
                <w:bCs w:val="1"/>
                <w:color w:val="0000EE"/>
                <w:w w:val="99"/>
              </w:rPr>
              <w:t>SHAREHOLDER PROPOSALS FOR THE 2024 ANNUAL MEETING</w:t>
            </w:r>
          </w:p>
        </w:tc>
        <w:tc>
          <w:tcPr>
            <w:tcW w:w="2560" w:type="dxa"/>
            <w:vAlign w:val="bottom"/>
            <w:gridSpan w:val="5"/>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0000EE"/>
              </w:rPr>
              <w:t>65</w:t>
            </w:r>
          </w:p>
        </w:tc>
        <w:tc>
          <w:tcPr>
            <w:tcW w:w="0" w:type="dxa"/>
            <w:vAlign w:val="bottom"/>
          </w:tcPr>
          <w:p>
            <w:pPr>
              <w:spacing w:after="0"/>
              <w:rPr>
                <w:sz w:val="1"/>
                <w:szCs w:val="1"/>
                <w:color w:val="auto"/>
              </w:rPr>
            </w:pPr>
          </w:p>
        </w:tc>
      </w:tr>
      <w:tr>
        <w:trPr>
          <w:trHeight w:val="20"/>
        </w:trPr>
        <w:tc>
          <w:tcPr>
            <w:tcW w:w="1920" w:type="dxa"/>
            <w:vAlign w:val="bottom"/>
            <w:gridSpan w:val="5"/>
            <w:shd w:val="clear" w:color="auto" w:fill="0000EE"/>
          </w:tcPr>
          <w:p>
            <w:pPr>
              <w:spacing w:after="0" w:line="20" w:lineRule="exact"/>
              <w:rPr>
                <w:sz w:val="1"/>
                <w:szCs w:val="1"/>
                <w:color w:val="auto"/>
              </w:rPr>
            </w:pPr>
          </w:p>
        </w:tc>
        <w:tc>
          <w:tcPr>
            <w:tcW w:w="3620" w:type="dxa"/>
            <w:vAlign w:val="bottom"/>
            <w:gridSpan w:val="20"/>
            <w:shd w:val="clear" w:color="auto" w:fill="0000EE"/>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540" w:type="dxa"/>
            <w:vAlign w:val="bottom"/>
            <w:gridSpan w:val="25"/>
          </w:tcPr>
          <w:p>
            <w:pPr>
              <w:spacing w:after="0"/>
              <w:rPr>
                <w:sz w:val="20"/>
                <w:szCs w:val="20"/>
                <w:color w:val="auto"/>
              </w:rPr>
            </w:pPr>
            <w:r>
              <w:rPr>
                <w:rFonts w:ascii="Arial" w:cs="Arial" w:eastAsia="Arial" w:hAnsi="Arial"/>
                <w:sz w:val="18"/>
                <w:szCs w:val="18"/>
                <w:b w:val="1"/>
                <w:bCs w:val="1"/>
                <w:color w:val="0000EE"/>
              </w:rPr>
              <w:t>OTHER INFORMATION</w:t>
            </w:r>
          </w:p>
        </w:tc>
        <w:tc>
          <w:tcPr>
            <w:tcW w:w="2560" w:type="dxa"/>
            <w:vAlign w:val="bottom"/>
            <w:gridSpan w:val="5"/>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0000EE"/>
              </w:rPr>
              <w:t>66</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79"/>
        <w:spacing w:after="0" w:line="247" w:lineRule="auto"/>
        <w:rPr>
          <w:sz w:val="20"/>
          <w:szCs w:val="20"/>
          <w:color w:val="auto"/>
        </w:rPr>
      </w:pPr>
      <w:r>
        <w:rPr>
          <w:rFonts w:ascii="Arial" w:cs="Arial" w:eastAsia="Arial" w:hAnsi="Arial"/>
          <w:sz w:val="18"/>
          <w:szCs w:val="18"/>
          <w:color w:val="auto"/>
        </w:rPr>
        <w:t>This proxy statement includes several website addresses and references to additional materials found on those websites. Content on the websites, including content on our Company website, is not, and shall not be deemed to be, part of this proxy statement or incorporated herein or into any of our other filings with the Securities and Exchange Commission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96520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99"/>
          </w:cols>
          <w:pgMar w:left="1360" w:top="262" w:right="1440" w:bottom="1440" w:gutter="0" w:footer="0" w:header="0"/>
        </w:sectPr>
      </w:pPr>
    </w:p>
    <w:bookmarkStart w:id="4" w:name="page5"/>
    <w:bookmarkEnd w:id="4"/>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93345</wp:posOffset>
            </wp:positionV>
            <wp:extent cx="1345565" cy="548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4556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w:t>
      </w:r>
    </w:p>
    <w:p>
      <w:pPr>
        <w:spacing w:after="0" w:line="144" w:lineRule="exact"/>
        <w:rPr>
          <w:sz w:val="20"/>
          <w:szCs w:val="20"/>
          <w:color w:val="auto"/>
        </w:rPr>
      </w:pPr>
    </w:p>
    <w:p>
      <w:pPr>
        <w:ind w:left="920" w:right="980"/>
        <w:spacing w:after="0" w:line="239" w:lineRule="auto"/>
        <w:rPr>
          <w:sz w:val="20"/>
          <w:szCs w:val="20"/>
          <w:color w:val="auto"/>
        </w:rPr>
      </w:pPr>
      <w:r>
        <w:rPr>
          <w:rFonts w:ascii="Arial" w:cs="Arial" w:eastAsia="Arial" w:hAnsi="Arial"/>
          <w:sz w:val="18"/>
          <w:szCs w:val="18"/>
          <w:color w:val="auto"/>
        </w:rPr>
        <w:t>This proxy statement is being furnished to shareholders of Itron, Inc. (the Company or Itron) in connection with the solicitation by our Board of Directors of proxies for use at the 2023 annual meeting of shareholders. The meeting is scheduled to be held on May 11, 2023, at 9:00 a.m., Pacific Time, via live webcast through the link, for the purposes listed in the accompanying Notice of Annual Meeting of Shareholders. You will need the 16-digit control number provided on the Notice of Internet Availability of Proxy Materials or your proxy card (if applicable). We have made these materials available to you over the Internet, or have delivered printed versions of these materials to you by mail, in connection with the Board’s solicitation of proxies for use at the annual meeting. This solicitation is for proxies for use at the annual meeting or at any reconvened meeting after an adjournment or postponement of the annual meeting. The Company’s principal executive office is at 2111 North Molter Road, Liberty Lake, Washington, 99019.</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Attending the Annual Meeting</w:t>
      </w:r>
    </w:p>
    <w:p>
      <w:pPr>
        <w:spacing w:after="0" w:line="144" w:lineRule="exact"/>
        <w:rPr>
          <w:sz w:val="20"/>
          <w:szCs w:val="20"/>
          <w:color w:val="auto"/>
        </w:rPr>
      </w:pPr>
    </w:p>
    <w:p>
      <w:pPr>
        <w:ind w:left="920" w:right="1000"/>
        <w:spacing w:after="0" w:line="256" w:lineRule="auto"/>
        <w:rPr>
          <w:sz w:val="20"/>
          <w:szCs w:val="20"/>
          <w:color w:val="auto"/>
        </w:rPr>
      </w:pPr>
      <w:r>
        <w:rPr>
          <w:rFonts w:ascii="Arial" w:cs="Arial" w:eastAsia="Arial" w:hAnsi="Arial"/>
          <w:sz w:val="17"/>
          <w:szCs w:val="17"/>
          <w:color w:val="auto"/>
        </w:rPr>
        <w:t xml:space="preserve">You are entitled to attend the virtual annual meeting only if you were a shareholder of record as of the Record Date for the annual meeting, or you hold a valid proxy for the annual meeting. You may attend the annual meeting, vote, and submit a question during the annual meeting by visiting </w:t>
      </w:r>
      <w:r>
        <w:rPr>
          <w:rFonts w:ascii="Arial" w:cs="Arial" w:eastAsia="Arial" w:hAnsi="Arial"/>
          <w:sz w:val="17"/>
          <w:szCs w:val="17"/>
          <w:b w:val="1"/>
          <w:bCs w:val="1"/>
          <w:color w:val="auto"/>
        </w:rPr>
        <w:t>www.virtualshareholdermeeting.com/ITRI2023</w:t>
      </w:r>
      <w:r>
        <w:rPr>
          <w:rFonts w:ascii="Arial" w:cs="Arial" w:eastAsia="Arial" w:hAnsi="Arial"/>
          <w:sz w:val="17"/>
          <w:szCs w:val="17"/>
          <w:color w:val="auto"/>
        </w:rPr>
        <w:t xml:space="preserve"> and using your 16-digit control number to enter the meeting. If you are not a shareholder of record but hold shares as a beneficial owner in street name, you may be required to provide proof of beneficial ownership, such as your most recent account statement as of the Record Date, a copy of the voting instruction form provided by your broker, bank, trustee, or nominee, or other similar evidence of ownership. If you do not comply with the procedures outlined above, you will not be admitted to the virtual annual meeting.</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Internet Availability of Annual Meeting Materials</w:t>
      </w:r>
    </w:p>
    <w:p>
      <w:pPr>
        <w:spacing w:after="0" w:line="144" w:lineRule="exact"/>
        <w:rPr>
          <w:sz w:val="20"/>
          <w:szCs w:val="20"/>
          <w:color w:val="auto"/>
        </w:rPr>
      </w:pPr>
    </w:p>
    <w:p>
      <w:pPr>
        <w:ind w:left="920" w:right="940"/>
        <w:spacing w:after="0" w:line="244" w:lineRule="auto"/>
        <w:rPr>
          <w:sz w:val="20"/>
          <w:szCs w:val="20"/>
          <w:color w:val="auto"/>
        </w:rPr>
      </w:pPr>
      <w:r>
        <w:rPr>
          <w:rFonts w:ascii="Arial" w:cs="Arial" w:eastAsia="Arial" w:hAnsi="Arial"/>
          <w:sz w:val="18"/>
          <w:szCs w:val="18"/>
          <w:color w:val="auto"/>
        </w:rPr>
        <w:t>Our proxy materials will be available for you to access over the Internet. On or about March 21, 2023, we will mail to our shareholders a Notice of Internet Availability of Proxy Materials (Notice) directing shareholders to the website provided on the Notice where they can access our proxy materials and view instructions on how to vote via the Internet or by phone. The Notice will also provide instructions for obtaining paper copies of the proxy materials and a proxy card, if requested by a shareholder.</w:t>
      </w:r>
    </w:p>
    <w:p>
      <w:pPr>
        <w:spacing w:after="0" w:line="13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proxy materials will be available for you to review online:</w:t>
      </w:r>
    </w:p>
    <w:p>
      <w:pPr>
        <w:spacing w:after="0" w:line="144" w:lineRule="exact"/>
        <w:rPr>
          <w:sz w:val="20"/>
          <w:szCs w:val="20"/>
          <w:color w:val="auto"/>
        </w:rPr>
      </w:pPr>
    </w:p>
    <w:p>
      <w:pPr>
        <w:ind w:left="1620" w:hanging="346"/>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Notice of Annual Meeting of Shareholders;</w:t>
      </w:r>
    </w:p>
    <w:p>
      <w:pPr>
        <w:spacing w:after="0" w:line="144" w:lineRule="exact"/>
        <w:rPr>
          <w:rFonts w:ascii="Arial" w:cs="Arial" w:eastAsia="Arial" w:hAnsi="Arial"/>
          <w:sz w:val="18"/>
          <w:szCs w:val="18"/>
          <w:color w:val="auto"/>
        </w:rPr>
      </w:pPr>
    </w:p>
    <w:p>
      <w:pPr>
        <w:ind w:left="1620" w:hanging="346"/>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2023 Proxy Statement;</w:t>
      </w:r>
    </w:p>
    <w:p>
      <w:pPr>
        <w:spacing w:after="0" w:line="130" w:lineRule="exact"/>
        <w:rPr>
          <w:rFonts w:ascii="Arial" w:cs="Arial" w:eastAsia="Arial" w:hAnsi="Arial"/>
          <w:sz w:val="18"/>
          <w:szCs w:val="18"/>
          <w:color w:val="auto"/>
        </w:rPr>
      </w:pPr>
    </w:p>
    <w:p>
      <w:pPr>
        <w:ind w:left="1620" w:right="1420" w:hanging="346"/>
        <w:spacing w:after="0" w:line="271"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Annual Report to Shareholders for the year ended December 31, 2022 (which is not deemed to be part of the official proxy soliciting materials); and</w:t>
      </w:r>
    </w:p>
    <w:p>
      <w:pPr>
        <w:spacing w:after="0" w:line="86" w:lineRule="exact"/>
        <w:rPr>
          <w:rFonts w:ascii="Arial" w:cs="Arial" w:eastAsia="Arial" w:hAnsi="Arial"/>
          <w:sz w:val="18"/>
          <w:szCs w:val="18"/>
          <w:color w:val="auto"/>
        </w:rPr>
      </w:pPr>
    </w:p>
    <w:p>
      <w:pPr>
        <w:ind w:left="1620" w:right="1140" w:hanging="346"/>
        <w:spacing w:after="0" w:line="271" w:lineRule="auto"/>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amendments to the foregoing materials that may be required to be furnished to the shareholders by the Securities and Exchange Commission.</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Proposals to Be Voted on at the Annual Meeting</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 the annual meeting, we will consider and vote on the following proposals:</w:t>
      </w:r>
    </w:p>
    <w:p>
      <w:pPr>
        <w:spacing w:after="0" w:line="171" w:lineRule="exact"/>
        <w:rPr>
          <w:sz w:val="20"/>
          <w:szCs w:val="20"/>
          <w:color w:val="auto"/>
        </w:rPr>
      </w:pPr>
    </w:p>
    <w:p>
      <w:pPr>
        <w:ind w:left="1620" w:right="1220" w:hanging="346"/>
        <w:spacing w:after="0" w:line="253"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three directors to the Itron, Inc. Board of Directors, one for a term of two years ending upon our 2025 annual meeting of shareholders, and two for a term of three years ending upon our 2026 annual meeting of shareholders;</w:t>
      </w:r>
    </w:p>
    <w:p>
      <w:pPr>
        <w:spacing w:after="0" w:line="141" w:lineRule="exact"/>
        <w:rPr>
          <w:rFonts w:ascii="Arial" w:cs="Arial" w:eastAsia="Arial" w:hAnsi="Arial"/>
          <w:sz w:val="18"/>
          <w:szCs w:val="18"/>
          <w:color w:val="auto"/>
        </w:rPr>
      </w:pPr>
    </w:p>
    <w:p>
      <w:pPr>
        <w:ind w:left="1620" w:right="1280" w:hanging="346"/>
        <w:spacing w:after="0" w:line="271" w:lineRule="auto"/>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of our named executive officers for the fiscal year ended December 31, 2022 (Say-on-Pay vote);</w:t>
      </w:r>
    </w:p>
    <w:p>
      <w:pPr>
        <w:spacing w:after="0" w:line="113" w:lineRule="exact"/>
        <w:rPr>
          <w:rFonts w:ascii="Arial" w:cs="Arial" w:eastAsia="Arial" w:hAnsi="Arial"/>
          <w:sz w:val="18"/>
          <w:szCs w:val="18"/>
          <w:color w:val="auto"/>
        </w:rPr>
      </w:pPr>
    </w:p>
    <w:p>
      <w:pPr>
        <w:ind w:left="1620" w:right="940" w:hanging="346"/>
        <w:spacing w:after="0" w:line="301" w:lineRule="auto"/>
        <w:tabs>
          <w:tab w:leader="none" w:pos="1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hold a non-binding advisory vote to approve the frequency of future advisory votes on the compensation we pay our named executive officers (every one, two or three years) (Say-on-Frequency vote);</w:t>
      </w:r>
    </w:p>
    <w:p>
      <w:pPr>
        <w:spacing w:after="0" w:line="90" w:lineRule="exact"/>
        <w:rPr>
          <w:rFonts w:ascii="Arial" w:cs="Arial" w:eastAsia="Arial" w:hAnsi="Arial"/>
          <w:sz w:val="17"/>
          <w:szCs w:val="17"/>
          <w:color w:val="auto"/>
        </w:rPr>
      </w:pPr>
    </w:p>
    <w:p>
      <w:pPr>
        <w:ind w:left="1620" w:hanging="346"/>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approve the amendment of the Itron, Inc. 2012 Employee Stock Purchase Plan;</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80" w:type="dxa"/>
            <w:vAlign w:val="bottom"/>
          </w:tcPr>
          <w:p>
            <w:pPr>
              <w:ind w:left="920"/>
              <w:spacing w:after="0"/>
              <w:rPr>
                <w:sz w:val="20"/>
                <w:szCs w:val="20"/>
                <w:color w:val="auto"/>
              </w:rPr>
            </w:pPr>
            <w:r>
              <w:rPr>
                <w:rFonts w:ascii="Arial" w:cs="Arial" w:eastAsia="Arial" w:hAnsi="Arial"/>
                <w:sz w:val="13"/>
                <w:szCs w:val="13"/>
                <w:color w:val="auto"/>
              </w:rPr>
              <w:t> </w:t>
            </w:r>
          </w:p>
        </w:tc>
        <w:tc>
          <w:tcPr>
            <w:tcW w:w="7840" w:type="dxa"/>
            <w:vAlign w:val="bottom"/>
          </w:tcPr>
          <w:p>
            <w:pPr>
              <w:jc w:val="right"/>
              <w:ind w:right="5310"/>
              <w:spacing w:after="0"/>
              <w:rPr>
                <w:sz w:val="20"/>
                <w:szCs w:val="20"/>
                <w:color w:val="auto"/>
              </w:rPr>
            </w:pPr>
            <w:r>
              <w:rPr>
                <w:rFonts w:ascii="Arial" w:cs="Arial" w:eastAsia="Arial" w:hAnsi="Arial"/>
                <w:sz w:val="18"/>
                <w:szCs w:val="18"/>
                <w:color w:val="auto"/>
              </w:rPr>
              <w:t>-1-</w:t>
            </w:r>
          </w:p>
        </w:tc>
      </w:tr>
      <w:tr>
        <w:trPr>
          <w:trHeight w:val="233"/>
        </w:trPr>
        <w:tc>
          <w:tcPr>
            <w:tcW w:w="3180" w:type="dxa"/>
            <w:vAlign w:val="bottom"/>
            <w:tcBorders>
              <w:bottom w:val="single" w:sz="8" w:color="auto"/>
            </w:tcBorders>
          </w:tcPr>
          <w:p>
            <w:pPr>
              <w:spacing w:after="0"/>
              <w:rPr>
                <w:sz w:val="20"/>
                <w:szCs w:val="20"/>
                <w:color w:val="auto"/>
              </w:rPr>
            </w:pPr>
          </w:p>
        </w:tc>
        <w:tc>
          <w:tcPr>
            <w:tcW w:w="784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263" w:right="439" w:bottom="1440" w:gutter="0" w:footer="0" w:header="0"/>
        </w:sectPr>
      </w:pPr>
    </w:p>
    <w:bookmarkStart w:id="5" w:name="page6"/>
    <w:bookmarkEnd w:id="5"/>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1620" w:right="1540" w:hanging="346"/>
        <w:spacing w:after="0" w:line="271"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the Company’s independent registered public accountant for the 2023 fiscal year; and</w:t>
      </w:r>
    </w:p>
    <w:p>
      <w:pPr>
        <w:spacing w:after="0" w:line="126" w:lineRule="exact"/>
        <w:rPr>
          <w:rFonts w:ascii="Arial" w:cs="Arial" w:eastAsia="Arial" w:hAnsi="Arial"/>
          <w:sz w:val="18"/>
          <w:szCs w:val="18"/>
          <w:color w:val="auto"/>
        </w:rPr>
      </w:pPr>
    </w:p>
    <w:p>
      <w:pPr>
        <w:ind w:left="1620" w:hanging="346"/>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any other business that may properly come before the annual meeting.</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Record Date and Outstanding Shares</w:t>
      </w:r>
    </w:p>
    <w:p>
      <w:pPr>
        <w:spacing w:after="0" w:line="185" w:lineRule="exact"/>
        <w:rPr>
          <w:sz w:val="20"/>
          <w:szCs w:val="20"/>
          <w:color w:val="auto"/>
        </w:rPr>
      </w:pPr>
    </w:p>
    <w:p>
      <w:pPr>
        <w:ind w:left="920" w:right="940"/>
        <w:spacing w:after="0" w:line="239" w:lineRule="auto"/>
        <w:rPr>
          <w:sz w:val="20"/>
          <w:szCs w:val="20"/>
          <w:color w:val="auto"/>
        </w:rPr>
      </w:pPr>
      <w:r>
        <w:rPr>
          <w:rFonts w:ascii="Arial" w:cs="Arial" w:eastAsia="Arial" w:hAnsi="Arial"/>
          <w:sz w:val="18"/>
          <w:szCs w:val="18"/>
          <w:color w:val="auto"/>
        </w:rPr>
        <w:t>Holders of record of our common stock at the close of business on March 7, 2023, are entitled to notice of, and to vote at, the annual meeting. On the record date, there were 45,404,344 shares of our common stock outstanding. Each outstanding share of our common stock will entitle its holder to one vote on each of the three directors to be elected and one vote on each other matter to be voted on at the annual meeting. Each of our directors and executive officers intends to vote or direct the vote of all shares of common stock over which he or she has voting control in favor of: (1) the election of the nominees for director; (2) the advisory approval of the compensation we paid our named executive officers in 2022; (3) the advisory approval of the frequency of future advisory votes on executive compensation; (4) the approval of the amendment of the Itron, Inc. 2012 Employee Stock Purchase Plan; and (5) the ratification of Deloitte &amp; Touche LLP as our independent registered public accountant for the 2023 fiscal year.</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Quorum and Voting</w:t>
      </w:r>
    </w:p>
    <w:p>
      <w:pPr>
        <w:spacing w:after="0" w:line="185" w:lineRule="exact"/>
        <w:rPr>
          <w:sz w:val="20"/>
          <w:szCs w:val="20"/>
          <w:color w:val="auto"/>
        </w:rPr>
      </w:pPr>
    </w:p>
    <w:p>
      <w:pPr>
        <w:ind w:left="920" w:right="1180"/>
        <w:spacing w:after="0"/>
        <w:rPr>
          <w:sz w:val="20"/>
          <w:szCs w:val="20"/>
          <w:color w:val="auto"/>
        </w:rPr>
      </w:pPr>
      <w:r>
        <w:rPr>
          <w:rFonts w:ascii="Arial" w:cs="Arial" w:eastAsia="Arial" w:hAnsi="Arial"/>
          <w:sz w:val="18"/>
          <w:szCs w:val="18"/>
          <w:color w:val="auto"/>
        </w:rPr>
        <w:t>Each shareholder is entitled to one vote per share of common stock held on each matter to be voted on. Our annual meeting will be through a virtual-only format solely through means of remote communication, and participation by such means shall constitute presence in person at the meeting. The presence at the annual meeting, in person or by proxy, of holders of a majority of the outstanding shares of common stock on the record date will constitute a quorum. Attendance by abstentions and “broker non-votes” (shares held by a broker or nominee who does not have the authority, express or discretionary, to vote on a particular matter) on any of the proposals to be voted on will be counted only for purposes of determining the presence of a quorum.</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summarizes the votes required for passage of each proposal:</w:t>
      </w:r>
    </w:p>
    <w:p>
      <w:pPr>
        <w:spacing w:after="0" w:line="185" w:lineRule="exact"/>
        <w:rPr>
          <w:sz w:val="20"/>
          <w:szCs w:val="20"/>
          <w:color w:val="auto"/>
        </w:rPr>
      </w:pPr>
    </w:p>
    <w:p>
      <w:pPr>
        <w:ind w:left="920" w:right="960"/>
        <w:spacing w:after="0"/>
        <w:rPr>
          <w:sz w:val="20"/>
          <w:szCs w:val="20"/>
          <w:color w:val="auto"/>
        </w:rPr>
      </w:pPr>
      <w:r>
        <w:rPr>
          <w:rFonts w:ascii="Arial" w:cs="Arial" w:eastAsia="Arial" w:hAnsi="Arial"/>
          <w:sz w:val="18"/>
          <w:szCs w:val="18"/>
          <w:i w:val="1"/>
          <w:iCs w:val="1"/>
          <w:u w:val="single" w:color="auto"/>
          <w:color w:val="auto"/>
        </w:rPr>
        <w:t>Proposal One – Election of Directors</w:t>
      </w:r>
      <w:r>
        <w:rPr>
          <w:rFonts w:ascii="Arial" w:cs="Arial" w:eastAsia="Arial" w:hAnsi="Arial"/>
          <w:sz w:val="18"/>
          <w:szCs w:val="18"/>
          <w:color w:val="auto"/>
        </w:rPr>
        <w:t>: Each nominee for director is elected by the vote of the majority of the votes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cast with respect to that director’s election (meaning the number of votes cast “for” a nominee must exceed the number of votes cast “against” such nominee). Holders of common stock are not entitled to cumulative votes in the election of directors. Abstentions from voting on this matter will not be counted. Brokers and other holders of record do not have discretionary voting authority to vote your shares in the election of directors, absent voting instructions from you. Therefore, if you are a beneficial shareholder and do not provide voting instructions on proposal number one to the holder of record for your shares, they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be voted in the election of directors.</w:t>
      </w:r>
    </w:p>
    <w:p>
      <w:pPr>
        <w:spacing w:after="0" w:line="144" w:lineRule="exact"/>
        <w:rPr>
          <w:sz w:val="20"/>
          <w:szCs w:val="20"/>
          <w:color w:val="auto"/>
        </w:rPr>
      </w:pPr>
    </w:p>
    <w:p>
      <w:pPr>
        <w:ind w:left="920" w:right="940"/>
        <w:spacing w:after="0" w:line="259" w:lineRule="auto"/>
        <w:rPr>
          <w:sz w:val="20"/>
          <w:szCs w:val="20"/>
          <w:color w:val="auto"/>
        </w:rPr>
      </w:pPr>
      <w:r>
        <w:rPr>
          <w:rFonts w:ascii="Arial" w:cs="Arial" w:eastAsia="Arial" w:hAnsi="Arial"/>
          <w:sz w:val="17"/>
          <w:szCs w:val="17"/>
          <w:i w:val="1"/>
          <w:iCs w:val="1"/>
          <w:u w:val="single" w:color="auto"/>
          <w:color w:val="auto"/>
        </w:rPr>
        <w:t>Proposal Two – Say-on-Pay Vote (non-binding)</w:t>
      </w:r>
      <w:r>
        <w:rPr>
          <w:rFonts w:ascii="Arial" w:cs="Arial" w:eastAsia="Arial" w:hAnsi="Arial"/>
          <w:sz w:val="17"/>
          <w:szCs w:val="17"/>
          <w:color w:val="auto"/>
        </w:rPr>
        <w:t>: The non-binding advisory vote on this proposal will be approved if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majority of votes cast are in favor of the proposal (meaning the number of votes cast “for” the proposal must exceed the number of votes cast “against” the proposal). Abstentions from voting on this matter will not be counted. Brokers and other holders of record do not have discretionary voting authority to vote your shares for this proposal, absent voting instructions from you. Therefore, if you are a beneficial shareholder and do not provide voting instructions on proposal number two to the holder of record for your shares, they will </w:t>
      </w:r>
      <w:r>
        <w:rPr>
          <w:rFonts w:ascii="Arial" w:cs="Arial" w:eastAsia="Arial" w:hAnsi="Arial"/>
          <w:sz w:val="17"/>
          <w:szCs w:val="17"/>
          <w:i w:val="1"/>
          <w:iCs w:val="1"/>
          <w:color w:val="auto"/>
        </w:rPr>
        <w:t>not</w:t>
      </w:r>
      <w:r>
        <w:rPr>
          <w:rFonts w:ascii="Arial" w:cs="Arial" w:eastAsia="Arial" w:hAnsi="Arial"/>
          <w:sz w:val="17"/>
          <w:szCs w:val="17"/>
          <w:color w:val="auto"/>
        </w:rPr>
        <w:t xml:space="preserve"> be voted on this proposal.</w:t>
      </w:r>
    </w:p>
    <w:p>
      <w:pPr>
        <w:spacing w:after="0" w:line="125" w:lineRule="exact"/>
        <w:rPr>
          <w:sz w:val="20"/>
          <w:szCs w:val="20"/>
          <w:color w:val="auto"/>
        </w:rPr>
      </w:pPr>
    </w:p>
    <w:p>
      <w:pPr>
        <w:ind w:left="920" w:right="1080"/>
        <w:spacing w:after="0" w:line="242" w:lineRule="auto"/>
        <w:rPr>
          <w:sz w:val="20"/>
          <w:szCs w:val="20"/>
          <w:color w:val="auto"/>
        </w:rPr>
      </w:pPr>
      <w:r>
        <w:rPr>
          <w:rFonts w:ascii="Arial" w:cs="Arial" w:eastAsia="Arial" w:hAnsi="Arial"/>
          <w:sz w:val="18"/>
          <w:szCs w:val="18"/>
          <w:i w:val="1"/>
          <w:iCs w:val="1"/>
          <w:u w:val="single" w:color="auto"/>
          <w:color w:val="auto"/>
        </w:rPr>
        <w:t>Proposal Three – Say-on-Frequency Vote (non-binding)</w:t>
      </w:r>
      <w:r>
        <w:rPr>
          <w:rFonts w:ascii="Arial" w:cs="Arial" w:eastAsia="Arial" w:hAnsi="Arial"/>
          <w:sz w:val="18"/>
          <w:szCs w:val="18"/>
          <w:color w:val="auto"/>
        </w:rPr>
        <w:t>: The plurality of the votes cast will constitute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shareholders preference on the frequency of future Say-on-Pay votes (every one, two, or three years, or you may abstain from voting). Brokers and other holders of record do not have discretionary voting authority to vote your shares for this proposal, absent voting instructions from you. Therefore, if you are a beneficial shareholder and do not provide voting instructions on proposal number three to the holder of record for your shares, they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be voted on this proposal.</w:t>
      </w:r>
    </w:p>
    <w:p>
      <w:pPr>
        <w:spacing w:after="0" w:line="152" w:lineRule="exact"/>
        <w:rPr>
          <w:sz w:val="20"/>
          <w:szCs w:val="20"/>
          <w:color w:val="auto"/>
        </w:rPr>
      </w:pPr>
    </w:p>
    <w:p>
      <w:pPr>
        <w:ind w:left="920" w:right="980"/>
        <w:spacing w:after="0"/>
        <w:rPr>
          <w:sz w:val="20"/>
          <w:szCs w:val="20"/>
          <w:color w:val="auto"/>
        </w:rPr>
      </w:pPr>
      <w:r>
        <w:rPr>
          <w:rFonts w:ascii="Arial" w:cs="Arial" w:eastAsia="Arial" w:hAnsi="Arial"/>
          <w:sz w:val="18"/>
          <w:szCs w:val="18"/>
          <w:i w:val="1"/>
          <w:iCs w:val="1"/>
          <w:u w:val="single" w:color="auto"/>
          <w:color w:val="auto"/>
        </w:rPr>
        <w:t>Proposal Four – Amendment of the Itron, Inc. 2012 Employee Stock Purchase Plan</w:t>
      </w:r>
      <w:r>
        <w:rPr>
          <w:rFonts w:ascii="Arial" w:cs="Arial" w:eastAsia="Arial" w:hAnsi="Arial"/>
          <w:sz w:val="18"/>
          <w:szCs w:val="18"/>
          <w:color w:val="auto"/>
        </w:rPr>
        <w:t>: The proposal will be approved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if the majority of the votes cast are in favor of the proposal (meaning the number of votes cast “for” the proposal must exceed the number of votes cast “against” the proposal). Abstentions from voting on this matter will not be counted. Brokers and other holders of record do not have discretionary voting authority to vote your shares for this proposal, absent voting instructions from you. Therefore, if you are a beneficial shareholder and do not provide voting instructions on proposal number three to the holder of record for your shares, they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be voted on this proposal.</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80" w:type="dxa"/>
            <w:vAlign w:val="bottom"/>
          </w:tcPr>
          <w:p>
            <w:pPr>
              <w:ind w:left="920"/>
              <w:spacing w:after="0"/>
              <w:rPr>
                <w:sz w:val="20"/>
                <w:szCs w:val="20"/>
                <w:color w:val="auto"/>
              </w:rPr>
            </w:pPr>
            <w:r>
              <w:rPr>
                <w:rFonts w:ascii="Arial" w:cs="Arial" w:eastAsia="Arial" w:hAnsi="Arial"/>
                <w:sz w:val="13"/>
                <w:szCs w:val="13"/>
                <w:color w:val="auto"/>
              </w:rPr>
              <w:t> </w:t>
            </w:r>
          </w:p>
        </w:tc>
        <w:tc>
          <w:tcPr>
            <w:tcW w:w="7840" w:type="dxa"/>
            <w:vAlign w:val="bottom"/>
          </w:tcPr>
          <w:p>
            <w:pPr>
              <w:jc w:val="right"/>
              <w:ind w:right="5310"/>
              <w:spacing w:after="0"/>
              <w:rPr>
                <w:sz w:val="20"/>
                <w:szCs w:val="20"/>
                <w:color w:val="auto"/>
              </w:rPr>
            </w:pPr>
            <w:r>
              <w:rPr>
                <w:rFonts w:ascii="Arial" w:cs="Arial" w:eastAsia="Arial" w:hAnsi="Arial"/>
                <w:sz w:val="18"/>
                <w:szCs w:val="18"/>
                <w:color w:val="auto"/>
              </w:rPr>
              <w:t>-2-</w:t>
            </w:r>
          </w:p>
        </w:tc>
      </w:tr>
      <w:tr>
        <w:trPr>
          <w:trHeight w:val="219"/>
        </w:trPr>
        <w:tc>
          <w:tcPr>
            <w:tcW w:w="3180" w:type="dxa"/>
            <w:vAlign w:val="bottom"/>
            <w:tcBorders>
              <w:bottom w:val="single" w:sz="8" w:color="auto"/>
            </w:tcBorders>
          </w:tcPr>
          <w:p>
            <w:pPr>
              <w:spacing w:after="0"/>
              <w:rPr>
                <w:sz w:val="19"/>
                <w:szCs w:val="19"/>
                <w:color w:val="auto"/>
              </w:rPr>
            </w:pPr>
          </w:p>
        </w:tc>
        <w:tc>
          <w:tcPr>
            <w:tcW w:w="784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6" w:name="page7"/>
    <w:bookmarkEnd w:id="6"/>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right="920"/>
        <w:spacing w:after="0" w:line="242" w:lineRule="auto"/>
        <w:rPr>
          <w:sz w:val="20"/>
          <w:szCs w:val="20"/>
          <w:color w:val="auto"/>
        </w:rPr>
      </w:pPr>
      <w:r>
        <w:rPr>
          <w:rFonts w:ascii="Arial" w:cs="Arial" w:eastAsia="Arial" w:hAnsi="Arial"/>
          <w:sz w:val="18"/>
          <w:szCs w:val="18"/>
          <w:i w:val="1"/>
          <w:iCs w:val="1"/>
          <w:u w:val="single" w:color="auto"/>
          <w:color w:val="auto"/>
        </w:rPr>
        <w:t>Proposal Five – Ratification of Appointment of Independent Auditor</w:t>
      </w:r>
      <w:r>
        <w:rPr>
          <w:rFonts w:ascii="Arial" w:cs="Arial" w:eastAsia="Arial" w:hAnsi="Arial"/>
          <w:sz w:val="18"/>
          <w:szCs w:val="18"/>
          <w:color w:val="auto"/>
        </w:rPr>
        <w:t>: The appointment of Deloitte &amp; Touche LLP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Company’s independent registered public accountant for 2023 will be ratified if the majority of the votes cast are in favor of the proposal (meaning the number of votes cast “for” the proposal must exceed the number of votes cast “against” the proposal). Abstentions from voting on this matter will not be counted. Brokers and other holders of record </w:t>
      </w:r>
      <w:r>
        <w:rPr>
          <w:rFonts w:ascii="Arial" w:cs="Arial" w:eastAsia="Arial" w:hAnsi="Arial"/>
          <w:sz w:val="18"/>
          <w:szCs w:val="18"/>
          <w:i w:val="1"/>
          <w:iCs w:val="1"/>
          <w:color w:val="auto"/>
        </w:rPr>
        <w:t>do</w:t>
      </w:r>
      <w:r>
        <w:rPr>
          <w:rFonts w:ascii="Arial" w:cs="Arial" w:eastAsia="Arial" w:hAnsi="Arial"/>
          <w:sz w:val="18"/>
          <w:szCs w:val="18"/>
          <w:color w:val="auto"/>
        </w:rPr>
        <w:t xml:space="preserve"> have discretionary authority to vote shares on this matter. Therefore, there will be no broker non-votes on the ratification of the Company’s independent registered public accountant.</w:t>
      </w:r>
    </w:p>
    <w:p>
      <w:pPr>
        <w:spacing w:after="0" w:line="152" w:lineRule="exact"/>
        <w:rPr>
          <w:sz w:val="20"/>
          <w:szCs w:val="20"/>
          <w:color w:val="auto"/>
        </w:rPr>
      </w:pPr>
    </w:p>
    <w:p>
      <w:pPr>
        <w:ind w:left="920" w:right="1100"/>
        <w:spacing w:after="0" w:line="255" w:lineRule="auto"/>
        <w:rPr>
          <w:sz w:val="20"/>
          <w:szCs w:val="20"/>
          <w:color w:val="auto"/>
        </w:rPr>
      </w:pPr>
      <w:r>
        <w:rPr>
          <w:rFonts w:ascii="Arial" w:cs="Arial" w:eastAsia="Arial" w:hAnsi="Arial"/>
          <w:sz w:val="17"/>
          <w:szCs w:val="17"/>
          <w:color w:val="auto"/>
        </w:rPr>
        <w:t>Unless contrary instructions are specified, if the proxy is completed and submitted (and not revoked) prior to the annual meeting, the shares represented by the proxy will be voted as follows: (i) FOR each of the three nominees presented under Proposal One, FOR Proposals Two and Four, and FOR EVERY YEAR for Proposal Three; and</w:t>
      </w:r>
    </w:p>
    <w:p>
      <w:pPr>
        <w:spacing w:after="0" w:line="2" w:lineRule="exact"/>
        <w:rPr>
          <w:sz w:val="20"/>
          <w:szCs w:val="20"/>
          <w:color w:val="auto"/>
        </w:rPr>
      </w:pPr>
    </w:p>
    <w:p>
      <w:pPr>
        <w:ind w:left="920" w:right="1240" w:hanging="6"/>
        <w:spacing w:after="0" w:line="250" w:lineRule="auto"/>
        <w:tabs>
          <w:tab w:leader="none" w:pos="117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accordance with the best judgment of the named proxies on any other matters properly brought before the annual meeting.</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How to Vote Your Shares in Person and Participate at the Annual Meeting</w:t>
      </w:r>
    </w:p>
    <w:p>
      <w:pPr>
        <w:spacing w:after="0" w:line="185" w:lineRule="exact"/>
        <w:rPr>
          <w:sz w:val="20"/>
          <w:szCs w:val="20"/>
          <w:color w:val="auto"/>
        </w:rPr>
      </w:pPr>
    </w:p>
    <w:p>
      <w:pPr>
        <w:ind w:left="920" w:right="1060"/>
        <w:spacing w:after="0"/>
        <w:rPr>
          <w:sz w:val="20"/>
          <w:szCs w:val="20"/>
          <w:color w:val="auto"/>
        </w:rPr>
      </w:pPr>
      <w:r>
        <w:rPr>
          <w:rFonts w:ascii="Arial" w:cs="Arial" w:eastAsia="Arial" w:hAnsi="Arial"/>
          <w:sz w:val="18"/>
          <w:szCs w:val="18"/>
          <w:color w:val="auto"/>
        </w:rPr>
        <w:t xml:space="preserve">This year’s annual meeting will be held entirely online. Shareholders may participate in the annual meeting by visiting the following website: </w:t>
      </w:r>
      <w:r>
        <w:rPr>
          <w:rFonts w:ascii="Arial" w:cs="Arial" w:eastAsia="Arial" w:hAnsi="Arial"/>
          <w:sz w:val="18"/>
          <w:szCs w:val="18"/>
          <w:b w:val="1"/>
          <w:bCs w:val="1"/>
          <w:color w:val="auto"/>
        </w:rPr>
        <w:t>www.virtualshareholdermeeting.com/ITRI2023</w:t>
      </w:r>
      <w:r>
        <w:rPr>
          <w:rFonts w:ascii="Arial" w:cs="Arial" w:eastAsia="Arial" w:hAnsi="Arial"/>
          <w:sz w:val="18"/>
          <w:szCs w:val="18"/>
          <w:color w:val="auto"/>
        </w:rPr>
        <w:t>. To participate in the meeting, you will need the 16-digit control number included on your Notice, on your proxy card or on the instructions that accompanied your proxy materials. Shares held in your name as the shareholder of record may be voted electronically during the annual meeting. Shares for which you are the beneficial owner but not the shareholder of record may also be voted electronically during the annual meeting. However, even if you plan to attend the annual meeting, the Company recommends that you vote your shares in advance, so that your vote will be counted if you later decide not to attend the annual meeting.</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How to Vote Your Shares without Attending the Annual Meeting</w:t>
      </w:r>
    </w:p>
    <w:p>
      <w:pPr>
        <w:spacing w:after="0" w:line="185" w:lineRule="exact"/>
        <w:rPr>
          <w:sz w:val="20"/>
          <w:szCs w:val="20"/>
          <w:color w:val="auto"/>
        </w:rPr>
      </w:pPr>
    </w:p>
    <w:p>
      <w:pPr>
        <w:ind w:left="920" w:right="980"/>
        <w:spacing w:after="0" w:line="244" w:lineRule="auto"/>
        <w:rPr>
          <w:sz w:val="20"/>
          <w:szCs w:val="20"/>
          <w:color w:val="auto"/>
        </w:rPr>
      </w:pPr>
      <w:r>
        <w:rPr>
          <w:rFonts w:ascii="Arial" w:cs="Arial" w:eastAsia="Arial" w:hAnsi="Arial"/>
          <w:sz w:val="18"/>
          <w:szCs w:val="18"/>
          <w:color w:val="auto"/>
        </w:rPr>
        <w:t>To vote your shares without attending the meeting, please follow the instructions for Internet or telephone voting on the Notice. If you request printed copies of the proxy materials by mail, you may also vote by signing and submitting your proxy card and returning it by mail, if you are the shareholder of record, or by signing the voter instruction form provided by your bank or broker and returning it by mail, if you are the beneficial owner but not the shareholder of record. This way your shares will be represented whether or not you are able to attend the meeting.</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You may vote your shares in one of several ways, depending on how you own your shares.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Registered Shareholders (Shares held in your name)</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Registered shareholders can vote in person, by Internet, by telephone, or by mail, by casting their vote as follows:</w:t>
      </w:r>
    </w:p>
    <w:p>
      <w:pPr>
        <w:spacing w:after="0" w:line="185" w:lineRule="exact"/>
        <w:rPr>
          <w:sz w:val="20"/>
          <w:szCs w:val="20"/>
          <w:color w:val="auto"/>
        </w:rPr>
      </w:pPr>
    </w:p>
    <w:p>
      <w:pPr>
        <w:ind w:left="1620" w:right="1020" w:hanging="346"/>
        <w:spacing w:after="0" w:line="253"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Accessing the Internet website specified in the Notice of Internet Availability and following the instructions provided on the website (or if printed copies of the proxy materials were requested, as specified in the printed proxy card);</w:t>
      </w:r>
    </w:p>
    <w:p>
      <w:pPr>
        <w:spacing w:after="0" w:line="128" w:lineRule="exact"/>
        <w:rPr>
          <w:rFonts w:ascii="Arial" w:cs="Arial" w:eastAsia="Arial" w:hAnsi="Arial"/>
          <w:sz w:val="18"/>
          <w:szCs w:val="18"/>
          <w:color w:val="auto"/>
        </w:rPr>
      </w:pPr>
    </w:p>
    <w:p>
      <w:pPr>
        <w:jc w:val="both"/>
        <w:ind w:left="1620" w:right="1060" w:hanging="346"/>
        <w:spacing w:after="0" w:line="253" w:lineRule="auto"/>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Requesting a printed proxy card and either calling the telephone number specified on the proxy card and following the instructions provided on the phone line, or completing, signing, dating, and promptly mailing the proxy card in the envelope provided; or</w:t>
      </w:r>
    </w:p>
    <w:p>
      <w:pPr>
        <w:spacing w:after="0" w:line="128" w:lineRule="exact"/>
        <w:rPr>
          <w:rFonts w:ascii="Arial" w:cs="Arial" w:eastAsia="Arial" w:hAnsi="Arial"/>
          <w:sz w:val="18"/>
          <w:szCs w:val="18"/>
          <w:color w:val="auto"/>
        </w:rPr>
      </w:pPr>
    </w:p>
    <w:p>
      <w:pPr>
        <w:ind w:left="1620" w:hanging="346"/>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Attending and voting in person at the annual meeting.</w:t>
      </w:r>
    </w:p>
    <w:p>
      <w:pPr>
        <w:spacing w:after="0" w:line="225" w:lineRule="exact"/>
        <w:rPr>
          <w:sz w:val="20"/>
          <w:szCs w:val="20"/>
          <w:color w:val="auto"/>
        </w:rPr>
      </w:pPr>
    </w:p>
    <w:p>
      <w:pPr>
        <w:ind w:left="920" w:right="1460"/>
        <w:spacing w:after="0" w:line="281" w:lineRule="auto"/>
        <w:rPr>
          <w:sz w:val="20"/>
          <w:szCs w:val="20"/>
          <w:color w:val="auto"/>
        </w:rPr>
      </w:pPr>
      <w:r>
        <w:rPr>
          <w:rFonts w:ascii="Arial" w:cs="Arial" w:eastAsia="Arial" w:hAnsi="Arial"/>
          <w:sz w:val="18"/>
          <w:szCs w:val="18"/>
          <w:b w:val="1"/>
          <w:bCs w:val="1"/>
          <w:u w:val="single" w:color="auto"/>
          <w:color w:val="auto"/>
        </w:rPr>
        <w:t>Beneficial Shareholders (Shares held in the name of a broker, bank, or other holder of record on your behalf)</w:t>
      </w:r>
    </w:p>
    <w:p>
      <w:pPr>
        <w:spacing w:after="0" w:line="96" w:lineRule="exact"/>
        <w:rPr>
          <w:sz w:val="20"/>
          <w:szCs w:val="20"/>
          <w:color w:val="auto"/>
        </w:rPr>
      </w:pPr>
    </w:p>
    <w:p>
      <w:pPr>
        <w:ind w:left="920" w:right="1560"/>
        <w:spacing w:after="0" w:line="301" w:lineRule="auto"/>
        <w:rPr>
          <w:sz w:val="20"/>
          <w:szCs w:val="20"/>
          <w:color w:val="auto"/>
        </w:rPr>
      </w:pPr>
      <w:r>
        <w:rPr>
          <w:rFonts w:ascii="Arial" w:cs="Arial" w:eastAsia="Arial" w:hAnsi="Arial"/>
          <w:sz w:val="17"/>
          <w:szCs w:val="17"/>
          <w:color w:val="auto"/>
        </w:rPr>
        <w:t>If your shares are held in the name of a broker, bank, or other nominee or holder of record, follow the voting instructions on the voting instruction form provided to you by the holder of record to vote your shares.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80" w:type="dxa"/>
            <w:vAlign w:val="bottom"/>
          </w:tcPr>
          <w:p>
            <w:pPr>
              <w:ind w:left="920"/>
              <w:spacing w:after="0"/>
              <w:rPr>
                <w:sz w:val="20"/>
                <w:szCs w:val="20"/>
                <w:color w:val="auto"/>
              </w:rPr>
            </w:pPr>
            <w:r>
              <w:rPr>
                <w:rFonts w:ascii="Arial" w:cs="Arial" w:eastAsia="Arial" w:hAnsi="Arial"/>
                <w:sz w:val="13"/>
                <w:szCs w:val="13"/>
                <w:color w:val="auto"/>
              </w:rPr>
              <w:t> </w:t>
            </w:r>
          </w:p>
        </w:tc>
        <w:tc>
          <w:tcPr>
            <w:tcW w:w="7840" w:type="dxa"/>
            <w:vAlign w:val="bottom"/>
          </w:tcPr>
          <w:p>
            <w:pPr>
              <w:jc w:val="right"/>
              <w:ind w:right="5310"/>
              <w:spacing w:after="0"/>
              <w:rPr>
                <w:sz w:val="20"/>
                <w:szCs w:val="20"/>
                <w:color w:val="auto"/>
              </w:rPr>
            </w:pPr>
            <w:r>
              <w:rPr>
                <w:rFonts w:ascii="Arial" w:cs="Arial" w:eastAsia="Arial" w:hAnsi="Arial"/>
                <w:sz w:val="18"/>
                <w:szCs w:val="18"/>
                <w:color w:val="auto"/>
              </w:rPr>
              <w:t>-3-</w:t>
            </w:r>
          </w:p>
        </w:tc>
      </w:tr>
      <w:tr>
        <w:trPr>
          <w:trHeight w:val="233"/>
        </w:trPr>
        <w:tc>
          <w:tcPr>
            <w:tcW w:w="3180" w:type="dxa"/>
            <w:vAlign w:val="bottom"/>
            <w:tcBorders>
              <w:bottom w:val="single" w:sz="8" w:color="auto"/>
            </w:tcBorders>
          </w:tcPr>
          <w:p>
            <w:pPr>
              <w:spacing w:after="0"/>
              <w:rPr>
                <w:sz w:val="20"/>
                <w:szCs w:val="20"/>
                <w:color w:val="auto"/>
              </w:rPr>
            </w:pPr>
          </w:p>
        </w:tc>
        <w:tc>
          <w:tcPr>
            <w:tcW w:w="784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263" w:right="439" w:bottom="1440" w:gutter="0" w:footer="0" w:header="0"/>
        </w:sectPr>
      </w:pPr>
    </w:p>
    <w:bookmarkStart w:id="7" w:name="page8"/>
    <w:bookmarkEnd w:id="7"/>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Revocability of Proxies</w:t>
      </w:r>
    </w:p>
    <w:p>
      <w:pPr>
        <w:spacing w:after="0" w:line="185" w:lineRule="exact"/>
        <w:rPr>
          <w:sz w:val="20"/>
          <w:szCs w:val="20"/>
          <w:color w:val="auto"/>
        </w:rPr>
      </w:pPr>
    </w:p>
    <w:p>
      <w:pPr>
        <w:ind w:left="920" w:right="1020"/>
        <w:spacing w:after="0" w:line="253" w:lineRule="auto"/>
        <w:rPr>
          <w:sz w:val="20"/>
          <w:szCs w:val="20"/>
          <w:color w:val="auto"/>
        </w:rPr>
      </w:pPr>
      <w:r>
        <w:rPr>
          <w:rFonts w:ascii="Arial" w:cs="Arial" w:eastAsia="Arial" w:hAnsi="Arial"/>
          <w:sz w:val="18"/>
          <w:szCs w:val="18"/>
          <w:color w:val="auto"/>
        </w:rPr>
        <w:t>Shares represented at the annual meeting by properly signed proxies will be voted at the annual meeting in accordance with the instructions given in the proxy. A shareholder may revoke a proxy at any time before the vote. Mere attendance at the annual meeting will not revoke a proxy. A proxy may be revoked only by:</w:t>
      </w:r>
    </w:p>
    <w:p>
      <w:pPr>
        <w:spacing w:after="0" w:line="128" w:lineRule="exact"/>
        <w:rPr>
          <w:sz w:val="20"/>
          <w:szCs w:val="20"/>
          <w:color w:val="auto"/>
        </w:rPr>
      </w:pPr>
    </w:p>
    <w:p>
      <w:pPr>
        <w:ind w:left="1620" w:right="1040" w:hanging="346"/>
        <w:spacing w:after="0" w:line="271"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submitting a later-dated proxy by mail, by Internet or by telephone for the same shares at any time before the proxy is voted;</w:t>
      </w:r>
    </w:p>
    <w:p>
      <w:pPr>
        <w:spacing w:after="0" w:line="113" w:lineRule="exact"/>
        <w:rPr>
          <w:rFonts w:ascii="Arial" w:cs="Arial" w:eastAsia="Arial" w:hAnsi="Arial"/>
          <w:sz w:val="18"/>
          <w:szCs w:val="18"/>
          <w:color w:val="auto"/>
        </w:rPr>
      </w:pPr>
    </w:p>
    <w:p>
      <w:pPr>
        <w:ind w:left="1620" w:right="1160" w:hanging="346"/>
        <w:spacing w:after="0" w:line="271"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delivering written notice of revocation to the Corporate Secretary of the Company at any time before the vote; or</w:t>
      </w:r>
    </w:p>
    <w:p>
      <w:pPr>
        <w:spacing w:after="0" w:line="126" w:lineRule="exact"/>
        <w:rPr>
          <w:rFonts w:ascii="Arial" w:cs="Arial" w:eastAsia="Arial" w:hAnsi="Arial"/>
          <w:sz w:val="18"/>
          <w:szCs w:val="18"/>
          <w:color w:val="auto"/>
        </w:rPr>
      </w:pPr>
    </w:p>
    <w:p>
      <w:pPr>
        <w:ind w:left="1620" w:hanging="346"/>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attending the annual meeting </w:t>
      </w:r>
      <w:r>
        <w:rPr>
          <w:rFonts w:ascii="Arial" w:cs="Arial" w:eastAsia="Arial" w:hAnsi="Arial"/>
          <w:sz w:val="18"/>
          <w:szCs w:val="18"/>
          <w:i w:val="1"/>
          <w:iCs w:val="1"/>
          <w:color w:val="auto"/>
        </w:rPr>
        <w:t>and</w:t>
      </w:r>
      <w:r>
        <w:rPr>
          <w:rFonts w:ascii="Arial" w:cs="Arial" w:eastAsia="Arial" w:hAnsi="Arial"/>
          <w:sz w:val="18"/>
          <w:szCs w:val="18"/>
          <w:color w:val="auto"/>
        </w:rPr>
        <w:t xml:space="preserve"> voting in person.</w:t>
      </w:r>
    </w:p>
    <w:p>
      <w:pPr>
        <w:spacing w:after="0" w:line="171" w:lineRule="exact"/>
        <w:rPr>
          <w:sz w:val="20"/>
          <w:szCs w:val="20"/>
          <w:color w:val="auto"/>
        </w:rPr>
      </w:pPr>
    </w:p>
    <w:p>
      <w:pPr>
        <w:ind w:left="920" w:right="1400"/>
        <w:spacing w:after="0" w:line="247" w:lineRule="auto"/>
        <w:rPr>
          <w:sz w:val="20"/>
          <w:szCs w:val="20"/>
          <w:color w:val="auto"/>
        </w:rPr>
      </w:pPr>
      <w:r>
        <w:rPr>
          <w:rFonts w:ascii="Arial" w:cs="Arial" w:eastAsia="Arial" w:hAnsi="Arial"/>
          <w:sz w:val="18"/>
          <w:szCs w:val="18"/>
          <w:color w:val="auto"/>
        </w:rPr>
        <w:t>If the annual meeting is postponed or adjourned for any reason, at any subsequent reconvening of the annual meeting, all proxies will be voted in the same manner as the proxies would have been voted at the original convening of the annual meeting (except for any proxies that have at that time effectively been revoked or withdrawn).</w:t>
      </w:r>
    </w:p>
    <w:p>
      <w:pPr>
        <w:spacing w:after="0" w:line="17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Proxy Solicitation</w:t>
      </w:r>
    </w:p>
    <w:p>
      <w:pPr>
        <w:spacing w:after="0" w:line="171" w:lineRule="exact"/>
        <w:rPr>
          <w:sz w:val="20"/>
          <w:szCs w:val="20"/>
          <w:color w:val="auto"/>
        </w:rPr>
      </w:pPr>
    </w:p>
    <w:p>
      <w:pPr>
        <w:ind w:left="920" w:right="1160"/>
        <w:spacing w:after="0" w:line="242" w:lineRule="auto"/>
        <w:rPr>
          <w:sz w:val="20"/>
          <w:szCs w:val="20"/>
          <w:color w:val="auto"/>
        </w:rPr>
      </w:pPr>
      <w:r>
        <w:rPr>
          <w:rFonts w:ascii="Arial" w:cs="Arial" w:eastAsia="Arial" w:hAnsi="Arial"/>
          <w:sz w:val="18"/>
          <w:szCs w:val="18"/>
          <w:color w:val="auto"/>
        </w:rPr>
        <w:t>For the annual meeting, we have retained Broadridge Financial Solutions, Inc. to aid in the solicitation of proxies. We will bear the cost of such solicitation of proxies, which we estimate will be approximately $10,000, plus expenses. Proxies may be solicited by personal contact, mail, email, telephone, or facsimile. In addition, we may reimburse brokerage firms and other persons representing beneficial owners of our common stock for their reasonable expenses in forwarding solicitation materials to the beneficial owners. Our directors, officers, and employees may also solicit proxies personally or by telephone, without additional compensation.</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80" w:type="dxa"/>
            <w:vAlign w:val="bottom"/>
          </w:tcPr>
          <w:p>
            <w:pPr>
              <w:ind w:left="920"/>
              <w:spacing w:after="0"/>
              <w:rPr>
                <w:sz w:val="20"/>
                <w:szCs w:val="20"/>
                <w:color w:val="auto"/>
              </w:rPr>
            </w:pPr>
            <w:r>
              <w:rPr>
                <w:rFonts w:ascii="Arial" w:cs="Arial" w:eastAsia="Arial" w:hAnsi="Arial"/>
                <w:sz w:val="13"/>
                <w:szCs w:val="13"/>
                <w:color w:val="auto"/>
              </w:rPr>
              <w:t> </w:t>
            </w:r>
          </w:p>
        </w:tc>
        <w:tc>
          <w:tcPr>
            <w:tcW w:w="7840" w:type="dxa"/>
            <w:vAlign w:val="bottom"/>
          </w:tcPr>
          <w:p>
            <w:pPr>
              <w:jc w:val="right"/>
              <w:ind w:right="5310"/>
              <w:spacing w:after="0"/>
              <w:rPr>
                <w:sz w:val="20"/>
                <w:szCs w:val="20"/>
                <w:color w:val="auto"/>
              </w:rPr>
            </w:pPr>
            <w:r>
              <w:rPr>
                <w:rFonts w:ascii="Arial" w:cs="Arial" w:eastAsia="Arial" w:hAnsi="Arial"/>
                <w:sz w:val="18"/>
                <w:szCs w:val="18"/>
                <w:color w:val="auto"/>
              </w:rPr>
              <w:t>-4-</w:t>
            </w:r>
          </w:p>
        </w:tc>
      </w:tr>
      <w:tr>
        <w:trPr>
          <w:trHeight w:val="232"/>
        </w:trPr>
        <w:tc>
          <w:tcPr>
            <w:tcW w:w="3180" w:type="dxa"/>
            <w:vAlign w:val="bottom"/>
            <w:tcBorders>
              <w:bottom w:val="single" w:sz="8" w:color="auto"/>
            </w:tcBorders>
          </w:tcPr>
          <w:p>
            <w:pPr>
              <w:spacing w:after="0"/>
              <w:rPr>
                <w:sz w:val="20"/>
                <w:szCs w:val="20"/>
                <w:color w:val="auto"/>
              </w:rPr>
            </w:pPr>
          </w:p>
        </w:tc>
        <w:tc>
          <w:tcPr>
            <w:tcW w:w="784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263" w:right="439" w:bottom="1440" w:gutter="0" w:footer="0" w:header="0"/>
        </w:sectPr>
      </w:pPr>
    </w:p>
    <w:bookmarkStart w:id="8" w:name="page9"/>
    <w:bookmarkEnd w:id="8"/>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PROPOSAL 1 – ELECTION OF DIRECTORS</w:t>
      </w:r>
    </w:p>
    <w:p>
      <w:pPr>
        <w:spacing w:after="0" w:line="185" w:lineRule="exact"/>
        <w:rPr>
          <w:sz w:val="20"/>
          <w:szCs w:val="20"/>
          <w:color w:val="auto"/>
        </w:rPr>
      </w:pPr>
    </w:p>
    <w:p>
      <w:pPr>
        <w:ind w:left="920" w:right="940"/>
        <w:spacing w:after="0" w:line="257" w:lineRule="auto"/>
        <w:rPr>
          <w:sz w:val="20"/>
          <w:szCs w:val="20"/>
          <w:color w:val="auto"/>
        </w:rPr>
      </w:pPr>
      <w:r>
        <w:rPr>
          <w:rFonts w:ascii="Arial" w:cs="Arial" w:eastAsia="Arial" w:hAnsi="Arial"/>
          <w:sz w:val="17"/>
          <w:szCs w:val="17"/>
          <w:color w:val="auto"/>
        </w:rPr>
        <w:t>The Board of Directors (Board) is divided into three classes, with each director holding office for a three-year term or until his or her successor has been duly elected and qualified, or until his or her death, resignation, or removal from office. At the annual meeting, shareholders are being asked to re-elect one Class 3 director for a term of two years and two Class 1 directors for a term of three years, or in each case, until their death, resignation, or removal from office or their successors are duly elected and qualified. Mary C. Hemmingsen, a Class 3 director appointed in October 2022, is being nominated in accordance with the Company’s Amended and Restated Bylaws, which state that a director elected to fill a Board vacancy shall only serve until the next election of directors by shareholders.</w:t>
      </w:r>
    </w:p>
    <w:p>
      <w:pPr>
        <w:spacing w:after="0" w:line="128" w:lineRule="exact"/>
        <w:rPr>
          <w:sz w:val="20"/>
          <w:szCs w:val="20"/>
          <w:color w:val="auto"/>
        </w:rPr>
      </w:pPr>
    </w:p>
    <w:p>
      <w:pPr>
        <w:ind w:left="920" w:right="980"/>
        <w:spacing w:after="0" w:line="253" w:lineRule="auto"/>
        <w:rPr>
          <w:sz w:val="20"/>
          <w:szCs w:val="20"/>
          <w:color w:val="auto"/>
        </w:rPr>
      </w:pPr>
      <w:r>
        <w:rPr>
          <w:rFonts w:ascii="Arial" w:cs="Arial" w:eastAsia="Arial" w:hAnsi="Arial"/>
          <w:sz w:val="18"/>
          <w:szCs w:val="18"/>
          <w:color w:val="auto"/>
        </w:rPr>
        <w:t>Unless authority is withheld, the persons named as proxies will vote for the election of the nominees listed below. If any of the nominees become unavailable to serve, the persons named as proxies will have discretionary authority to vote for a substitute nominee.</w:t>
      </w:r>
    </w:p>
    <w:p>
      <w:pPr>
        <w:spacing w:after="0" w:line="128" w:lineRule="exact"/>
        <w:rPr>
          <w:sz w:val="20"/>
          <w:szCs w:val="20"/>
          <w:color w:val="auto"/>
        </w:rPr>
      </w:pPr>
    </w:p>
    <w:p>
      <w:pPr>
        <w:ind w:left="920" w:right="1020"/>
        <w:spacing w:after="0" w:line="271" w:lineRule="auto"/>
        <w:rPr>
          <w:sz w:val="20"/>
          <w:szCs w:val="20"/>
          <w:color w:val="auto"/>
        </w:rPr>
      </w:pPr>
      <w:r>
        <w:rPr>
          <w:rFonts w:ascii="Arial" w:cs="Arial" w:eastAsia="Arial" w:hAnsi="Arial"/>
          <w:sz w:val="18"/>
          <w:szCs w:val="18"/>
          <w:color w:val="auto"/>
        </w:rPr>
        <w:t>Our Board has nominated the following persons for election to the Board. Each nominee is currently a director and has indicated that he or she is willing and able to continue to serve as a director.</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Class 3 (to serve until the 2025 annual meeting)</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Mary C. Hemmingsen</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Class 1 (to serve until the 2026 annual meeting)</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Jerome J. Lande</w:t>
      </w:r>
    </w:p>
    <w:p>
      <w:pPr>
        <w:jc w:val="center"/>
        <w:ind w:right="20"/>
        <w:spacing w:after="0"/>
        <w:rPr>
          <w:sz w:val="20"/>
          <w:szCs w:val="20"/>
          <w:color w:val="auto"/>
        </w:rPr>
      </w:pPr>
      <w:r>
        <w:rPr>
          <w:rFonts w:ascii="Arial" w:cs="Arial" w:eastAsia="Arial" w:hAnsi="Arial"/>
          <w:sz w:val="18"/>
          <w:szCs w:val="18"/>
          <w:color w:val="auto"/>
        </w:rPr>
        <w:t>Frank M. Jaehnert</w:t>
      </w:r>
    </w:p>
    <w:p>
      <w:pPr>
        <w:spacing w:after="0" w:line="153" w:lineRule="exact"/>
        <w:rPr>
          <w:sz w:val="20"/>
          <w:szCs w:val="20"/>
          <w:color w:val="auto"/>
        </w:rPr>
      </w:pPr>
    </w:p>
    <w:p>
      <w:pPr>
        <w:ind w:left="920" w:right="960"/>
        <w:spacing w:after="0" w:line="244" w:lineRule="auto"/>
        <w:rPr>
          <w:sz w:val="20"/>
          <w:szCs w:val="20"/>
          <w:color w:val="auto"/>
        </w:rPr>
      </w:pPr>
      <w:r>
        <w:rPr>
          <w:rFonts w:ascii="Arial" w:cs="Arial" w:eastAsia="Arial" w:hAnsi="Arial"/>
          <w:sz w:val="18"/>
          <w:szCs w:val="18"/>
          <w:color w:val="auto"/>
        </w:rPr>
        <w:t>We have concluded that each of the nominees for re-election, as well as the other directors who will continue in office, have the skills, experience, knowledge, and personal attributes that are necessary to effectively serve on our Board. As described below in their biographies and the section “</w:t>
      </w:r>
      <w:r>
        <w:rPr>
          <w:rFonts w:ascii="Arial" w:cs="Arial" w:eastAsia="Arial" w:hAnsi="Arial"/>
          <w:sz w:val="18"/>
          <w:szCs w:val="18"/>
          <w:i w:val="1"/>
          <w:iCs w:val="1"/>
          <w:color w:val="auto"/>
        </w:rPr>
        <w:t>Director and Director Nominee Qualifications</w:t>
      </w:r>
      <w:r>
        <w:rPr>
          <w:rFonts w:ascii="Arial" w:cs="Arial" w:eastAsia="Arial" w:hAnsi="Arial"/>
          <w:sz w:val="18"/>
          <w:szCs w:val="18"/>
          <w:color w:val="auto"/>
        </w:rPr>
        <w:t>” that follows, the qualifications of our directors and director nominees support our conclusion that each of the individuals should serve as a director in light of our current business operations and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29845</wp:posOffset>
            </wp:positionV>
            <wp:extent cx="248285" cy="5911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8285" cy="591185"/>
                    </a:xfrm>
                    <a:prstGeom prst="rect">
                      <a:avLst/>
                    </a:prstGeom>
                    <a:noFill/>
                  </pic:spPr>
                </pic:pic>
              </a:graphicData>
            </a:graphic>
          </wp:anchor>
        </w:drawing>
      </w:r>
    </w:p>
    <w:p>
      <w:pPr>
        <w:spacing w:after="0" w:line="224"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The Board recommends that shareholders</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vote “FOR” the election of each of the</w:t>
      </w:r>
    </w:p>
    <w:p>
      <w:pPr>
        <w:ind w:left="3840"/>
        <w:spacing w:after="0"/>
        <w:rPr>
          <w:sz w:val="20"/>
          <w:szCs w:val="20"/>
          <w:color w:val="auto"/>
        </w:rPr>
      </w:pPr>
      <w:r>
        <w:rPr>
          <w:rFonts w:ascii="Arial" w:cs="Arial" w:eastAsia="Arial" w:hAnsi="Arial"/>
          <w:sz w:val="18"/>
          <w:szCs w:val="18"/>
          <w:b w:val="1"/>
          <w:bCs w:val="1"/>
          <w:color w:val="auto"/>
        </w:rPr>
        <w:t>director nominees.</w:t>
      </w:r>
    </w:p>
    <w:p>
      <w:pPr>
        <w:spacing w:after="0" w:line="38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MORE INFORMATION ABOUT OUR DIRECTORS</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Class 3 Director Nominee – Two Year Term That Will Expire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60325</wp:posOffset>
            </wp:positionV>
            <wp:extent cx="573468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330"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1940" w:type="dxa"/>
            <w:vAlign w:val="bottom"/>
          </w:tcPr>
          <w:p>
            <w:pPr>
              <w:spacing w:after="0"/>
              <w:rPr>
                <w:sz w:val="20"/>
                <w:szCs w:val="20"/>
                <w:color w:val="auto"/>
              </w:rPr>
            </w:pPr>
            <w:r>
              <w:rPr>
                <w:rFonts w:ascii="Arial" w:cs="Arial" w:eastAsia="Arial" w:hAnsi="Arial"/>
                <w:sz w:val="17"/>
                <w:szCs w:val="17"/>
                <w:b w:val="1"/>
                <w:bCs w:val="1"/>
                <w:color w:val="auto"/>
              </w:rPr>
              <w:t>Mary C. Hemmingsen</w:t>
            </w:r>
          </w:p>
        </w:tc>
        <w:tc>
          <w:tcPr>
            <w:tcW w:w="2100" w:type="dxa"/>
            <w:vAlign w:val="bottom"/>
          </w:tcPr>
          <w:p>
            <w:pPr>
              <w:ind w:left="20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2022</w:t>
            </w:r>
          </w:p>
        </w:tc>
        <w:tc>
          <w:tcPr>
            <w:tcW w:w="3880" w:type="dxa"/>
            <w:vAlign w:val="bottom"/>
          </w:tcPr>
          <w:p>
            <w:pPr>
              <w:ind w:left="260"/>
              <w:spacing w:after="0"/>
              <w:rPr>
                <w:sz w:val="20"/>
                <w:szCs w:val="20"/>
                <w:color w:val="auto"/>
              </w:rPr>
            </w:pPr>
            <w:r>
              <w:rPr>
                <w:rFonts w:ascii="Arial" w:cs="Arial" w:eastAsia="Arial" w:hAnsi="Arial"/>
                <w:sz w:val="17"/>
                <w:szCs w:val="17"/>
                <w:b w:val="1"/>
                <w:bCs w:val="1"/>
                <w:color w:val="auto"/>
              </w:rPr>
              <w:t xml:space="preserve">Other Current Public Directorships: </w:t>
            </w:r>
            <w:r>
              <w:rPr>
                <w:rFonts w:ascii="Arial" w:cs="Arial" w:eastAsia="Arial" w:hAnsi="Arial"/>
                <w:sz w:val="17"/>
                <w:szCs w:val="17"/>
                <w:color w:val="auto"/>
              </w:rPr>
              <w:t>EverGen</w:t>
            </w:r>
          </w:p>
        </w:tc>
      </w:tr>
      <w:tr>
        <w:trPr>
          <w:trHeight w:val="279"/>
        </w:trPr>
        <w:tc>
          <w:tcPr>
            <w:tcW w:w="1940" w:type="dxa"/>
            <w:vAlign w:val="bottom"/>
          </w:tcPr>
          <w:p>
            <w:pPr>
              <w:spacing w:after="0"/>
              <w:rPr>
                <w:sz w:val="20"/>
                <w:szCs w:val="20"/>
                <w:color w:val="auto"/>
              </w:rPr>
            </w:pPr>
            <w:r>
              <w:rPr>
                <w:rFonts w:ascii="Arial" w:cs="Arial" w:eastAsia="Arial" w:hAnsi="Arial"/>
                <w:sz w:val="17"/>
                <w:szCs w:val="17"/>
                <w:color w:val="auto"/>
              </w:rPr>
              <w:t>Age: 58</w:t>
            </w:r>
          </w:p>
        </w:tc>
        <w:tc>
          <w:tcPr>
            <w:tcW w:w="2100" w:type="dxa"/>
            <w:vAlign w:val="bottom"/>
          </w:tcPr>
          <w:p>
            <w:pPr>
              <w:ind w:left="200"/>
              <w:spacing w:after="0"/>
              <w:rPr>
                <w:sz w:val="20"/>
                <w:szCs w:val="20"/>
                <w:color w:val="auto"/>
              </w:rPr>
            </w:pPr>
            <w:r>
              <w:rPr>
                <w:rFonts w:ascii="Arial" w:cs="Arial" w:eastAsia="Arial" w:hAnsi="Arial"/>
                <w:sz w:val="17"/>
                <w:szCs w:val="17"/>
                <w:color w:val="auto"/>
              </w:rPr>
              <w:t>Independent</w:t>
            </w:r>
          </w:p>
        </w:tc>
        <w:tc>
          <w:tcPr>
            <w:tcW w:w="3880" w:type="dxa"/>
            <w:vAlign w:val="bottom"/>
          </w:tcPr>
          <w:p>
            <w:pPr>
              <w:ind w:left="260"/>
              <w:spacing w:after="0"/>
              <w:rPr>
                <w:sz w:val="20"/>
                <w:szCs w:val="20"/>
                <w:color w:val="auto"/>
              </w:rPr>
            </w:pPr>
            <w:r>
              <w:rPr>
                <w:rFonts w:ascii="Arial" w:cs="Arial" w:eastAsia="Arial" w:hAnsi="Arial"/>
                <w:sz w:val="17"/>
                <w:szCs w:val="17"/>
                <w:color w:val="auto"/>
              </w:rPr>
              <w:t>Infrastructure Corp.</w:t>
            </w:r>
          </w:p>
        </w:tc>
      </w:tr>
    </w:tbl>
    <w:p>
      <w:pPr>
        <w:spacing w:after="0" w:line="113" w:lineRule="exact"/>
        <w:rPr>
          <w:sz w:val="20"/>
          <w:szCs w:val="20"/>
          <w:color w:val="auto"/>
        </w:rPr>
      </w:pPr>
    </w:p>
    <w:p>
      <w:pPr>
        <w:ind w:left="1020" w:right="1100"/>
        <w:spacing w:after="0" w:line="236" w:lineRule="auto"/>
        <w:rPr>
          <w:sz w:val="20"/>
          <w:szCs w:val="20"/>
          <w:color w:val="auto"/>
        </w:rPr>
      </w:pPr>
      <w:r>
        <w:rPr>
          <w:rFonts w:ascii="Arial" w:cs="Arial" w:eastAsia="Arial" w:hAnsi="Arial"/>
          <w:sz w:val="17"/>
          <w:szCs w:val="17"/>
          <w:color w:val="auto"/>
        </w:rPr>
        <w:t>Mary C. Hemmingsen is an energy and infrastructure industry executive with deep utility industry expertise. Since 2017, she has served in a variety of executive advisory roles for energy industry organizations as well as board roles. Since September 2017, she has served as Principal Strategic Advisor for Hemmingsen Enterprises Ltd. From 2013 to 2017, Hemmingsen was a global partner and gas, power and utilities industry lead at KPMG. Previously, she held senior executive positions in business and project development within the power and utilities group at Brookfield, a global asset management company, and several executive and corporate finance positions at BC Hydro Power Authority. Ms. Hemmingsen has extensive board experience, including positions with the following private companies: InstarInvest Asset Management, The Crossing Group, Graham Construction Income Trust, Spoke Resources Ltd. and Recircle Ltd and Enerpure Inc. Ms. Hemmingsen serves on the board of directors and as the chair of the audit committee of EverGen Infrastructure Corp since July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10795</wp:posOffset>
            </wp:positionV>
            <wp:extent cx="5734685" cy="5911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34685" cy="591185"/>
                    </a:xfrm>
                    <a:prstGeom prst="rect">
                      <a:avLst/>
                    </a:prstGeom>
                    <a:noFill/>
                  </pic:spPr>
                </pic:pic>
              </a:graphicData>
            </a:graphic>
          </wp:anchor>
        </w:drawing>
      </w:r>
    </w:p>
    <w:p>
      <w:pPr>
        <w:spacing w:after="0" w:line="96" w:lineRule="exact"/>
        <w:rPr>
          <w:sz w:val="20"/>
          <w:szCs w:val="20"/>
          <w:color w:val="auto"/>
        </w:rPr>
      </w:pPr>
    </w:p>
    <w:p>
      <w:pPr>
        <w:ind w:left="1020" w:right="1100"/>
        <w:spacing w:after="0" w:line="244" w:lineRule="auto"/>
        <w:rPr>
          <w:sz w:val="20"/>
          <w:szCs w:val="20"/>
          <w:color w:val="auto"/>
        </w:rPr>
      </w:pPr>
      <w:r>
        <w:rPr>
          <w:rFonts w:ascii="Arial" w:cs="Arial" w:eastAsia="Arial" w:hAnsi="Arial"/>
          <w:sz w:val="17"/>
          <w:szCs w:val="17"/>
          <w:b w:val="1"/>
          <w:bCs w:val="1"/>
          <w:color w:val="auto"/>
        </w:rPr>
        <w:t xml:space="preserve">Qualifications: </w:t>
      </w:r>
      <w:r>
        <w:rPr>
          <w:rFonts w:ascii="Arial" w:cs="Arial" w:eastAsia="Arial" w:hAnsi="Arial"/>
          <w:sz w:val="17"/>
          <w:szCs w:val="17"/>
          <w:color w:val="auto"/>
        </w:rPr>
        <w:t>Ms. Hemmingsen brings to the board more than 30 years of expertise in finance, asset management,</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development and governance. She has broad experience in investment/asset management and business/project development gained in leadership roles in the capital market, energy, infrastructure, clean technology and related service industries where she gained insights as an executive to contribute to boards and executive teams.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80" w:type="dxa"/>
            <w:vAlign w:val="bottom"/>
          </w:tcPr>
          <w:p>
            <w:pPr>
              <w:ind w:left="920"/>
              <w:spacing w:after="0"/>
              <w:rPr>
                <w:sz w:val="20"/>
                <w:szCs w:val="20"/>
                <w:color w:val="auto"/>
              </w:rPr>
            </w:pPr>
            <w:r>
              <w:rPr>
                <w:rFonts w:ascii="Arial" w:cs="Arial" w:eastAsia="Arial" w:hAnsi="Arial"/>
                <w:sz w:val="13"/>
                <w:szCs w:val="13"/>
                <w:color w:val="auto"/>
              </w:rPr>
              <w:t> </w:t>
            </w:r>
          </w:p>
        </w:tc>
        <w:tc>
          <w:tcPr>
            <w:tcW w:w="7840" w:type="dxa"/>
            <w:vAlign w:val="bottom"/>
          </w:tcPr>
          <w:p>
            <w:pPr>
              <w:jc w:val="right"/>
              <w:ind w:right="5310"/>
              <w:spacing w:after="0"/>
              <w:rPr>
                <w:sz w:val="20"/>
                <w:szCs w:val="20"/>
                <w:color w:val="auto"/>
              </w:rPr>
            </w:pPr>
            <w:r>
              <w:rPr>
                <w:rFonts w:ascii="Arial" w:cs="Arial" w:eastAsia="Arial" w:hAnsi="Arial"/>
                <w:sz w:val="18"/>
                <w:szCs w:val="18"/>
                <w:color w:val="auto"/>
              </w:rPr>
              <w:t>-5-</w:t>
            </w:r>
          </w:p>
        </w:tc>
      </w:tr>
      <w:tr>
        <w:trPr>
          <w:trHeight w:val="219"/>
        </w:trPr>
        <w:tc>
          <w:tcPr>
            <w:tcW w:w="3180" w:type="dxa"/>
            <w:vAlign w:val="bottom"/>
            <w:tcBorders>
              <w:bottom w:val="single" w:sz="8" w:color="auto"/>
            </w:tcBorders>
          </w:tcPr>
          <w:p>
            <w:pPr>
              <w:spacing w:after="0"/>
              <w:rPr>
                <w:sz w:val="19"/>
                <w:szCs w:val="19"/>
                <w:color w:val="auto"/>
              </w:rPr>
            </w:pPr>
          </w:p>
        </w:tc>
        <w:tc>
          <w:tcPr>
            <w:tcW w:w="784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9" w:name="page10"/>
    <w:bookmarkEnd w:id="9"/>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Class 1 Director Nominees – Three Year Terms That Will Expire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60325</wp:posOffset>
            </wp:positionV>
            <wp:extent cx="573468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336"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1780" w:type="dxa"/>
            <w:vAlign w:val="bottom"/>
          </w:tcPr>
          <w:p>
            <w:pPr>
              <w:spacing w:after="0"/>
              <w:rPr>
                <w:sz w:val="20"/>
                <w:szCs w:val="20"/>
                <w:color w:val="auto"/>
              </w:rPr>
            </w:pPr>
            <w:r>
              <w:rPr>
                <w:rFonts w:ascii="Arial" w:cs="Arial" w:eastAsia="Arial" w:hAnsi="Arial"/>
                <w:sz w:val="18"/>
                <w:szCs w:val="18"/>
                <w:b w:val="1"/>
                <w:bCs w:val="1"/>
                <w:color w:val="auto"/>
              </w:rPr>
              <w:t>Jerome J. Lande</w:t>
            </w:r>
          </w:p>
        </w:tc>
        <w:tc>
          <w:tcPr>
            <w:tcW w:w="2300" w:type="dxa"/>
            <w:vAlign w:val="bottom"/>
          </w:tcPr>
          <w:p>
            <w:pPr>
              <w:ind w:left="36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2015</w:t>
            </w:r>
          </w:p>
        </w:tc>
        <w:tc>
          <w:tcPr>
            <w:tcW w:w="4120" w:type="dxa"/>
            <w:vAlign w:val="bottom"/>
          </w:tcPr>
          <w:p>
            <w:pPr>
              <w:ind w:left="220"/>
              <w:spacing w:after="0"/>
              <w:rPr>
                <w:sz w:val="20"/>
                <w:szCs w:val="20"/>
                <w:color w:val="auto"/>
              </w:rPr>
            </w:pPr>
            <w:r>
              <w:rPr>
                <w:rFonts w:ascii="Arial" w:cs="Arial" w:eastAsia="Arial" w:hAnsi="Arial"/>
                <w:sz w:val="18"/>
                <w:szCs w:val="18"/>
                <w:b w:val="1"/>
                <w:bCs w:val="1"/>
                <w:color w:val="auto"/>
                <w:w w:val="99"/>
              </w:rPr>
              <w:t xml:space="preserve">Other Current Public Directorships: </w:t>
            </w:r>
            <w:r>
              <w:rPr>
                <w:rFonts w:ascii="Arial" w:cs="Arial" w:eastAsia="Arial" w:hAnsi="Arial"/>
                <w:sz w:val="18"/>
                <w:szCs w:val="18"/>
                <w:color w:val="auto"/>
                <w:w w:val="99"/>
              </w:rPr>
              <w:t>CONMED</w:t>
            </w:r>
          </w:p>
        </w:tc>
      </w:tr>
      <w:tr>
        <w:trPr>
          <w:trHeight w:val="293"/>
        </w:trPr>
        <w:tc>
          <w:tcPr>
            <w:tcW w:w="1780" w:type="dxa"/>
            <w:vAlign w:val="bottom"/>
          </w:tcPr>
          <w:p>
            <w:pPr>
              <w:spacing w:after="0"/>
              <w:rPr>
                <w:sz w:val="20"/>
                <w:szCs w:val="20"/>
                <w:color w:val="auto"/>
              </w:rPr>
            </w:pPr>
            <w:r>
              <w:rPr>
                <w:rFonts w:ascii="Arial" w:cs="Arial" w:eastAsia="Arial" w:hAnsi="Arial"/>
                <w:sz w:val="18"/>
                <w:szCs w:val="18"/>
                <w:color w:val="auto"/>
              </w:rPr>
              <w:t>Age: 47</w:t>
            </w:r>
          </w:p>
        </w:tc>
        <w:tc>
          <w:tcPr>
            <w:tcW w:w="2300" w:type="dxa"/>
            <w:vAlign w:val="bottom"/>
          </w:tcPr>
          <w:p>
            <w:pPr>
              <w:ind w:left="360"/>
              <w:spacing w:after="0"/>
              <w:rPr>
                <w:sz w:val="20"/>
                <w:szCs w:val="20"/>
                <w:color w:val="auto"/>
              </w:rPr>
            </w:pPr>
            <w:r>
              <w:rPr>
                <w:rFonts w:ascii="Arial" w:cs="Arial" w:eastAsia="Arial" w:hAnsi="Arial"/>
                <w:sz w:val="18"/>
                <w:szCs w:val="18"/>
                <w:color w:val="auto"/>
              </w:rPr>
              <w:t>Independent</w:t>
            </w:r>
          </w:p>
        </w:tc>
        <w:tc>
          <w:tcPr>
            <w:tcW w:w="4120" w:type="dxa"/>
            <w:vAlign w:val="bottom"/>
          </w:tcPr>
          <w:p>
            <w:pPr>
              <w:ind w:left="220"/>
              <w:spacing w:after="0"/>
              <w:rPr>
                <w:sz w:val="20"/>
                <w:szCs w:val="20"/>
                <w:color w:val="auto"/>
              </w:rPr>
            </w:pPr>
            <w:r>
              <w:rPr>
                <w:rFonts w:ascii="Arial" w:cs="Arial" w:eastAsia="Arial" w:hAnsi="Arial"/>
                <w:sz w:val="18"/>
                <w:szCs w:val="18"/>
                <w:color w:val="auto"/>
              </w:rPr>
              <w:t>Corporation; Indivior PLC</w:t>
            </w:r>
          </w:p>
        </w:tc>
      </w:tr>
    </w:tbl>
    <w:p>
      <w:pPr>
        <w:spacing w:after="0" w:line="112" w:lineRule="exact"/>
        <w:rPr>
          <w:sz w:val="20"/>
          <w:szCs w:val="20"/>
          <w:color w:val="auto"/>
        </w:rPr>
      </w:pPr>
    </w:p>
    <w:p>
      <w:pPr>
        <w:ind w:left="1020" w:right="1120"/>
        <w:spacing w:after="0" w:line="238" w:lineRule="auto"/>
        <w:rPr>
          <w:sz w:val="20"/>
          <w:szCs w:val="20"/>
          <w:color w:val="auto"/>
        </w:rPr>
      </w:pPr>
      <w:r>
        <w:rPr>
          <w:rFonts w:ascii="Arial" w:cs="Arial" w:eastAsia="Arial" w:hAnsi="Arial"/>
          <w:sz w:val="18"/>
          <w:szCs w:val="18"/>
          <w:color w:val="auto"/>
        </w:rPr>
        <w:t>Jerome J. Lande joined Scopia Capital Management LP (Scopia), an asset management firm, in April 2016 and is currently a Partner and Deputy Chief Investment Officer. He was previously the Managing Partner of Coppersmith Capital Management LLC (Coppersmith), an asset management firm focused on equity investing in small to mid-cap markets and in long-term value creation, which he co-founded in April 2012. Prior to co-founding Coppersmith, Mr. Lande was a partner of MCM Capital Management, LLC, the general partner of MMI Investments, LP, a small-cap investment fund founded in 1996 to employ private equity investing methodologies in public equities, and where Mr. Lande oversaw research, trading and activism from 1998 to 2011. Prior to that time, he was associated with other equity investment firms where he was directly involved with corporate development as well as equity growth. Mr. Lande is a member of the board of directors of CONMED Corporation (NASDAQ: “CNMD”), a public global medical technology company, where he also serves on the compensation committee and chairs the strategy committee, and of Indivior PLC (LON: “INDV”), a public global pharmaceutical company, where he also serves on the nomination and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8255</wp:posOffset>
            </wp:positionV>
            <wp:extent cx="5734685" cy="3689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34685" cy="368935"/>
                    </a:xfrm>
                    <a:prstGeom prst="rect">
                      <a:avLst/>
                    </a:prstGeom>
                    <a:noFill/>
                  </pic:spPr>
                </pic:pic>
              </a:graphicData>
            </a:graphic>
          </wp:anchor>
        </w:drawing>
      </w:r>
    </w:p>
    <w:p>
      <w:pPr>
        <w:spacing w:after="0" w:line="95" w:lineRule="exact"/>
        <w:rPr>
          <w:sz w:val="20"/>
          <w:szCs w:val="20"/>
          <w:color w:val="auto"/>
        </w:rPr>
      </w:pPr>
    </w:p>
    <w:p>
      <w:pPr>
        <w:ind w:left="1020" w:right="1120"/>
        <w:spacing w:after="0" w:line="271" w:lineRule="auto"/>
        <w:rPr>
          <w:sz w:val="20"/>
          <w:szCs w:val="20"/>
          <w:color w:val="auto"/>
        </w:rPr>
      </w:pPr>
      <w:r>
        <w:rPr>
          <w:rFonts w:ascii="Arial" w:cs="Arial" w:eastAsia="Arial" w:hAnsi="Arial"/>
          <w:sz w:val="18"/>
          <w:szCs w:val="18"/>
          <w:b w:val="1"/>
          <w:bCs w:val="1"/>
          <w:color w:val="auto"/>
        </w:rPr>
        <w:t xml:space="preserve">Qualifications: </w:t>
      </w:r>
      <w:r>
        <w:rPr>
          <w:rFonts w:ascii="Arial" w:cs="Arial" w:eastAsia="Arial" w:hAnsi="Arial"/>
          <w:sz w:val="18"/>
          <w:szCs w:val="18"/>
          <w:color w:val="auto"/>
        </w:rPr>
        <w:t>Mr. Lande brings to the Board financial and investing acumen gained through his many years of</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at several equity investment firms, including his current employer Scopia (and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49530</wp:posOffset>
            </wp:positionV>
            <wp:extent cx="573468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p>
      <w:pPr>
        <w:spacing w:after="0" w:line="343" w:lineRule="exact"/>
        <w:rPr>
          <w:sz w:val="20"/>
          <w:szCs w:val="20"/>
          <w:color w:val="auto"/>
        </w:rPr>
      </w:pPr>
    </w:p>
    <w:p>
      <w:pPr>
        <w:ind w:left="1020"/>
        <w:spacing w:after="0"/>
        <w:rPr>
          <w:sz w:val="20"/>
          <w:szCs w:val="20"/>
          <w:color w:val="auto"/>
        </w:rPr>
      </w:pPr>
      <w:r>
        <w:rPr>
          <w:rFonts w:ascii="Arial" w:cs="Arial" w:eastAsia="Arial" w:hAnsi="Arial"/>
          <w:sz w:val="17"/>
          <w:szCs w:val="17"/>
          <w:b w:val="1"/>
          <w:bCs w:val="1"/>
          <w:color w:val="auto"/>
        </w:rPr>
        <w:t>Frank M. Jaehnert</w:t>
      </w:r>
    </w:p>
    <w:p>
      <w:pPr>
        <w:spacing w:after="0" w:line="6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Age: 65</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line="334" w:lineRule="auto"/>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2015</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right="1920"/>
        <w:spacing w:after="0" w:line="271" w:lineRule="auto"/>
        <w:rPr>
          <w:sz w:val="20"/>
          <w:szCs w:val="20"/>
          <w:color w:val="auto"/>
        </w:rPr>
      </w:pPr>
      <w:r>
        <w:rPr>
          <w:rFonts w:ascii="Arial" w:cs="Arial" w:eastAsia="Arial" w:hAnsi="Arial"/>
          <w:sz w:val="18"/>
          <w:szCs w:val="18"/>
          <w:b w:val="1"/>
          <w:bCs w:val="1"/>
          <w:color w:val="auto"/>
        </w:rPr>
        <w:t xml:space="preserve">Other Current Public Directorships: </w:t>
      </w:r>
      <w:r>
        <w:rPr>
          <w:rFonts w:ascii="Arial" w:cs="Arial" w:eastAsia="Arial" w:hAnsi="Arial"/>
          <w:sz w:val="18"/>
          <w:szCs w:val="18"/>
          <w:color w:val="auto"/>
        </w:rPr>
        <w:t>Nordson</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w:t>
      </w:r>
    </w:p>
    <w:p>
      <w:pPr>
        <w:spacing w:after="0" w:line="139" w:lineRule="exact"/>
        <w:rPr>
          <w:sz w:val="20"/>
          <w:szCs w:val="20"/>
          <w:color w:val="auto"/>
        </w:rPr>
      </w:pPr>
    </w:p>
    <w:p>
      <w:pPr>
        <w:sectPr>
          <w:pgSz w:w="11900" w:h="16838" w:orient="portrait"/>
          <w:cols w:equalWidth="0" w:num="3">
            <w:col w:w="2560" w:space="600"/>
            <w:col w:w="1700" w:space="460"/>
            <w:col w:w="5700"/>
          </w:cols>
          <w:pgMar w:left="440" w:top="263" w:right="439" w:bottom="1440" w:gutter="0" w:footer="0" w:header="0"/>
          <w:type w:val="continuous"/>
        </w:sectPr>
      </w:pPr>
    </w:p>
    <w:p>
      <w:pPr>
        <w:ind w:left="1020" w:right="1160"/>
        <w:spacing w:after="0" w:line="238" w:lineRule="auto"/>
        <w:rPr>
          <w:sz w:val="20"/>
          <w:szCs w:val="20"/>
          <w:color w:val="auto"/>
        </w:rPr>
      </w:pPr>
      <w:r>
        <w:rPr>
          <w:rFonts w:ascii="Arial" w:cs="Arial" w:eastAsia="Arial" w:hAnsi="Arial"/>
          <w:sz w:val="18"/>
          <w:szCs w:val="18"/>
          <w:color w:val="auto"/>
        </w:rPr>
        <w:t>From 1995 until his retirement in 2013, Frank M. Jaehnert held several roles with Brady Corporation (NYSE: “BRC”), a publicly traded manufacturer and marketer of complete solutions that identify and protect premises, products and people. These roles included President and Chief Executive Officer from 2003 to 2013, Senior Vice President and President of a business line from 2002 to 2003, and Vice President and Chief Financial Officer from 1996 to 2001. Prior to joining Brady Corporation, Mr. Jaehnert held various financial and management positions for Robert Bosch GmbH, a German multinational engineering and electronics company. Mr. Jaehnert serves on the board of directors of Nordson Corporation (NASDAQ: “NDSN”), which he joined in 2012. NDSN is a publicly traded large manufacturing company. Mr. Jaehnert is the chair of the NDSN audit committee. Mr. Jaehnert also serves on the Board of the National Association of Corporate Directors (NACD) Chicago chapter and has received numerous awards, including being recognized as a 2020 NACD Directorship 100 Honoree and as a EY Entrepreneur of the Year regional winner.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10160</wp:posOffset>
            </wp:positionV>
            <wp:extent cx="5734685" cy="6254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34685" cy="625475"/>
                    </a:xfrm>
                    <a:prstGeom prst="rect">
                      <a:avLst/>
                    </a:prstGeom>
                    <a:noFill/>
                  </pic:spPr>
                </pic:pic>
              </a:graphicData>
            </a:graphic>
          </wp:anchor>
        </w:drawing>
      </w:r>
    </w:p>
    <w:p>
      <w:pPr>
        <w:spacing w:after="0" w:line="98" w:lineRule="exact"/>
        <w:rPr>
          <w:sz w:val="20"/>
          <w:szCs w:val="20"/>
          <w:color w:val="auto"/>
        </w:rPr>
      </w:pPr>
    </w:p>
    <w:p>
      <w:pPr>
        <w:ind w:left="1020" w:right="1260"/>
        <w:spacing w:after="0" w:line="247" w:lineRule="auto"/>
        <w:rPr>
          <w:sz w:val="20"/>
          <w:szCs w:val="20"/>
          <w:color w:val="auto"/>
        </w:rPr>
      </w:pPr>
      <w:r>
        <w:rPr>
          <w:rFonts w:ascii="Arial" w:cs="Arial" w:eastAsia="Arial" w:hAnsi="Arial"/>
          <w:sz w:val="18"/>
          <w:szCs w:val="18"/>
          <w:b w:val="1"/>
          <w:bCs w:val="1"/>
          <w:color w:val="auto"/>
        </w:rPr>
        <w:t xml:space="preserve">Qualifications: </w:t>
      </w:r>
      <w:r>
        <w:rPr>
          <w:rFonts w:ascii="Arial" w:cs="Arial" w:eastAsia="Arial" w:hAnsi="Arial"/>
          <w:sz w:val="18"/>
          <w:szCs w:val="18"/>
          <w:color w:val="auto"/>
        </w:rPr>
        <w:t>Mr. Jaehnert has extensive, broad-based international business and executive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leadership experience. Mr. Jaehnert’s diverse background, his experience with geographic expansion and acquisitions, as well as his experience serving on other public company boards bring valuable perspectives to the Board.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80" w:type="dxa"/>
            <w:vAlign w:val="bottom"/>
          </w:tcPr>
          <w:p>
            <w:pPr>
              <w:ind w:left="920"/>
              <w:spacing w:after="0"/>
              <w:rPr>
                <w:sz w:val="20"/>
                <w:szCs w:val="20"/>
                <w:color w:val="auto"/>
              </w:rPr>
            </w:pPr>
            <w:r>
              <w:rPr>
                <w:rFonts w:ascii="Arial" w:cs="Arial" w:eastAsia="Arial" w:hAnsi="Arial"/>
                <w:sz w:val="13"/>
                <w:szCs w:val="13"/>
                <w:color w:val="auto"/>
              </w:rPr>
              <w:t> </w:t>
            </w:r>
          </w:p>
        </w:tc>
        <w:tc>
          <w:tcPr>
            <w:tcW w:w="7840" w:type="dxa"/>
            <w:vAlign w:val="bottom"/>
          </w:tcPr>
          <w:p>
            <w:pPr>
              <w:jc w:val="right"/>
              <w:ind w:right="5310"/>
              <w:spacing w:after="0"/>
              <w:rPr>
                <w:sz w:val="20"/>
                <w:szCs w:val="20"/>
                <w:color w:val="auto"/>
              </w:rPr>
            </w:pPr>
            <w:r>
              <w:rPr>
                <w:rFonts w:ascii="Arial" w:cs="Arial" w:eastAsia="Arial" w:hAnsi="Arial"/>
                <w:sz w:val="18"/>
                <w:szCs w:val="18"/>
                <w:color w:val="auto"/>
              </w:rPr>
              <w:t>-6-</w:t>
            </w:r>
          </w:p>
        </w:tc>
      </w:tr>
      <w:tr>
        <w:trPr>
          <w:trHeight w:val="219"/>
        </w:trPr>
        <w:tc>
          <w:tcPr>
            <w:tcW w:w="3180" w:type="dxa"/>
            <w:vAlign w:val="bottom"/>
            <w:tcBorders>
              <w:bottom w:val="single" w:sz="8" w:color="auto"/>
            </w:tcBorders>
          </w:tcPr>
          <w:p>
            <w:pPr>
              <w:spacing w:after="0"/>
              <w:rPr>
                <w:sz w:val="19"/>
                <w:szCs w:val="19"/>
                <w:color w:val="auto"/>
              </w:rPr>
            </w:pPr>
          </w:p>
        </w:tc>
        <w:tc>
          <w:tcPr>
            <w:tcW w:w="784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type w:val="continuous"/>
        </w:sectPr>
      </w:pPr>
    </w:p>
    <w:bookmarkStart w:id="10" w:name="page11"/>
    <w:bookmarkEnd w:id="10"/>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Current Class 2 Directors – Directors with Terms That Will Expire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60325</wp:posOffset>
            </wp:positionV>
            <wp:extent cx="573468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336"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1880" w:type="dxa"/>
            <w:vAlign w:val="bottom"/>
          </w:tcPr>
          <w:p>
            <w:pPr>
              <w:spacing w:after="0"/>
              <w:rPr>
                <w:sz w:val="20"/>
                <w:szCs w:val="20"/>
                <w:color w:val="auto"/>
              </w:rPr>
            </w:pPr>
            <w:r>
              <w:rPr>
                <w:rFonts w:ascii="Arial" w:cs="Arial" w:eastAsia="Arial" w:hAnsi="Arial"/>
                <w:sz w:val="18"/>
                <w:szCs w:val="18"/>
                <w:b w:val="1"/>
                <w:bCs w:val="1"/>
                <w:color w:val="auto"/>
              </w:rPr>
              <w:t>Thomas L. Deitrich</w:t>
            </w:r>
          </w:p>
        </w:tc>
        <w:tc>
          <w:tcPr>
            <w:tcW w:w="2200" w:type="dxa"/>
            <w:vAlign w:val="bottom"/>
          </w:tcPr>
          <w:p>
            <w:pPr>
              <w:ind w:left="26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2019</w:t>
            </w:r>
          </w:p>
        </w:tc>
        <w:tc>
          <w:tcPr>
            <w:tcW w:w="3580" w:type="dxa"/>
            <w:vAlign w:val="bottom"/>
          </w:tcPr>
          <w:p>
            <w:pPr>
              <w:ind w:left="220"/>
              <w:spacing w:after="0"/>
              <w:rPr>
                <w:sz w:val="20"/>
                <w:szCs w:val="20"/>
                <w:color w:val="auto"/>
              </w:rPr>
            </w:pPr>
            <w:r>
              <w:rPr>
                <w:rFonts w:ascii="Arial" w:cs="Arial" w:eastAsia="Arial" w:hAnsi="Arial"/>
                <w:sz w:val="18"/>
                <w:szCs w:val="18"/>
                <w:b w:val="1"/>
                <w:bCs w:val="1"/>
                <w:color w:val="auto"/>
                <w:w w:val="99"/>
              </w:rPr>
              <w:t xml:space="preserve">Other Current Public Directorships: </w:t>
            </w:r>
            <w:r>
              <w:rPr>
                <w:rFonts w:ascii="Arial" w:cs="Arial" w:eastAsia="Arial" w:hAnsi="Arial"/>
                <w:sz w:val="18"/>
                <w:szCs w:val="18"/>
                <w:color w:val="auto"/>
                <w:w w:val="99"/>
              </w:rPr>
              <w:t>ON</w:t>
            </w:r>
          </w:p>
        </w:tc>
      </w:tr>
      <w:tr>
        <w:trPr>
          <w:trHeight w:val="293"/>
        </w:trPr>
        <w:tc>
          <w:tcPr>
            <w:tcW w:w="1880" w:type="dxa"/>
            <w:vAlign w:val="bottom"/>
          </w:tcPr>
          <w:p>
            <w:pPr>
              <w:spacing w:after="0"/>
              <w:rPr>
                <w:sz w:val="20"/>
                <w:szCs w:val="20"/>
                <w:color w:val="auto"/>
              </w:rPr>
            </w:pPr>
            <w:r>
              <w:rPr>
                <w:rFonts w:ascii="Arial" w:cs="Arial" w:eastAsia="Arial" w:hAnsi="Arial"/>
                <w:sz w:val="18"/>
                <w:szCs w:val="18"/>
                <w:color w:val="auto"/>
              </w:rPr>
              <w:t>Age: 56</w:t>
            </w:r>
          </w:p>
        </w:tc>
        <w:tc>
          <w:tcPr>
            <w:tcW w:w="2200" w:type="dxa"/>
            <w:vAlign w:val="bottom"/>
          </w:tcPr>
          <w:p>
            <w:pPr>
              <w:spacing w:after="0"/>
              <w:rPr>
                <w:sz w:val="24"/>
                <w:szCs w:val="24"/>
                <w:color w:val="auto"/>
              </w:rPr>
            </w:pPr>
          </w:p>
        </w:tc>
        <w:tc>
          <w:tcPr>
            <w:tcW w:w="3580" w:type="dxa"/>
            <w:vAlign w:val="bottom"/>
          </w:tcPr>
          <w:p>
            <w:pPr>
              <w:ind w:left="220"/>
              <w:spacing w:after="0"/>
              <w:rPr>
                <w:sz w:val="20"/>
                <w:szCs w:val="20"/>
                <w:color w:val="auto"/>
              </w:rPr>
            </w:pPr>
            <w:r>
              <w:rPr>
                <w:rFonts w:ascii="Arial" w:cs="Arial" w:eastAsia="Arial" w:hAnsi="Arial"/>
                <w:sz w:val="18"/>
                <w:szCs w:val="18"/>
                <w:color w:val="auto"/>
              </w:rPr>
              <w:t>Semiconductor Corporation</w:t>
            </w:r>
          </w:p>
        </w:tc>
      </w:tr>
    </w:tbl>
    <w:p>
      <w:pPr>
        <w:spacing w:after="0" w:line="11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Thomas L. Deitrich is President and Chief Executive Officer and a member of our Board of Directors.</w:t>
      </w:r>
    </w:p>
    <w:p>
      <w:pPr>
        <w:spacing w:after="0" w:line="14" w:lineRule="exact"/>
        <w:rPr>
          <w:sz w:val="20"/>
          <w:szCs w:val="20"/>
          <w:color w:val="auto"/>
        </w:rPr>
      </w:pPr>
    </w:p>
    <w:p>
      <w:pPr>
        <w:ind w:left="1020" w:right="1220"/>
        <w:spacing w:after="0" w:line="237" w:lineRule="auto"/>
        <w:rPr>
          <w:sz w:val="20"/>
          <w:szCs w:val="20"/>
          <w:color w:val="auto"/>
        </w:rPr>
      </w:pPr>
      <w:r>
        <w:rPr>
          <w:rFonts w:ascii="Arial" w:cs="Arial" w:eastAsia="Arial" w:hAnsi="Arial"/>
          <w:sz w:val="18"/>
          <w:szCs w:val="18"/>
          <w:color w:val="auto"/>
        </w:rPr>
        <w:t>Mr. Deitrich was appointed to his current position and to the Board of Directors in August 2019. Mr. Deitrich joined Itron in October 2015, serving as Itron’s Executive Vice President and Chief Operating Officer until August 2019. From 2012 to September 2015, Mr. Deitrich was Senior Vice President and General Manager for Digital Networking at Freescale Semiconductor, Inc. (Freescale), and he served as the Senior Vice President and General Manager of Freescale’s RF, Analog, Sensor, and Cellular Products Group from 2009 to 2012. Mr. Deitrich held other roles of increasing responsibility at Freescale from 2006 to 2009. Prior to Freescale, Mr. Deitrich worked for Flextronics, Sony-Ericsson/Ericsson, and 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9525</wp:posOffset>
            </wp:positionV>
            <wp:extent cx="5734685" cy="12687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34685" cy="1268730"/>
                    </a:xfrm>
                    <a:prstGeom prst="rect">
                      <a:avLst/>
                    </a:prstGeom>
                    <a:noFill/>
                  </pic:spPr>
                </pic:pic>
              </a:graphicData>
            </a:graphic>
          </wp:anchor>
        </w:drawing>
      </w:r>
    </w:p>
    <w:p>
      <w:pPr>
        <w:spacing w:after="0" w:line="97" w:lineRule="exact"/>
        <w:rPr>
          <w:sz w:val="20"/>
          <w:szCs w:val="20"/>
          <w:color w:val="auto"/>
        </w:rPr>
      </w:pPr>
    </w:p>
    <w:p>
      <w:pPr>
        <w:ind w:left="1020" w:right="1140"/>
        <w:spacing w:after="0" w:line="255" w:lineRule="auto"/>
        <w:rPr>
          <w:sz w:val="20"/>
          <w:szCs w:val="20"/>
          <w:color w:val="auto"/>
        </w:rPr>
      </w:pPr>
      <w:r>
        <w:rPr>
          <w:rFonts w:ascii="Arial" w:cs="Arial" w:eastAsia="Arial" w:hAnsi="Arial"/>
          <w:sz w:val="17"/>
          <w:szCs w:val="17"/>
          <w:b w:val="1"/>
          <w:bCs w:val="1"/>
          <w:color w:val="auto"/>
        </w:rPr>
        <w:t xml:space="preserve">Qualifications: </w:t>
      </w:r>
      <w:r>
        <w:rPr>
          <w:rFonts w:ascii="Arial" w:cs="Arial" w:eastAsia="Arial" w:hAnsi="Arial"/>
          <w:sz w:val="17"/>
          <w:szCs w:val="17"/>
          <w:color w:val="auto"/>
        </w:rPr>
        <w:t>Mr. Deitrich brings to the Board more than 20 years of executive experience in technology</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businesses, having held roles in research and development, product management, manufacturing, business development, and general management. As Itron’s prior Chief Operating Officer, Mr. Deitrich has extensive knowledge of Itron’s global operations, including finance, product development, manufacturing, procurement, product management, go-to-market and sales, and strategy. Additionally, Mr. Deitrich has been involved with a number of mergers and acquisitions at Itron. During his tenure at Itron, he has had extensive exposure to global systems and utilities throughout the world. As the only employee director, Mr. Deitrich provides the Board with valuable insight into management’s views and perspectives, as well as the day-to-day operations of Itron. In 2020, Mr. Deitrich was appointed to the board of directors of ON Semiconductor Corporation (NASDAQ: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59690</wp:posOffset>
            </wp:positionV>
            <wp:extent cx="573468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p>
      <w:pPr>
        <w:spacing w:after="0" w:line="358" w:lineRule="exact"/>
        <w:rPr>
          <w:sz w:val="20"/>
          <w:szCs w:val="20"/>
          <w:color w:val="auto"/>
        </w:rPr>
      </w:pPr>
    </w:p>
    <w:p>
      <w:pPr>
        <w:ind w:left="1020"/>
        <w:spacing w:after="0"/>
        <w:rPr>
          <w:sz w:val="20"/>
          <w:szCs w:val="20"/>
          <w:color w:val="auto"/>
        </w:rPr>
      </w:pPr>
      <w:r>
        <w:rPr>
          <w:rFonts w:ascii="Arial" w:cs="Arial" w:eastAsia="Arial" w:hAnsi="Arial"/>
          <w:sz w:val="17"/>
          <w:szCs w:val="17"/>
          <w:b w:val="1"/>
          <w:bCs w:val="1"/>
          <w:color w:val="auto"/>
        </w:rPr>
        <w:t>Timothy M. Leyden</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2015</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Other Current Public Directorships: </w:t>
      </w:r>
      <w:r>
        <w:rPr>
          <w:rFonts w:ascii="Arial" w:cs="Arial" w:eastAsia="Arial" w:hAnsi="Arial"/>
          <w:sz w:val="17"/>
          <w:szCs w:val="17"/>
          <w:color w:val="auto"/>
        </w:rPr>
        <w:t>None</w:t>
      </w:r>
    </w:p>
    <w:p>
      <w:pPr>
        <w:spacing w:after="0" w:line="61" w:lineRule="exact"/>
        <w:rPr>
          <w:sz w:val="20"/>
          <w:szCs w:val="20"/>
          <w:color w:val="auto"/>
        </w:rPr>
      </w:pPr>
    </w:p>
    <w:p>
      <w:pPr>
        <w:sectPr>
          <w:pgSz w:w="11900" w:h="16838" w:orient="portrait"/>
          <w:cols w:equalWidth="0" w:num="3">
            <w:col w:w="2640" w:space="520"/>
            <w:col w:w="1700" w:space="460"/>
            <w:col w:w="5700"/>
          </w:cols>
          <w:pgMar w:left="440" w:top="263" w:right="439" w:bottom="1440" w:gutter="0" w:footer="0" w:header="0"/>
          <w:type w:val="continuous"/>
        </w:sectPr>
      </w:pPr>
    </w:p>
    <w:p>
      <w:pPr>
        <w:ind w:left="1020"/>
        <w:spacing w:after="0"/>
        <w:rPr>
          <w:sz w:val="20"/>
          <w:szCs w:val="20"/>
          <w:color w:val="auto"/>
        </w:rPr>
      </w:pPr>
      <w:r>
        <w:rPr>
          <w:rFonts w:ascii="Arial" w:cs="Arial" w:eastAsia="Arial" w:hAnsi="Arial"/>
          <w:sz w:val="17"/>
          <w:szCs w:val="17"/>
          <w:color w:val="auto"/>
        </w:rPr>
        <w:t>Age: 71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Independent</w:t>
      </w:r>
    </w:p>
    <w:p>
      <w:pPr>
        <w:spacing w:after="0" w:line="156" w:lineRule="exact"/>
        <w:rPr>
          <w:sz w:val="20"/>
          <w:szCs w:val="20"/>
          <w:color w:val="auto"/>
        </w:rPr>
      </w:pPr>
    </w:p>
    <w:p>
      <w:pPr>
        <w:sectPr>
          <w:pgSz w:w="11900" w:h="16838" w:orient="portrait"/>
          <w:cols w:equalWidth="0" w:num="2">
            <w:col w:w="2440" w:space="720"/>
            <w:col w:w="7860"/>
          </w:cols>
          <w:pgMar w:left="440" w:top="263" w:right="439" w:bottom="1440" w:gutter="0" w:footer="0" w:header="0"/>
          <w:type w:val="continuous"/>
        </w:sectPr>
      </w:pPr>
    </w:p>
    <w:p>
      <w:pPr>
        <w:ind w:left="1020" w:right="1320"/>
        <w:spacing w:after="0" w:line="253" w:lineRule="auto"/>
        <w:rPr>
          <w:sz w:val="20"/>
          <w:szCs w:val="20"/>
          <w:color w:val="auto"/>
        </w:rPr>
      </w:pPr>
      <w:r>
        <w:rPr>
          <w:rFonts w:ascii="Arial" w:cs="Arial" w:eastAsia="Arial" w:hAnsi="Arial"/>
          <w:sz w:val="17"/>
          <w:szCs w:val="17"/>
          <w:color w:val="auto"/>
        </w:rPr>
        <w:t>Timothy M. Leyden retired in 2015 after eight years with Western Digital Corporation (NASDAQ: “WDC”), a company that manufactures hard-disk drives and solid-state storage devices used to record, store, and recall volumes of data. He served as WDC’s Chief Financial Officer from 2013 until January 2015, President of Western Digital, one of WDC’s two operating subsidiaries, from 2012 to 2013, its Chief Operating Officer from 2010 to 2012, and its Executive Vice President of Finance and Chief Financial Officer from 2007 to 2010.</w:t>
      </w:r>
    </w:p>
    <w:p>
      <w:pPr>
        <w:ind w:left="1020" w:right="1140"/>
        <w:spacing w:after="0" w:line="237" w:lineRule="auto"/>
        <w:rPr>
          <w:sz w:val="20"/>
          <w:szCs w:val="20"/>
          <w:color w:val="auto"/>
        </w:rPr>
      </w:pPr>
      <w:r>
        <w:rPr>
          <w:rFonts w:ascii="Arial" w:cs="Arial" w:eastAsia="Arial" w:hAnsi="Arial"/>
          <w:sz w:val="18"/>
          <w:szCs w:val="18"/>
          <w:color w:val="auto"/>
        </w:rPr>
        <w:t>Mr. Leyden previously worked at WDC from 1983 to 2000 in various management and leadership capacities, both internationally and in the USA, in finance, operations, manufacturing, and IT. Prior to joining WDC for a second time, Mr. Leyden was Vice President and then Senior Vice President of Finance and Chief Financial Officer for various USA divisions of Sage Software PLC, a customized software solutions business, from 2001 to 2007. Mr. Leyden serves on the board of advisors for Oracle Elevator Company, a private company providing maintenance, repair, and modifications to commercial elevators, and on the board of advisors of BlytheCo, a private company that brokers a variety of third party software solutions to all sizes of businesses. These solutions include ERP and CRM software installations. Mr. Leyden also serves on the Dean’s Advisory Board at the University of California Irvine’s Paul Merage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6985</wp:posOffset>
            </wp:positionV>
            <wp:extent cx="5734685" cy="7543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34685" cy="754380"/>
                    </a:xfrm>
                    <a:prstGeom prst="rect">
                      <a:avLst/>
                    </a:prstGeom>
                    <a:noFill/>
                  </pic:spPr>
                </pic:pic>
              </a:graphicData>
            </a:graphic>
          </wp:anchor>
        </w:drawing>
      </w:r>
    </w:p>
    <w:p>
      <w:pPr>
        <w:spacing w:after="0" w:line="93" w:lineRule="exact"/>
        <w:rPr>
          <w:sz w:val="20"/>
          <w:szCs w:val="20"/>
          <w:color w:val="auto"/>
        </w:rPr>
      </w:pPr>
    </w:p>
    <w:p>
      <w:pPr>
        <w:ind w:left="1020" w:right="1180"/>
        <w:spacing w:after="0" w:line="261" w:lineRule="auto"/>
        <w:rPr>
          <w:sz w:val="20"/>
          <w:szCs w:val="20"/>
          <w:color w:val="auto"/>
        </w:rPr>
      </w:pPr>
      <w:r>
        <w:rPr>
          <w:rFonts w:ascii="Arial" w:cs="Arial" w:eastAsia="Arial" w:hAnsi="Arial"/>
          <w:sz w:val="17"/>
          <w:szCs w:val="17"/>
          <w:b w:val="1"/>
          <w:bCs w:val="1"/>
          <w:color w:val="auto"/>
        </w:rPr>
        <w:t xml:space="preserve">Qualifications: </w:t>
      </w:r>
      <w:r>
        <w:rPr>
          <w:rFonts w:ascii="Arial" w:cs="Arial" w:eastAsia="Arial" w:hAnsi="Arial"/>
          <w:sz w:val="17"/>
          <w:szCs w:val="17"/>
          <w:color w:val="auto"/>
        </w:rPr>
        <w:t>Mr. Leyden brings to the Board a mix of financial and operational experience (in both hardware</w:t>
      </w:r>
      <w:r>
        <w:rPr>
          <w:rFonts w:ascii="Arial" w:cs="Arial" w:eastAsia="Arial" w:hAnsi="Arial"/>
          <w:sz w:val="17"/>
          <w:szCs w:val="17"/>
          <w:b w:val="1"/>
          <w:bCs w:val="1"/>
          <w:color w:val="auto"/>
        </w:rPr>
        <w:t xml:space="preserve"> </w:t>
      </w:r>
      <w:r>
        <w:rPr>
          <w:rFonts w:ascii="Arial" w:cs="Arial" w:eastAsia="Arial" w:hAnsi="Arial"/>
          <w:sz w:val="17"/>
          <w:szCs w:val="17"/>
          <w:color w:val="auto"/>
        </w:rPr>
        <w:t>and software industries), in addition to a background that includes mergers and acquisitions and integration experience related to the assimilation of acquired companies into both WDC and Sage Software. His prior experience with overseeing global manufacturing, engineering, marketing, and sales operations, when combined with his financial and accounting background, adds a depth of international insight to the Board.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80" w:type="dxa"/>
            <w:vAlign w:val="bottom"/>
          </w:tcPr>
          <w:p>
            <w:pPr>
              <w:ind w:left="920"/>
              <w:spacing w:after="0"/>
              <w:rPr>
                <w:sz w:val="20"/>
                <w:szCs w:val="20"/>
                <w:color w:val="auto"/>
              </w:rPr>
            </w:pPr>
            <w:r>
              <w:rPr>
                <w:rFonts w:ascii="Arial" w:cs="Arial" w:eastAsia="Arial" w:hAnsi="Arial"/>
                <w:sz w:val="13"/>
                <w:szCs w:val="13"/>
                <w:color w:val="auto"/>
              </w:rPr>
              <w:t> </w:t>
            </w:r>
          </w:p>
        </w:tc>
        <w:tc>
          <w:tcPr>
            <w:tcW w:w="7840" w:type="dxa"/>
            <w:vAlign w:val="bottom"/>
          </w:tcPr>
          <w:p>
            <w:pPr>
              <w:jc w:val="right"/>
              <w:ind w:right="5310"/>
              <w:spacing w:after="0"/>
              <w:rPr>
                <w:sz w:val="20"/>
                <w:szCs w:val="20"/>
                <w:color w:val="auto"/>
              </w:rPr>
            </w:pPr>
            <w:r>
              <w:rPr>
                <w:rFonts w:ascii="Arial" w:cs="Arial" w:eastAsia="Arial" w:hAnsi="Arial"/>
                <w:sz w:val="18"/>
                <w:szCs w:val="18"/>
                <w:color w:val="auto"/>
              </w:rPr>
              <w:t>-7-</w:t>
            </w:r>
          </w:p>
        </w:tc>
      </w:tr>
      <w:tr>
        <w:trPr>
          <w:trHeight w:val="219"/>
        </w:trPr>
        <w:tc>
          <w:tcPr>
            <w:tcW w:w="3180" w:type="dxa"/>
            <w:vAlign w:val="bottom"/>
            <w:tcBorders>
              <w:bottom w:val="single" w:sz="8" w:color="auto"/>
            </w:tcBorders>
          </w:tcPr>
          <w:p>
            <w:pPr>
              <w:spacing w:after="0"/>
              <w:rPr>
                <w:sz w:val="19"/>
                <w:szCs w:val="19"/>
                <w:color w:val="auto"/>
              </w:rPr>
            </w:pPr>
          </w:p>
        </w:tc>
        <w:tc>
          <w:tcPr>
            <w:tcW w:w="784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582930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29300" cy="137160"/>
                    </a:xfrm>
                    <a:prstGeom prst="rect">
                      <a:avLst/>
                    </a:prstGeom>
                    <a:noFill/>
                  </pic:spPr>
                </pic:pic>
              </a:graphicData>
            </a:graphic>
          </wp:anchor>
        </w:drawing>
      </w:r>
    </w:p>
    <w:p>
      <w:pPr>
        <w:spacing w:after="0" w:line="392" w:lineRule="exact"/>
        <w:rPr>
          <w:sz w:val="20"/>
          <w:szCs w:val="20"/>
          <w:color w:val="auto"/>
        </w:rPr>
      </w:pPr>
    </w:p>
    <w:p>
      <w:pPr>
        <w:ind w:left="120"/>
        <w:spacing w:after="0"/>
        <w:tabs>
          <w:tab w:leader="none" w:pos="2440" w:val="left"/>
          <w:tab w:leader="none" w:pos="4800" w:val="left"/>
        </w:tabs>
        <w:rPr>
          <w:sz w:val="20"/>
          <w:szCs w:val="20"/>
          <w:color w:val="auto"/>
        </w:rPr>
      </w:pPr>
      <w:r>
        <w:rPr>
          <w:rFonts w:ascii="Arial" w:cs="Arial" w:eastAsia="Arial" w:hAnsi="Arial"/>
          <w:sz w:val="18"/>
          <w:szCs w:val="18"/>
          <w:b w:val="1"/>
          <w:bCs w:val="1"/>
          <w:color w:val="auto"/>
        </w:rPr>
        <w:t>Santiago Perez</w:t>
      </w:r>
      <w:r>
        <w:rPr>
          <w:sz w:val="20"/>
          <w:szCs w:val="20"/>
          <w:color w:val="auto"/>
        </w:rPr>
        <w:tab/>
      </w: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2021</w:t>
      </w:r>
      <w:r>
        <w:rPr>
          <w:sz w:val="20"/>
          <w:szCs w:val="20"/>
          <w:color w:val="auto"/>
        </w:rPr>
        <w:tab/>
      </w:r>
      <w:r>
        <w:rPr>
          <w:rFonts w:ascii="Arial" w:cs="Arial" w:eastAsia="Arial" w:hAnsi="Arial"/>
          <w:sz w:val="17"/>
          <w:szCs w:val="17"/>
          <w:b w:val="1"/>
          <w:bCs w:val="1"/>
          <w:color w:val="auto"/>
        </w:rPr>
        <w:t xml:space="preserve">Other Current Public Directorships: </w:t>
      </w:r>
      <w:r>
        <w:rPr>
          <w:rFonts w:ascii="Arial" w:cs="Arial" w:eastAsia="Arial" w:hAnsi="Arial"/>
          <w:sz w:val="17"/>
          <w:szCs w:val="17"/>
          <w:color w:val="auto"/>
        </w:rPr>
        <w:t>None</w:t>
      </w:r>
    </w:p>
    <w:p>
      <w:pPr>
        <w:spacing w:after="0" w:line="50" w:lineRule="exact"/>
        <w:rPr>
          <w:sz w:val="20"/>
          <w:szCs w:val="20"/>
          <w:color w:val="auto"/>
        </w:rPr>
      </w:pPr>
    </w:p>
    <w:p>
      <w:pPr>
        <w:ind w:left="120"/>
        <w:spacing w:after="0"/>
        <w:tabs>
          <w:tab w:leader="none" w:pos="2440" w:val="left"/>
        </w:tabs>
        <w:rPr>
          <w:sz w:val="20"/>
          <w:szCs w:val="20"/>
          <w:color w:val="auto"/>
        </w:rPr>
      </w:pPr>
      <w:r>
        <w:rPr>
          <w:rFonts w:ascii="Arial" w:cs="Arial" w:eastAsia="Arial" w:hAnsi="Arial"/>
          <w:sz w:val="18"/>
          <w:szCs w:val="18"/>
          <w:color w:val="auto"/>
        </w:rPr>
        <w:t>Age: 58</w:t>
      </w:r>
      <w:r>
        <w:rPr>
          <w:sz w:val="20"/>
          <w:szCs w:val="20"/>
          <w:color w:val="auto"/>
        </w:rPr>
        <w:tab/>
      </w:r>
      <w:r>
        <w:rPr>
          <w:rFonts w:ascii="Arial" w:cs="Arial" w:eastAsia="Arial" w:hAnsi="Arial"/>
          <w:sz w:val="17"/>
          <w:szCs w:val="17"/>
          <w:color w:val="auto"/>
        </w:rPr>
        <w:t>Independent</w:t>
      </w:r>
    </w:p>
    <w:p>
      <w:pPr>
        <w:spacing w:after="0" w:line="144" w:lineRule="exact"/>
        <w:rPr>
          <w:sz w:val="20"/>
          <w:szCs w:val="20"/>
          <w:color w:val="auto"/>
        </w:rPr>
      </w:pPr>
    </w:p>
    <w:p>
      <w:pPr>
        <w:ind w:left="120" w:right="100"/>
        <w:spacing w:after="0" w:line="241" w:lineRule="auto"/>
        <w:rPr>
          <w:sz w:val="20"/>
          <w:szCs w:val="20"/>
          <w:color w:val="auto"/>
        </w:rPr>
      </w:pPr>
      <w:r>
        <w:rPr>
          <w:rFonts w:ascii="Arial" w:cs="Arial" w:eastAsia="Arial" w:hAnsi="Arial"/>
          <w:sz w:val="18"/>
          <w:szCs w:val="18"/>
          <w:color w:val="auto"/>
        </w:rPr>
        <w:t>Santiago Perez is currently Chief Executive Officer of the Hiller Companies, a provider of fire and life safety systems and services. Mr. Perez previously served as CEO at Keter Environmental Services from January 2022 to June 2022, and before this role, as a Senior Advisor for Arsenal Capital Partners in 2021. Prior to this,</w:t>
      </w:r>
    </w:p>
    <w:p>
      <w:pPr>
        <w:spacing w:after="0" w:line="2"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Mr. Perez served as Chief Commercial Digital Officer &amp; Senior Vice President U.S. Services &amp; Solutions at Schneider Electric from 2017 to 2020. He also held several leadership roles at Johnson Controls between 1999 and 2016. These included Vice President &amp; General Manager Europe, Middle East, Africa, Latin America, where he led the company’s sales, distribution, contracting and service operations, as well as Vice President Global Business Lines &amp; Operations, leading the company’s global supply chain, product management, development and engineering. Prior to this Mr. Perez held a variety of positions in Thermo Fisher Scientific from 1997 to 1999, in United Technologies between 1991 and 1997, and with The Whiting-Turner Contracting Company from 1985 to 1989.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5829300" cy="4972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29300" cy="497205"/>
                    </a:xfrm>
                    <a:prstGeom prst="rect">
                      <a:avLst/>
                    </a:prstGeom>
                    <a:noFill/>
                  </pic:spPr>
                </pic:pic>
              </a:graphicData>
            </a:graphic>
          </wp:anchor>
        </w:drawing>
      </w:r>
    </w:p>
    <w:p>
      <w:pPr>
        <w:spacing w:after="0" w:line="95"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b w:val="1"/>
          <w:bCs w:val="1"/>
          <w:color w:val="auto"/>
        </w:rPr>
        <w:t xml:space="preserve">Qualifications: </w:t>
      </w:r>
      <w:r>
        <w:rPr>
          <w:rFonts w:ascii="Arial" w:cs="Arial" w:eastAsia="Arial" w:hAnsi="Arial"/>
          <w:sz w:val="18"/>
          <w:szCs w:val="18"/>
          <w:color w:val="auto"/>
        </w:rPr>
        <w:t>Mr. Perez brings to the board nearly 35 years of sales, product management and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experience in high-tech industries, including the energy, building automation and industrial automation sectors.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Class 3 Directors – Directors with Terms That Will Expire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573468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327" w:lineRule="exact"/>
        <w:rPr>
          <w:sz w:val="20"/>
          <w:szCs w:val="20"/>
          <w:color w:val="auto"/>
        </w:rPr>
      </w:pPr>
    </w:p>
    <w:p>
      <w:pPr>
        <w:ind w:left="100"/>
        <w:spacing w:after="0"/>
        <w:tabs>
          <w:tab w:leader="none" w:pos="2220" w:val="left"/>
          <w:tab w:leader="none" w:pos="4380" w:val="left"/>
        </w:tabs>
        <w:rPr>
          <w:sz w:val="20"/>
          <w:szCs w:val="20"/>
          <w:color w:val="auto"/>
        </w:rPr>
      </w:pPr>
      <w:r>
        <w:rPr>
          <w:rFonts w:ascii="Arial" w:cs="Arial" w:eastAsia="Arial" w:hAnsi="Arial"/>
          <w:sz w:val="18"/>
          <w:szCs w:val="18"/>
          <w:b w:val="1"/>
          <w:bCs w:val="1"/>
          <w:color w:val="auto"/>
        </w:rPr>
        <w:t>Lynda L. Ziegler</w:t>
      </w:r>
      <w:r>
        <w:rPr>
          <w:sz w:val="20"/>
          <w:szCs w:val="20"/>
          <w:color w:val="auto"/>
        </w:rPr>
        <w:tab/>
      </w: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2013</w:t>
      </w:r>
      <w:r>
        <w:rPr>
          <w:sz w:val="20"/>
          <w:szCs w:val="20"/>
          <w:color w:val="auto"/>
        </w:rPr>
        <w:tab/>
      </w:r>
      <w:r>
        <w:rPr>
          <w:rFonts w:ascii="Arial" w:cs="Arial" w:eastAsia="Arial" w:hAnsi="Arial"/>
          <w:sz w:val="17"/>
          <w:szCs w:val="17"/>
          <w:b w:val="1"/>
          <w:bCs w:val="1"/>
          <w:color w:val="auto"/>
        </w:rPr>
        <w:t xml:space="preserve">Other Current Public Directorships: </w:t>
      </w:r>
      <w:r>
        <w:rPr>
          <w:rFonts w:ascii="Arial" w:cs="Arial" w:eastAsia="Arial" w:hAnsi="Arial"/>
          <w:sz w:val="17"/>
          <w:szCs w:val="17"/>
          <w:color w:val="auto"/>
        </w:rPr>
        <w:t>None</w:t>
      </w:r>
    </w:p>
    <w:p>
      <w:pPr>
        <w:spacing w:after="0" w:line="50" w:lineRule="exact"/>
        <w:rPr>
          <w:sz w:val="20"/>
          <w:szCs w:val="20"/>
          <w:color w:val="auto"/>
        </w:rPr>
      </w:pPr>
    </w:p>
    <w:p>
      <w:pPr>
        <w:ind w:left="100"/>
        <w:spacing w:after="0"/>
        <w:tabs>
          <w:tab w:leader="none" w:pos="2220" w:val="left"/>
        </w:tabs>
        <w:rPr>
          <w:sz w:val="20"/>
          <w:szCs w:val="20"/>
          <w:color w:val="auto"/>
        </w:rPr>
      </w:pPr>
      <w:r>
        <w:rPr>
          <w:rFonts w:ascii="Arial" w:cs="Arial" w:eastAsia="Arial" w:hAnsi="Arial"/>
          <w:sz w:val="18"/>
          <w:szCs w:val="18"/>
          <w:color w:val="auto"/>
        </w:rPr>
        <w:t>Age: 70</w:t>
      </w:r>
      <w:r>
        <w:rPr>
          <w:sz w:val="20"/>
          <w:szCs w:val="20"/>
          <w:color w:val="auto"/>
        </w:rPr>
        <w:tab/>
      </w:r>
      <w:r>
        <w:rPr>
          <w:rFonts w:ascii="Arial" w:cs="Arial" w:eastAsia="Arial" w:hAnsi="Arial"/>
          <w:sz w:val="17"/>
          <w:szCs w:val="17"/>
          <w:color w:val="auto"/>
        </w:rPr>
        <w:t>Independent</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Lynda L. Ziegler was elected Vice Chair of the Board in April 2015, and then Chair of the Board in</w:t>
      </w:r>
    </w:p>
    <w:p>
      <w:pPr>
        <w:spacing w:after="0" w:line="14" w:lineRule="exact"/>
        <w:rPr>
          <w:sz w:val="20"/>
          <w:szCs w:val="20"/>
          <w:color w:val="auto"/>
        </w:rPr>
      </w:pPr>
    </w:p>
    <w:p>
      <w:pPr>
        <w:ind w:left="100" w:right="120"/>
        <w:spacing w:after="0" w:line="251" w:lineRule="auto"/>
        <w:rPr>
          <w:sz w:val="20"/>
          <w:szCs w:val="20"/>
          <w:color w:val="auto"/>
        </w:rPr>
      </w:pPr>
      <w:r>
        <w:rPr>
          <w:rFonts w:ascii="Arial" w:cs="Arial" w:eastAsia="Arial" w:hAnsi="Arial"/>
          <w:sz w:val="17"/>
          <w:szCs w:val="17"/>
          <w:color w:val="auto"/>
        </w:rPr>
        <w:t>September 2016. She was elected to a second term as Chair of the Board at the 2019 annual meeting through May 2022. In September 2012, Ms. Ziegler retired from Southern California Edison (SCE), one of the largest electric utilities in the U.S. (and a customer of Itron), whose parent is Edison International. During her tenure at SCE, she held various management positions related to customer program offerings, customer service, development, communication and implementation of energy efficiency programs, marketing and communication of smart meters, and generally led all aspects of delivering power to almost 5 million customers. From 2006 to 2011, Ms. Ziegler was Senior Vice President of Customer Service, and from January 1, 2011 until her retirement in September of 2012, she served as Executive Vice President of Power Delivery Services, where she was responsible for transmission and distribution construction and maintenance, customer service, information technology (IT), and support services including procurement and real estate management. In the past, she has served on the advisory committee for power delivery and utilization at the Electric Power Research Institute and was a founding member of the Board of the Association for Women in Water and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5734685" cy="7543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34685" cy="754380"/>
                    </a:xfrm>
                    <a:prstGeom prst="rect">
                      <a:avLst/>
                    </a:prstGeom>
                    <a:noFill/>
                  </pic:spPr>
                </pic:pic>
              </a:graphicData>
            </a:graphic>
          </wp:anchor>
        </w:drawing>
      </w:r>
    </w:p>
    <w:p>
      <w:pPr>
        <w:spacing w:after="0" w:line="87" w:lineRule="exact"/>
        <w:rPr>
          <w:sz w:val="20"/>
          <w:szCs w:val="20"/>
          <w:color w:val="auto"/>
        </w:rPr>
      </w:pPr>
    </w:p>
    <w:p>
      <w:pPr>
        <w:ind w:left="100" w:right="120"/>
        <w:spacing w:after="0" w:line="244" w:lineRule="auto"/>
        <w:rPr>
          <w:sz w:val="20"/>
          <w:szCs w:val="20"/>
          <w:color w:val="auto"/>
        </w:rPr>
      </w:pPr>
      <w:r>
        <w:rPr>
          <w:rFonts w:ascii="Arial" w:cs="Arial" w:eastAsia="Arial" w:hAnsi="Arial"/>
          <w:sz w:val="18"/>
          <w:szCs w:val="18"/>
          <w:b w:val="1"/>
          <w:bCs w:val="1"/>
          <w:color w:val="auto"/>
        </w:rPr>
        <w:t xml:space="preserve">Qualifications: </w:t>
      </w:r>
      <w:r>
        <w:rPr>
          <w:rFonts w:ascii="Arial" w:cs="Arial" w:eastAsia="Arial" w:hAnsi="Arial"/>
          <w:sz w:val="18"/>
          <w:szCs w:val="18"/>
          <w:color w:val="auto"/>
        </w:rPr>
        <w:t>Ms. Ziegler brings to the Board her extensive background with public utilities, especially with</w:t>
      </w:r>
      <w:r>
        <w:rPr>
          <w:rFonts w:ascii="Arial" w:cs="Arial" w:eastAsia="Arial" w:hAnsi="Arial"/>
          <w:sz w:val="18"/>
          <w:szCs w:val="18"/>
          <w:b w:val="1"/>
          <w:bCs w:val="1"/>
          <w:color w:val="auto"/>
        </w:rPr>
        <w:t xml:space="preserve"> </w:t>
      </w:r>
      <w:r>
        <w:rPr>
          <w:rFonts w:ascii="Arial" w:cs="Arial" w:eastAsia="Arial" w:hAnsi="Arial"/>
          <w:sz w:val="18"/>
          <w:szCs w:val="18"/>
          <w:color w:val="auto"/>
        </w:rPr>
        <w:t>her recent responsibilities in the industry related to smart meters and customer relations from the utility perspective. Her breadth of knowledge of software services, transmission and distribution construction and maintenance, IT, and business development adds to the diverse business backgrounds of our other members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573468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34685" cy="137160"/>
                    </a:xfrm>
                    <a:prstGeom prst="rect">
                      <a:avLst/>
                    </a:prstGeom>
                    <a:noFill/>
                  </pic:spPr>
                </pic:pic>
              </a:graphicData>
            </a:graphic>
          </wp:anchor>
        </w:drawing>
      </w:r>
    </w:p>
    <w:p>
      <w:pPr>
        <w:spacing w:after="0" w:line="359" w:lineRule="exact"/>
        <w:rPr>
          <w:sz w:val="20"/>
          <w:szCs w:val="20"/>
          <w:color w:val="auto"/>
        </w:rPr>
      </w:pPr>
    </w:p>
    <w:p>
      <w:pPr>
        <w:ind w:left="100"/>
        <w:spacing w:after="0"/>
        <w:tabs>
          <w:tab w:leader="none" w:pos="2220" w:val="left"/>
          <w:tab w:leader="none" w:pos="4380" w:val="left"/>
        </w:tabs>
        <w:rPr>
          <w:sz w:val="20"/>
          <w:szCs w:val="20"/>
          <w:color w:val="auto"/>
        </w:rPr>
      </w:pPr>
      <w:r>
        <w:rPr>
          <w:rFonts w:ascii="Arial" w:cs="Arial" w:eastAsia="Arial" w:hAnsi="Arial"/>
          <w:sz w:val="18"/>
          <w:szCs w:val="18"/>
          <w:b w:val="1"/>
          <w:bCs w:val="1"/>
          <w:color w:val="auto"/>
        </w:rPr>
        <w:t>Diana D. Tremblay</w:t>
      </w:r>
      <w:r>
        <w:rPr>
          <w:sz w:val="20"/>
          <w:szCs w:val="20"/>
          <w:color w:val="auto"/>
        </w:rPr>
        <w:tab/>
      </w: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2015</w:t>
      </w:r>
      <w:r>
        <w:rPr>
          <w:sz w:val="20"/>
          <w:szCs w:val="20"/>
          <w:color w:val="auto"/>
        </w:rPr>
        <w:tab/>
      </w:r>
      <w:r>
        <w:rPr>
          <w:rFonts w:ascii="Arial" w:cs="Arial" w:eastAsia="Arial" w:hAnsi="Arial"/>
          <w:sz w:val="18"/>
          <w:szCs w:val="18"/>
          <w:b w:val="1"/>
          <w:bCs w:val="1"/>
          <w:color w:val="auto"/>
        </w:rPr>
        <w:t xml:space="preserve">Other Current Public Directorships: </w:t>
      </w:r>
      <w:r>
        <w:rPr>
          <w:rFonts w:ascii="Arial" w:cs="Arial" w:eastAsia="Arial" w:hAnsi="Arial"/>
          <w:sz w:val="18"/>
          <w:szCs w:val="18"/>
          <w:color w:val="auto"/>
        </w:rPr>
        <w:t>Lightning eMotors,</w:t>
      </w:r>
    </w:p>
    <w:p>
      <w:pPr>
        <w:spacing w:after="0" w:line="14" w:lineRule="exact"/>
        <w:rPr>
          <w:sz w:val="20"/>
          <w:szCs w:val="20"/>
          <w:color w:val="auto"/>
        </w:rPr>
      </w:pPr>
    </w:p>
    <w:p>
      <w:pPr>
        <w:ind w:left="100"/>
        <w:spacing w:after="0"/>
        <w:tabs>
          <w:tab w:leader="none" w:pos="2220" w:val="left"/>
          <w:tab w:leader="none" w:pos="4380" w:val="left"/>
        </w:tabs>
        <w:rPr>
          <w:sz w:val="20"/>
          <w:szCs w:val="20"/>
          <w:color w:val="auto"/>
        </w:rPr>
      </w:pPr>
      <w:r>
        <w:rPr>
          <w:rFonts w:ascii="Arial" w:cs="Arial" w:eastAsia="Arial" w:hAnsi="Arial"/>
          <w:sz w:val="18"/>
          <w:szCs w:val="18"/>
          <w:color w:val="auto"/>
        </w:rPr>
        <w:t>Age: 63</w:t>
      </w:r>
      <w:r>
        <w:rPr>
          <w:sz w:val="20"/>
          <w:szCs w:val="20"/>
          <w:color w:val="auto"/>
        </w:rPr>
        <w:tab/>
      </w:r>
      <w:r>
        <w:rPr>
          <w:rFonts w:ascii="Arial" w:cs="Arial" w:eastAsia="Arial" w:hAnsi="Arial"/>
          <w:sz w:val="18"/>
          <w:szCs w:val="18"/>
          <w:color w:val="auto"/>
        </w:rPr>
        <w:t>Independent</w:t>
      </w:r>
      <w:r>
        <w:rPr>
          <w:sz w:val="20"/>
          <w:szCs w:val="20"/>
          <w:color w:val="auto"/>
        </w:rPr>
        <w:tab/>
      </w:r>
      <w:r>
        <w:rPr>
          <w:rFonts w:ascii="Arial" w:cs="Arial" w:eastAsia="Arial" w:hAnsi="Arial"/>
          <w:sz w:val="26"/>
          <w:szCs w:val="26"/>
          <w:color w:val="auto"/>
          <w:vertAlign w:val="superscript"/>
        </w:rPr>
        <w:t>Inc.</w:t>
      </w:r>
    </w:p>
    <w:p>
      <w:pPr>
        <w:spacing w:after="0" w:line="10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Diane D. Tremblay was elected Vice Chair of the Board in May 2021 and Chair of the Board in May 2022.</w:t>
      </w:r>
    </w:p>
    <w:p>
      <w:pPr>
        <w:ind w:left="100"/>
        <w:spacing w:after="0" w:line="234" w:lineRule="auto"/>
        <w:rPr>
          <w:sz w:val="20"/>
          <w:szCs w:val="20"/>
          <w:color w:val="auto"/>
        </w:rPr>
      </w:pPr>
      <w:r>
        <w:rPr>
          <w:rFonts w:ascii="Arial" w:cs="Arial" w:eastAsia="Arial" w:hAnsi="Arial"/>
          <w:sz w:val="18"/>
          <w:szCs w:val="18"/>
          <w:color w:val="auto"/>
        </w:rPr>
        <w:t>Ms. Tremblay retired from General Motors Company, the motor vehicle manufacturer and distributor</w:t>
      </w:r>
    </w:p>
    <w:p>
      <w:pPr>
        <w:ind w:left="100"/>
        <w:spacing w:after="0" w:line="235" w:lineRule="auto"/>
        <w:rPr>
          <w:sz w:val="20"/>
          <w:szCs w:val="20"/>
          <w:color w:val="auto"/>
        </w:rPr>
      </w:pPr>
      <w:r>
        <w:rPr>
          <w:rFonts w:ascii="Arial" w:cs="Arial" w:eastAsia="Arial" w:hAnsi="Arial"/>
          <w:sz w:val="18"/>
          <w:szCs w:val="18"/>
          <w:color w:val="auto"/>
        </w:rPr>
        <w:t>multinational corporation (NYSE: “GM”) in September 2017. She had been with that company since 1977, and</w:t>
      </w:r>
    </w:p>
    <w:p>
      <w:pPr>
        <w:ind w:left="100"/>
        <w:spacing w:after="0" w:line="235" w:lineRule="auto"/>
        <w:rPr>
          <w:sz w:val="20"/>
          <w:szCs w:val="20"/>
          <w:color w:val="auto"/>
        </w:rPr>
      </w:pPr>
      <w:r>
        <w:rPr>
          <w:rFonts w:ascii="Arial" w:cs="Arial" w:eastAsia="Arial" w:hAnsi="Arial"/>
          <w:sz w:val="18"/>
          <w:szCs w:val="18"/>
          <w:color w:val="auto"/>
        </w:rPr>
        <w:t>during her tenure at GM, she held a variety of positions in engineering, manufacturing, and labor relations,</w:t>
      </w:r>
    </w:p>
    <w:p>
      <w:pPr>
        <w:ind w:left="100"/>
        <w:spacing w:after="0" w:line="235" w:lineRule="auto"/>
        <w:rPr>
          <w:sz w:val="20"/>
          <w:szCs w:val="20"/>
          <w:color w:val="auto"/>
        </w:rPr>
      </w:pPr>
      <w:r>
        <w:rPr>
          <w:rFonts w:ascii="Arial" w:cs="Arial" w:eastAsia="Arial" w:hAnsi="Arial"/>
          <w:sz w:val="18"/>
          <w:szCs w:val="18"/>
          <w:color w:val="auto"/>
        </w:rPr>
        <w:t>including direct operational responsibility for over 50,000 employees. From July 2013 until her retirement,</w:t>
      </w:r>
    </w:p>
    <w:p>
      <w:pPr>
        <w:ind w:left="100"/>
        <w:spacing w:after="0" w:line="235" w:lineRule="auto"/>
        <w:rPr>
          <w:sz w:val="20"/>
          <w:szCs w:val="20"/>
          <w:color w:val="auto"/>
        </w:rPr>
      </w:pPr>
      <w:r>
        <w:rPr>
          <w:rFonts w:ascii="Arial" w:cs="Arial" w:eastAsia="Arial" w:hAnsi="Arial"/>
          <w:sz w:val="18"/>
          <w:szCs w:val="18"/>
          <w:color w:val="auto"/>
        </w:rPr>
        <w:t>Ms. Tremblay served as Vice President of Global Business Services, where she was charged with streamlining</w:t>
      </w:r>
    </w:p>
    <w:p>
      <w:pPr>
        <w:ind w:left="100"/>
        <w:spacing w:after="0" w:line="234" w:lineRule="auto"/>
        <w:rPr>
          <w:sz w:val="20"/>
          <w:szCs w:val="20"/>
          <w:color w:val="auto"/>
        </w:rPr>
      </w:pPr>
      <w:r>
        <w:rPr>
          <w:rFonts w:ascii="Arial" w:cs="Arial" w:eastAsia="Arial" w:hAnsi="Arial"/>
          <w:sz w:val="18"/>
          <w:szCs w:val="18"/>
          <w:color w:val="auto"/>
        </w:rPr>
        <w:t>administrative processes around the world to improve service quality, reduce complexity, and achieve cost</w:t>
      </w:r>
    </w:p>
    <w:p>
      <w:pPr>
        <w:ind w:left="100"/>
        <w:spacing w:after="0" w:line="235" w:lineRule="auto"/>
        <w:rPr>
          <w:sz w:val="20"/>
          <w:szCs w:val="20"/>
          <w:color w:val="auto"/>
        </w:rPr>
      </w:pPr>
      <w:r>
        <w:rPr>
          <w:rFonts w:ascii="Arial" w:cs="Arial" w:eastAsia="Arial" w:hAnsi="Arial"/>
          <w:sz w:val="18"/>
          <w:szCs w:val="18"/>
          <w:color w:val="auto"/>
        </w:rPr>
        <w:t>efficiencies in such areas as finance, human resources, real estate, purchasing, asset management, and</w:t>
      </w:r>
    </w:p>
    <w:p>
      <w:pPr>
        <w:ind w:left="100"/>
        <w:spacing w:after="0" w:line="235" w:lineRule="auto"/>
        <w:rPr>
          <w:sz w:val="20"/>
          <w:szCs w:val="20"/>
          <w:color w:val="auto"/>
        </w:rPr>
      </w:pPr>
      <w:r>
        <w:rPr>
          <w:rFonts w:ascii="Arial" w:cs="Arial" w:eastAsia="Arial" w:hAnsi="Arial"/>
          <w:sz w:val="18"/>
          <w:szCs w:val="18"/>
          <w:color w:val="auto"/>
        </w:rPr>
        <w:t>master data. From December 2009 to July 2013, Ms. Tremblay held the position of Vice President of</w:t>
      </w:r>
    </w:p>
    <w:p>
      <w:pPr>
        <w:ind w:left="100"/>
        <w:spacing w:after="0"/>
        <w:rPr>
          <w:sz w:val="20"/>
          <w:szCs w:val="20"/>
          <w:color w:val="auto"/>
        </w:rPr>
      </w:pPr>
      <w:r>
        <w:rPr>
          <w:rFonts w:ascii="Arial" w:cs="Arial" w:eastAsia="Arial" w:hAnsi="Arial"/>
          <w:sz w:val="18"/>
          <w:szCs w:val="18"/>
          <w:color w:val="auto"/>
        </w:rPr>
        <w:t>Manufacturing at 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5734685" cy="6254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34685" cy="625475"/>
                    </a:xfrm>
                    <a:prstGeom prst="rect">
                      <a:avLst/>
                    </a:prstGeom>
                    <a:noFill/>
                  </pic:spPr>
                </pic:pic>
              </a:graphicData>
            </a:graphic>
          </wp:anchor>
        </w:drawing>
      </w:r>
    </w:p>
    <w:p>
      <w:pPr>
        <w:spacing w:after="0" w:line="106" w:lineRule="exact"/>
        <w:rPr>
          <w:sz w:val="20"/>
          <w:szCs w:val="20"/>
          <w:color w:val="auto"/>
        </w:rPr>
      </w:pPr>
    </w:p>
    <w:p>
      <w:pPr>
        <w:ind w:left="100" w:right="340"/>
        <w:spacing w:after="0" w:line="247" w:lineRule="auto"/>
        <w:rPr>
          <w:sz w:val="20"/>
          <w:szCs w:val="20"/>
          <w:color w:val="auto"/>
        </w:rPr>
      </w:pPr>
      <w:r>
        <w:rPr>
          <w:rFonts w:ascii="Arial" w:cs="Arial" w:eastAsia="Arial" w:hAnsi="Arial"/>
          <w:sz w:val="18"/>
          <w:szCs w:val="18"/>
          <w:b w:val="1"/>
          <w:bCs w:val="1"/>
          <w:color w:val="auto"/>
        </w:rPr>
        <w:t xml:space="preserve">Qualifications: </w:t>
      </w:r>
      <w:r>
        <w:rPr>
          <w:rFonts w:ascii="Arial" w:cs="Arial" w:eastAsia="Arial" w:hAnsi="Arial"/>
          <w:sz w:val="18"/>
          <w:szCs w:val="18"/>
          <w:color w:val="auto"/>
        </w:rPr>
        <w:t>Ms. Tremblay brings to the Board her broad business experience that includes her previous</w:t>
      </w:r>
      <w:r>
        <w:rPr>
          <w:rFonts w:ascii="Arial" w:cs="Arial" w:eastAsia="Arial" w:hAnsi="Arial"/>
          <w:sz w:val="18"/>
          <w:szCs w:val="18"/>
          <w:b w:val="1"/>
          <w:bCs w:val="1"/>
          <w:color w:val="auto"/>
        </w:rPr>
        <w:t xml:space="preserve"> </w:t>
      </w:r>
      <w:r>
        <w:rPr>
          <w:rFonts w:ascii="Arial" w:cs="Arial" w:eastAsia="Arial" w:hAnsi="Arial"/>
          <w:sz w:val="18"/>
          <w:szCs w:val="18"/>
          <w:color w:val="auto"/>
        </w:rPr>
        <w:t>roles at GM as an engineer, plant manager, head of manufacturing, and lead labor relations negotiator, which together with her knowledge of business services and global manufacturing processes, provide additional international,</w:t>
      </w:r>
    </w:p>
    <w:p>
      <w:pPr>
        <w:sectPr>
          <w:pgSz w:w="11900" w:h="16838" w:orient="portrait"/>
          <w:cols w:equalWidth="0" w:num="1">
            <w:col w:w="9100"/>
          </w:cols>
          <w:pgMar w:left="1360" w:top="263" w:right="1439" w:bottom="1440" w:gutter="0" w:footer="0" w:header="0"/>
        </w:sectPr>
      </w:pPr>
    </w:p>
    <w:p>
      <w:pPr>
        <w:spacing w:after="0" w:line="336" w:lineRule="exact"/>
        <w:rPr>
          <w:sz w:val="20"/>
          <w:szCs w:val="20"/>
          <w:color w:val="auto"/>
        </w:rPr>
      </w:pPr>
    </w:p>
    <w:p>
      <w:pPr>
        <w:spacing w:after="0"/>
        <w:tabs>
          <w:tab w:leader="none" w:pos="4460" w:val="left"/>
        </w:tabs>
        <w:rPr>
          <w:sz w:val="20"/>
          <w:szCs w:val="20"/>
          <w:color w:val="auto"/>
        </w:rPr>
      </w:pPr>
      <w:r>
        <w:rPr>
          <w:rFonts w:ascii="Arial" w:cs="Arial" w:eastAsia="Arial" w:hAnsi="Arial"/>
          <w:sz w:val="12"/>
          <w:szCs w:val="12"/>
          <w:color w:val="auto"/>
        </w:rPr>
        <w:t> </w:t>
      </w:r>
      <w:r>
        <w:rPr>
          <w:sz w:val="20"/>
          <w:szCs w:val="20"/>
          <w:color w:val="auto"/>
        </w:rPr>
        <w:tab/>
      </w: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161925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00"/>
          </w:cols>
          <w:pgMar w:left="1360" w:top="263" w:right="1439" w:bottom="1440" w:gutter="0" w:footer="0" w:header="0"/>
          <w:type w:val="continuous"/>
        </w:sectPr>
      </w:pPr>
    </w:p>
    <w:bookmarkStart w:id="12" w:name="page13"/>
    <w:bookmarkEnd w:id="12"/>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93345</wp:posOffset>
            </wp:positionV>
            <wp:extent cx="582930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2930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administrative, and manufacturing perspectives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26035</wp:posOffset>
            </wp:positionV>
            <wp:extent cx="582930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29300" cy="17145"/>
                    </a:xfrm>
                    <a:prstGeom prst="rect">
                      <a:avLst/>
                    </a:prstGeom>
                    <a:noFill/>
                  </pic:spPr>
                </pic:pic>
              </a:graphicData>
            </a:graphic>
          </wp:anchor>
        </w:drawing>
      </w:r>
    </w:p>
    <w:p>
      <w:pPr>
        <w:spacing w:after="0" w:line="38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Current Class 1 Director – Not Nominated for Reelection – Director with Term That Will Expire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52070</wp:posOffset>
            </wp:positionV>
            <wp:extent cx="582930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29300" cy="137160"/>
                    </a:xfrm>
                    <a:prstGeom prst="rect">
                      <a:avLst/>
                    </a:prstGeom>
                    <a:noFill/>
                  </pic:spPr>
                </pic:pic>
              </a:graphicData>
            </a:graphic>
          </wp:anchor>
        </w:drawing>
      </w:r>
    </w:p>
    <w:p>
      <w:pPr>
        <w:spacing w:after="0" w:line="327" w:lineRule="exact"/>
        <w:rPr>
          <w:sz w:val="20"/>
          <w:szCs w:val="20"/>
          <w:color w:val="auto"/>
        </w:rPr>
      </w:pPr>
    </w:p>
    <w:p>
      <w:pPr>
        <w:ind w:left="1040"/>
        <w:spacing w:after="0"/>
        <w:tabs>
          <w:tab w:leader="none" w:pos="3180" w:val="left"/>
          <w:tab w:leader="none" w:pos="5380" w:val="left"/>
        </w:tabs>
        <w:rPr>
          <w:sz w:val="20"/>
          <w:szCs w:val="20"/>
          <w:color w:val="auto"/>
        </w:rPr>
      </w:pPr>
      <w:r>
        <w:rPr>
          <w:rFonts w:ascii="Arial" w:cs="Arial" w:eastAsia="Arial" w:hAnsi="Arial"/>
          <w:sz w:val="18"/>
          <w:szCs w:val="18"/>
          <w:b w:val="1"/>
          <w:bCs w:val="1"/>
          <w:color w:val="auto"/>
        </w:rPr>
        <w:t>Gary E. Pruitt</w:t>
      </w:r>
      <w:r>
        <w:rPr>
          <w:sz w:val="20"/>
          <w:szCs w:val="20"/>
          <w:color w:val="auto"/>
        </w:rPr>
        <w:tab/>
      </w:r>
      <w:r>
        <w:rPr>
          <w:rFonts w:ascii="Arial" w:cs="Arial" w:eastAsia="Arial" w:hAnsi="Arial"/>
          <w:sz w:val="18"/>
          <w:szCs w:val="18"/>
          <w:b w:val="1"/>
          <w:bCs w:val="1"/>
          <w:color w:val="auto"/>
        </w:rPr>
        <w:t>Director since</w:t>
      </w:r>
      <w:r>
        <w:rPr>
          <w:rFonts w:ascii="Arial" w:cs="Arial" w:eastAsia="Arial" w:hAnsi="Arial"/>
          <w:sz w:val="18"/>
          <w:szCs w:val="18"/>
          <w:color w:val="auto"/>
        </w:rPr>
        <w:t>: 2006</w:t>
      </w:r>
      <w:r>
        <w:rPr>
          <w:sz w:val="20"/>
          <w:szCs w:val="20"/>
          <w:color w:val="auto"/>
        </w:rPr>
        <w:tab/>
      </w:r>
      <w:r>
        <w:rPr>
          <w:rFonts w:ascii="Arial" w:cs="Arial" w:eastAsia="Arial" w:hAnsi="Arial"/>
          <w:sz w:val="17"/>
          <w:szCs w:val="17"/>
          <w:b w:val="1"/>
          <w:bCs w:val="1"/>
          <w:color w:val="auto"/>
        </w:rPr>
        <w:t>Other Current Public Directorships</w:t>
      </w:r>
      <w:r>
        <w:rPr>
          <w:rFonts w:ascii="Arial" w:cs="Arial" w:eastAsia="Arial" w:hAnsi="Arial"/>
          <w:sz w:val="17"/>
          <w:szCs w:val="17"/>
          <w:color w:val="auto"/>
        </w:rPr>
        <w:t>: None</w:t>
      </w:r>
    </w:p>
    <w:p>
      <w:pPr>
        <w:spacing w:after="0" w:line="50" w:lineRule="exact"/>
        <w:rPr>
          <w:sz w:val="20"/>
          <w:szCs w:val="20"/>
          <w:color w:val="auto"/>
        </w:rPr>
      </w:pPr>
    </w:p>
    <w:p>
      <w:pPr>
        <w:ind w:left="1040"/>
        <w:spacing w:after="0"/>
        <w:tabs>
          <w:tab w:leader="none" w:pos="3180" w:val="left"/>
        </w:tabs>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73</w:t>
      </w:r>
      <w:r>
        <w:rPr>
          <w:sz w:val="20"/>
          <w:szCs w:val="20"/>
          <w:color w:val="auto"/>
        </w:rPr>
        <w:tab/>
      </w:r>
      <w:r>
        <w:rPr>
          <w:rFonts w:ascii="Arial" w:cs="Arial" w:eastAsia="Arial" w:hAnsi="Arial"/>
          <w:sz w:val="17"/>
          <w:szCs w:val="17"/>
          <w:color w:val="auto"/>
        </w:rPr>
        <w:t>Independent</w:t>
      </w:r>
    </w:p>
    <w:p>
      <w:pPr>
        <w:spacing w:after="0" w:line="144" w:lineRule="exact"/>
        <w:rPr>
          <w:sz w:val="20"/>
          <w:szCs w:val="20"/>
          <w:color w:val="auto"/>
        </w:rPr>
      </w:pPr>
    </w:p>
    <w:p>
      <w:pPr>
        <w:ind w:left="1040" w:right="1020"/>
        <w:spacing w:after="0"/>
        <w:rPr>
          <w:sz w:val="20"/>
          <w:szCs w:val="20"/>
          <w:color w:val="auto"/>
        </w:rPr>
      </w:pPr>
      <w:r>
        <w:rPr>
          <w:rFonts w:ascii="Arial" w:cs="Arial" w:eastAsia="Arial" w:hAnsi="Arial"/>
          <w:sz w:val="18"/>
          <w:szCs w:val="18"/>
          <w:color w:val="auto"/>
        </w:rPr>
        <w:t>Gary E. Pruitt is not a nominee for election at the forthcoming annual meeting due to the term limit provision in our Corporate Governance Guiding Principles (Governance Principles). In 2010, Gary E. Pruitt retired as Chairman of Univar N.V. (Univar), a multi-national chemical distribution company based in Bellevue, Washington, and retired as Chief Executive Officer in October 2009. Before joining Univar in 1978, Mr. Pruitt was a chartered accountant with Arthur Andersen from 1973 through 1977. Mr. Pruitt was a member of the board of directors of PS Business Parks, Inc. (a full-service real estate company) (NYSE: “PSB”) and a member of its audit committee prior to its acquisition by Blackstone Real Estate (NYSE: “BX”) on July 20,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8890</wp:posOffset>
            </wp:positionV>
            <wp:extent cx="5829300" cy="7543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29300" cy="754380"/>
                    </a:xfrm>
                    <a:prstGeom prst="rect">
                      <a:avLst/>
                    </a:prstGeom>
                    <a:noFill/>
                  </pic:spPr>
                </pic:pic>
              </a:graphicData>
            </a:graphic>
          </wp:anchor>
        </w:drawing>
      </w:r>
    </w:p>
    <w:p>
      <w:pPr>
        <w:spacing w:after="0" w:line="97" w:lineRule="exact"/>
        <w:rPr>
          <w:sz w:val="20"/>
          <w:szCs w:val="20"/>
          <w:color w:val="auto"/>
        </w:rPr>
      </w:pPr>
    </w:p>
    <w:p>
      <w:pPr>
        <w:ind w:left="1040" w:right="1320"/>
        <w:spacing w:after="0" w:line="244" w:lineRule="auto"/>
        <w:rPr>
          <w:sz w:val="20"/>
          <w:szCs w:val="20"/>
          <w:color w:val="auto"/>
        </w:rPr>
      </w:pPr>
      <w:r>
        <w:rPr>
          <w:rFonts w:ascii="Arial" w:cs="Arial" w:eastAsia="Arial" w:hAnsi="Arial"/>
          <w:sz w:val="18"/>
          <w:szCs w:val="18"/>
          <w:b w:val="1"/>
          <w:bCs w:val="1"/>
          <w:color w:val="auto"/>
        </w:rPr>
        <w:t>Qualifications</w:t>
      </w:r>
      <w:r>
        <w:rPr>
          <w:rFonts w:ascii="Arial" w:cs="Arial" w:eastAsia="Arial" w:hAnsi="Arial"/>
          <w:sz w:val="18"/>
          <w:szCs w:val="18"/>
          <w:color w:val="auto"/>
        </w:rPr>
        <w:t>: Mr. Pruitt brings to the Board his experience as a chief executive officer of a multi-national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all the business attributes required of that position, along with operational and manufacturing expertise through his various other management positions held with Univar. His public accounting financial background and other public board experiences provide strategic and global perspectives on our business as well.</w:t>
      </w:r>
    </w:p>
    <w:p>
      <w:pPr>
        <w:spacing w:after="0" w:line="31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Snapshot of Directors and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8890</wp:posOffset>
            </wp:positionV>
            <wp:extent cx="5657850" cy="19030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w:t>
      </w:r>
    </w:p>
    <w:p>
      <w:pPr>
        <w:spacing w:after="0" w:line="86" w:lineRule="exact"/>
        <w:rPr>
          <w:sz w:val="20"/>
          <w:szCs w:val="20"/>
          <w:color w:val="auto"/>
        </w:rPr>
      </w:pPr>
    </w:p>
    <w:p>
      <w:pPr>
        <w:ind w:left="1260" w:right="1140" w:hanging="346"/>
        <w:spacing w:after="0" w:line="285" w:lineRule="auto"/>
        <w:tabs>
          <w:tab w:leader="none" w:pos="1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table includes Mr. Pruitt, who has not been renominated to serve as a director after the end of his current term ending at the annual meeting due to the term limit provision in our Governance Principles.</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Director and Director Nominee Qualifications</w:t>
      </w:r>
    </w:p>
    <w:p>
      <w:pPr>
        <w:spacing w:after="0" w:line="171" w:lineRule="exact"/>
        <w:rPr>
          <w:sz w:val="20"/>
          <w:szCs w:val="20"/>
          <w:color w:val="auto"/>
        </w:rPr>
      </w:pPr>
    </w:p>
    <w:p>
      <w:pPr>
        <w:ind w:left="920" w:right="920"/>
        <w:spacing w:after="0" w:line="239" w:lineRule="auto"/>
        <w:rPr>
          <w:sz w:val="20"/>
          <w:szCs w:val="20"/>
          <w:color w:val="auto"/>
        </w:rPr>
      </w:pPr>
      <w:r>
        <w:rPr>
          <w:rFonts w:ascii="Arial" w:cs="Arial" w:eastAsia="Arial" w:hAnsi="Arial"/>
          <w:sz w:val="18"/>
          <w:szCs w:val="18"/>
          <w:color w:val="auto"/>
        </w:rPr>
        <w:t>Our Nominating and Corporate Governance Committee assists the Board in reviewing the business and personal background of each of our directors with respect to our business and business goals. Our skill criteria for our Board members includes a person with the following personal criteria: adheres to and demonstrates the highest ethical standards and personal and professional integrity; an effective negotiator, listener, and team player; a visionary with a strategic and global perspective; a successful leader with a proven record of accomplishments; a problem-solver; an effective decision-maker; and a person who will take a strong interest in the Company. In addition, we believe that certain skills and experience should be represented on the Board, as represented below, although not every Board member must possess all such skills and experience to be considered capable of making valuable contributions to the Board.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80" w:type="dxa"/>
            <w:vAlign w:val="bottom"/>
          </w:tcPr>
          <w:p>
            <w:pPr>
              <w:ind w:left="920"/>
              <w:spacing w:after="0"/>
              <w:rPr>
                <w:sz w:val="20"/>
                <w:szCs w:val="20"/>
                <w:color w:val="auto"/>
              </w:rPr>
            </w:pPr>
            <w:r>
              <w:rPr>
                <w:rFonts w:ascii="Arial" w:cs="Arial" w:eastAsia="Arial" w:hAnsi="Arial"/>
                <w:sz w:val="13"/>
                <w:szCs w:val="13"/>
                <w:color w:val="auto"/>
              </w:rPr>
              <w:t> </w:t>
            </w:r>
          </w:p>
        </w:tc>
        <w:tc>
          <w:tcPr>
            <w:tcW w:w="7840" w:type="dxa"/>
            <w:vAlign w:val="bottom"/>
          </w:tcPr>
          <w:p>
            <w:pPr>
              <w:jc w:val="right"/>
              <w:ind w:right="5310"/>
              <w:spacing w:after="0"/>
              <w:rPr>
                <w:sz w:val="20"/>
                <w:szCs w:val="20"/>
                <w:color w:val="auto"/>
              </w:rPr>
            </w:pPr>
            <w:r>
              <w:rPr>
                <w:rFonts w:ascii="Arial" w:cs="Arial" w:eastAsia="Arial" w:hAnsi="Arial"/>
                <w:sz w:val="18"/>
                <w:szCs w:val="18"/>
                <w:color w:val="auto"/>
              </w:rPr>
              <w:t>-9-</w:t>
            </w:r>
          </w:p>
        </w:tc>
      </w:tr>
      <w:tr>
        <w:trPr>
          <w:trHeight w:val="233"/>
        </w:trPr>
        <w:tc>
          <w:tcPr>
            <w:tcW w:w="3180" w:type="dxa"/>
            <w:vAlign w:val="bottom"/>
            <w:tcBorders>
              <w:bottom w:val="single" w:sz="8" w:color="auto"/>
            </w:tcBorders>
          </w:tcPr>
          <w:p>
            <w:pPr>
              <w:spacing w:after="0"/>
              <w:rPr>
                <w:sz w:val="20"/>
                <w:szCs w:val="20"/>
                <w:color w:val="auto"/>
              </w:rPr>
            </w:pPr>
          </w:p>
        </w:tc>
        <w:tc>
          <w:tcPr>
            <w:tcW w:w="784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263" w:right="439" w:bottom="1440" w:gutter="0" w:footer="0" w:header="0"/>
        </w:sectPr>
      </w:pPr>
    </w:p>
    <w:bookmarkStart w:id="13" w:name="page14"/>
    <w:bookmarkEnd w:id="13"/>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335"/>
        </w:trPr>
        <w:tc>
          <w:tcPr>
            <w:tcW w:w="154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ind w:left="60"/>
              <w:spacing w:after="0"/>
              <w:rPr>
                <w:sz w:val="20"/>
                <w:szCs w:val="20"/>
                <w:color w:val="auto"/>
              </w:rPr>
            </w:pPr>
            <w:r>
              <w:rPr>
                <w:rFonts w:ascii="Arial" w:cs="Arial" w:eastAsia="Arial" w:hAnsi="Arial"/>
                <w:sz w:val="14"/>
                <w:szCs w:val="14"/>
                <w:b w:val="1"/>
                <w:bCs w:val="1"/>
                <w:color w:val="auto"/>
              </w:rPr>
              <w:t>Thomas L.</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Mary C.</w:t>
            </w:r>
          </w:p>
        </w:tc>
        <w:tc>
          <w:tcPr>
            <w:tcW w:w="3000" w:type="dxa"/>
            <w:vAlign w:val="bottom"/>
            <w:gridSpan w:val="4"/>
          </w:tcPr>
          <w:p>
            <w:pPr>
              <w:ind w:left="60"/>
              <w:spacing w:after="0"/>
              <w:rPr>
                <w:sz w:val="20"/>
                <w:szCs w:val="20"/>
                <w:color w:val="auto"/>
              </w:rPr>
            </w:pPr>
            <w:r>
              <w:rPr>
                <w:rFonts w:ascii="Arial" w:cs="Arial" w:eastAsia="Arial" w:hAnsi="Arial"/>
                <w:sz w:val="14"/>
                <w:szCs w:val="14"/>
                <w:b w:val="1"/>
                <w:bCs w:val="1"/>
                <w:color w:val="auto"/>
              </w:rPr>
              <w:t>Frank M. Jerome J. Timothy M. Santiago</w:t>
            </w: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Gary E.  Diana D.</w:t>
            </w:r>
          </w:p>
        </w:tc>
        <w:tc>
          <w:tcPr>
            <w:tcW w:w="740" w:type="dxa"/>
            <w:vAlign w:val="bottom"/>
          </w:tcPr>
          <w:p>
            <w:pPr>
              <w:ind w:left="60"/>
              <w:spacing w:after="0"/>
              <w:rPr>
                <w:sz w:val="20"/>
                <w:szCs w:val="20"/>
                <w:color w:val="auto"/>
              </w:rPr>
            </w:pPr>
            <w:r>
              <w:rPr>
                <w:rFonts w:ascii="Arial" w:cs="Arial" w:eastAsia="Arial" w:hAnsi="Arial"/>
                <w:sz w:val="14"/>
                <w:szCs w:val="14"/>
                <w:b w:val="1"/>
                <w:bCs w:val="1"/>
                <w:color w:val="auto"/>
              </w:rPr>
              <w:t>Lynda L.</w:t>
            </w:r>
          </w:p>
        </w:tc>
      </w:tr>
      <w:tr>
        <w:trPr>
          <w:trHeight w:val="196"/>
        </w:trPr>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ind w:left="140"/>
              <w:spacing w:after="0"/>
              <w:rPr>
                <w:sz w:val="20"/>
                <w:szCs w:val="20"/>
                <w:color w:val="auto"/>
              </w:rPr>
            </w:pPr>
            <w:r>
              <w:rPr>
                <w:rFonts w:ascii="Arial" w:cs="Arial" w:eastAsia="Arial" w:hAnsi="Arial"/>
                <w:sz w:val="14"/>
                <w:szCs w:val="14"/>
                <w:b w:val="1"/>
                <w:bCs w:val="1"/>
                <w:color w:val="auto"/>
              </w:rPr>
              <w:t>Deitrich</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Hemmingsen</w:t>
            </w:r>
          </w:p>
        </w:tc>
        <w:tc>
          <w:tcPr>
            <w:tcW w:w="760" w:type="dxa"/>
            <w:vAlign w:val="bottom"/>
          </w:tcPr>
          <w:p>
            <w:pPr>
              <w:ind w:left="40"/>
              <w:spacing w:after="0"/>
              <w:rPr>
                <w:sz w:val="20"/>
                <w:szCs w:val="20"/>
                <w:color w:val="auto"/>
              </w:rPr>
            </w:pPr>
            <w:r>
              <w:rPr>
                <w:rFonts w:ascii="Arial" w:cs="Arial" w:eastAsia="Arial" w:hAnsi="Arial"/>
                <w:sz w:val="14"/>
                <w:szCs w:val="14"/>
                <w:b w:val="1"/>
                <w:bCs w:val="1"/>
                <w:color w:val="auto"/>
              </w:rPr>
              <w:t>Jaehnert</w:t>
            </w:r>
          </w:p>
        </w:tc>
        <w:tc>
          <w:tcPr>
            <w:tcW w:w="700" w:type="dxa"/>
            <w:vAlign w:val="bottom"/>
          </w:tcPr>
          <w:p>
            <w:pPr>
              <w:ind w:left="100"/>
              <w:spacing w:after="0"/>
              <w:rPr>
                <w:sz w:val="20"/>
                <w:szCs w:val="20"/>
                <w:color w:val="auto"/>
              </w:rPr>
            </w:pPr>
            <w:r>
              <w:rPr>
                <w:rFonts w:ascii="Arial" w:cs="Arial" w:eastAsia="Arial" w:hAnsi="Arial"/>
                <w:sz w:val="14"/>
                <w:szCs w:val="14"/>
                <w:b w:val="1"/>
                <w:bCs w:val="1"/>
                <w:color w:val="auto"/>
              </w:rPr>
              <w:t>Lande</w:t>
            </w:r>
          </w:p>
        </w:tc>
        <w:tc>
          <w:tcPr>
            <w:tcW w:w="840" w:type="dxa"/>
            <w:vAlign w:val="bottom"/>
          </w:tcPr>
          <w:p>
            <w:pPr>
              <w:ind w:left="160"/>
              <w:spacing w:after="0"/>
              <w:rPr>
                <w:sz w:val="20"/>
                <w:szCs w:val="20"/>
                <w:color w:val="auto"/>
              </w:rPr>
            </w:pPr>
            <w:r>
              <w:rPr>
                <w:rFonts w:ascii="Arial" w:cs="Arial" w:eastAsia="Arial" w:hAnsi="Arial"/>
                <w:sz w:val="14"/>
                <w:szCs w:val="14"/>
                <w:b w:val="1"/>
                <w:bCs w:val="1"/>
                <w:color w:val="auto"/>
              </w:rPr>
              <w:t>Leyden</w:t>
            </w:r>
          </w:p>
        </w:tc>
        <w:tc>
          <w:tcPr>
            <w:tcW w:w="700" w:type="dxa"/>
            <w:vAlign w:val="bottom"/>
          </w:tcPr>
          <w:p>
            <w:pPr>
              <w:ind w:left="160"/>
              <w:spacing w:after="0"/>
              <w:rPr>
                <w:sz w:val="20"/>
                <w:szCs w:val="20"/>
                <w:color w:val="auto"/>
              </w:rPr>
            </w:pPr>
            <w:r>
              <w:rPr>
                <w:rFonts w:ascii="Arial" w:cs="Arial" w:eastAsia="Arial" w:hAnsi="Arial"/>
                <w:sz w:val="14"/>
                <w:szCs w:val="14"/>
                <w:b w:val="1"/>
                <w:bCs w:val="1"/>
                <w:color w:val="auto"/>
              </w:rPr>
              <w:t>Perez</w:t>
            </w: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rPr>
              <w:t>Pruitt*</w:t>
            </w:r>
          </w:p>
        </w:tc>
        <w:tc>
          <w:tcPr>
            <w:tcW w:w="760" w:type="dxa"/>
            <w:vAlign w:val="bottom"/>
          </w:tcPr>
          <w:p>
            <w:pPr>
              <w:ind w:left="80"/>
              <w:spacing w:after="0"/>
              <w:rPr>
                <w:sz w:val="20"/>
                <w:szCs w:val="20"/>
                <w:color w:val="auto"/>
              </w:rPr>
            </w:pPr>
            <w:r>
              <w:rPr>
                <w:rFonts w:ascii="Arial" w:cs="Arial" w:eastAsia="Arial" w:hAnsi="Arial"/>
                <w:sz w:val="14"/>
                <w:szCs w:val="14"/>
                <w:b w:val="1"/>
                <w:bCs w:val="1"/>
                <w:color w:val="auto"/>
              </w:rPr>
              <w:t>Tremblay</w:t>
            </w: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Ziegler</w:t>
            </w:r>
          </w:p>
        </w:tc>
      </w:tr>
      <w:tr>
        <w:trPr>
          <w:trHeight w:val="56"/>
        </w:trPr>
        <w:tc>
          <w:tcPr>
            <w:tcW w:w="1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65"/>
        </w:trPr>
        <w:tc>
          <w:tcPr>
            <w:tcW w:w="2280" w:type="dxa"/>
            <w:vAlign w:val="bottom"/>
            <w:gridSpan w:val="2"/>
            <w:shd w:val="clear" w:color="auto" w:fill="F2F2F2"/>
          </w:tcPr>
          <w:p>
            <w:pPr>
              <w:ind w:left="80"/>
              <w:spacing w:after="0"/>
              <w:rPr>
                <w:sz w:val="20"/>
                <w:szCs w:val="20"/>
                <w:color w:val="auto"/>
              </w:rPr>
            </w:pPr>
            <w:r>
              <w:rPr>
                <w:rFonts w:ascii="Arial" w:cs="Arial" w:eastAsia="Arial" w:hAnsi="Arial"/>
                <w:sz w:val="18"/>
                <w:szCs w:val="18"/>
                <w:b w:val="1"/>
                <w:bCs w:val="1"/>
                <w:color w:val="auto"/>
              </w:rPr>
              <w:t>Executive leadership</w:t>
            </w:r>
          </w:p>
        </w:tc>
        <w:tc>
          <w:tcPr>
            <w:tcW w:w="820" w:type="dxa"/>
            <w:vAlign w:val="bottom"/>
            <w:shd w:val="clear" w:color="auto" w:fill="F2F2F2"/>
          </w:tcPr>
          <w:p>
            <w:pPr>
              <w:ind w:left="3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760" w:type="dxa"/>
            <w:vAlign w:val="bottom"/>
            <w:shd w:val="clear" w:color="auto" w:fill="F2F2F2"/>
          </w:tcPr>
          <w:p>
            <w:pPr>
              <w:ind w:lef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F2F2F2"/>
          </w:tcPr>
          <w:p>
            <w:pPr>
              <w:ind w:lef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F2F2F2"/>
          </w:tcPr>
          <w:p>
            <w:pPr>
              <w:ind w:left="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F2F2F2"/>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F2F2F2"/>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F2F2F2"/>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F2F2F2"/>
          </w:tcPr>
          <w:p>
            <w:pPr>
              <w:ind w:left="260"/>
              <w:spacing w:after="0"/>
              <w:rPr>
                <w:sz w:val="20"/>
                <w:szCs w:val="20"/>
                <w:color w:val="auto"/>
              </w:rPr>
            </w:pPr>
            <w:r>
              <w:rPr>
                <w:rFonts w:ascii="Arial" w:cs="Arial" w:eastAsia="Arial" w:hAnsi="Arial"/>
                <w:sz w:val="18"/>
                <w:szCs w:val="18"/>
                <w:color w:val="auto"/>
              </w:rPr>
              <w:t>■</w:t>
            </w:r>
          </w:p>
        </w:tc>
      </w:tr>
      <w:tr>
        <w:trPr>
          <w:trHeight w:val="282"/>
        </w:trPr>
        <w:tc>
          <w:tcPr>
            <w:tcW w:w="2280" w:type="dxa"/>
            <w:vAlign w:val="bottom"/>
            <w:tcBorders>
              <w:bottom w:val="single" w:sz="8" w:color="F2F2F2"/>
            </w:tcBorders>
            <w:gridSpan w:val="2"/>
            <w:shd w:val="clear" w:color="auto" w:fill="F2F2F2"/>
          </w:tcPr>
          <w:p>
            <w:pPr>
              <w:ind w:left="260"/>
              <w:spacing w:after="0"/>
              <w:rPr>
                <w:sz w:val="20"/>
                <w:szCs w:val="20"/>
                <w:color w:val="auto"/>
              </w:rPr>
            </w:pPr>
            <w:r>
              <w:rPr>
                <w:rFonts w:ascii="Arial" w:cs="Arial" w:eastAsia="Arial" w:hAnsi="Arial"/>
                <w:sz w:val="18"/>
                <w:szCs w:val="18"/>
                <w:b w:val="1"/>
                <w:bCs w:val="1"/>
                <w:color w:val="auto"/>
              </w:rPr>
              <w:t>experience</w:t>
            </w:r>
          </w:p>
        </w:tc>
        <w:tc>
          <w:tcPr>
            <w:tcW w:w="820" w:type="dxa"/>
            <w:vAlign w:val="bottom"/>
            <w:tcBorders>
              <w:bottom w:val="single" w:sz="8" w:color="F2F2F2"/>
            </w:tcBorders>
            <w:shd w:val="clear" w:color="auto" w:fill="F2F2F2"/>
          </w:tcPr>
          <w:p>
            <w:pPr>
              <w:spacing w:after="0"/>
              <w:rPr>
                <w:sz w:val="24"/>
                <w:szCs w:val="24"/>
                <w:color w:val="auto"/>
              </w:rPr>
            </w:pPr>
          </w:p>
        </w:tc>
        <w:tc>
          <w:tcPr>
            <w:tcW w:w="1000" w:type="dxa"/>
            <w:vAlign w:val="bottom"/>
            <w:tcBorders>
              <w:bottom w:val="single" w:sz="8" w:color="F2F2F2"/>
            </w:tcBorders>
            <w:shd w:val="clear" w:color="auto" w:fill="F2F2F2"/>
          </w:tcPr>
          <w:p>
            <w:pPr>
              <w:spacing w:after="0"/>
              <w:rPr>
                <w:sz w:val="24"/>
                <w:szCs w:val="24"/>
                <w:color w:val="auto"/>
              </w:rPr>
            </w:pPr>
          </w:p>
        </w:tc>
        <w:tc>
          <w:tcPr>
            <w:tcW w:w="760" w:type="dxa"/>
            <w:vAlign w:val="bottom"/>
            <w:tcBorders>
              <w:bottom w:val="single" w:sz="8" w:color="F2F2F2"/>
            </w:tcBorders>
            <w:shd w:val="clear" w:color="auto" w:fill="F2F2F2"/>
          </w:tcPr>
          <w:p>
            <w:pPr>
              <w:spacing w:after="0"/>
              <w:rPr>
                <w:sz w:val="24"/>
                <w:szCs w:val="24"/>
                <w:color w:val="auto"/>
              </w:rPr>
            </w:pPr>
          </w:p>
        </w:tc>
        <w:tc>
          <w:tcPr>
            <w:tcW w:w="700" w:type="dxa"/>
            <w:vAlign w:val="bottom"/>
            <w:tcBorders>
              <w:bottom w:val="single" w:sz="8" w:color="F2F2F2"/>
            </w:tcBorders>
            <w:shd w:val="clear" w:color="auto" w:fill="F2F2F2"/>
          </w:tcPr>
          <w:p>
            <w:pPr>
              <w:spacing w:after="0"/>
              <w:rPr>
                <w:sz w:val="24"/>
                <w:szCs w:val="24"/>
                <w:color w:val="auto"/>
              </w:rPr>
            </w:pPr>
          </w:p>
        </w:tc>
        <w:tc>
          <w:tcPr>
            <w:tcW w:w="840" w:type="dxa"/>
            <w:vAlign w:val="bottom"/>
            <w:tcBorders>
              <w:bottom w:val="single" w:sz="8" w:color="F2F2F2"/>
            </w:tcBorders>
            <w:shd w:val="clear" w:color="auto" w:fill="F2F2F2"/>
          </w:tcPr>
          <w:p>
            <w:pPr>
              <w:spacing w:after="0"/>
              <w:rPr>
                <w:sz w:val="24"/>
                <w:szCs w:val="24"/>
                <w:color w:val="auto"/>
              </w:rPr>
            </w:pPr>
          </w:p>
        </w:tc>
        <w:tc>
          <w:tcPr>
            <w:tcW w:w="700" w:type="dxa"/>
            <w:vAlign w:val="bottom"/>
            <w:tcBorders>
              <w:bottom w:val="single" w:sz="8" w:color="F2F2F2"/>
            </w:tcBorders>
            <w:shd w:val="clear" w:color="auto" w:fill="F2F2F2"/>
          </w:tcPr>
          <w:p>
            <w:pPr>
              <w:spacing w:after="0"/>
              <w:rPr>
                <w:sz w:val="24"/>
                <w:szCs w:val="24"/>
                <w:color w:val="auto"/>
              </w:rPr>
            </w:pPr>
          </w:p>
        </w:tc>
        <w:tc>
          <w:tcPr>
            <w:tcW w:w="580" w:type="dxa"/>
            <w:vAlign w:val="bottom"/>
            <w:tcBorders>
              <w:bottom w:val="single" w:sz="8" w:color="F2F2F2"/>
            </w:tcBorders>
            <w:shd w:val="clear" w:color="auto" w:fill="F2F2F2"/>
          </w:tcPr>
          <w:p>
            <w:pPr>
              <w:spacing w:after="0"/>
              <w:rPr>
                <w:sz w:val="24"/>
                <w:szCs w:val="24"/>
                <w:color w:val="auto"/>
              </w:rPr>
            </w:pPr>
          </w:p>
        </w:tc>
        <w:tc>
          <w:tcPr>
            <w:tcW w:w="760" w:type="dxa"/>
            <w:vAlign w:val="bottom"/>
            <w:tcBorders>
              <w:bottom w:val="single" w:sz="8" w:color="F2F2F2"/>
            </w:tcBorders>
            <w:shd w:val="clear" w:color="auto" w:fill="F2F2F2"/>
          </w:tcPr>
          <w:p>
            <w:pPr>
              <w:spacing w:after="0"/>
              <w:rPr>
                <w:sz w:val="24"/>
                <w:szCs w:val="24"/>
                <w:color w:val="auto"/>
              </w:rPr>
            </w:pPr>
          </w:p>
        </w:tc>
        <w:tc>
          <w:tcPr>
            <w:tcW w:w="740" w:type="dxa"/>
            <w:vAlign w:val="bottom"/>
            <w:tcBorders>
              <w:bottom w:val="single" w:sz="8" w:color="F2F2F2"/>
            </w:tcBorders>
            <w:shd w:val="clear" w:color="auto" w:fill="F2F2F2"/>
          </w:tcPr>
          <w:p>
            <w:pPr>
              <w:spacing w:after="0"/>
              <w:rPr>
                <w:sz w:val="24"/>
                <w:szCs w:val="24"/>
                <w:color w:val="auto"/>
              </w:rPr>
            </w:pPr>
          </w:p>
        </w:tc>
      </w:tr>
      <w:tr>
        <w:trPr>
          <w:trHeight w:val="309"/>
        </w:trPr>
        <w:tc>
          <w:tcPr>
            <w:tcW w:w="2280" w:type="dxa"/>
            <w:vAlign w:val="bottom"/>
            <w:gridSpan w:val="2"/>
          </w:tcPr>
          <w:p>
            <w:pPr>
              <w:ind w:left="80"/>
              <w:spacing w:after="0"/>
              <w:rPr>
                <w:sz w:val="20"/>
                <w:szCs w:val="20"/>
                <w:color w:val="auto"/>
              </w:rPr>
            </w:pPr>
            <w:r>
              <w:rPr>
                <w:rFonts w:ascii="Arial" w:cs="Arial" w:eastAsia="Arial" w:hAnsi="Arial"/>
                <w:sz w:val="18"/>
                <w:szCs w:val="18"/>
                <w:b w:val="1"/>
                <w:bCs w:val="1"/>
                <w:color w:val="auto"/>
              </w:rPr>
              <w:t>Financial literacy/CFO</w:t>
            </w:r>
          </w:p>
        </w:tc>
        <w:tc>
          <w:tcPr>
            <w:tcW w:w="820" w:type="dxa"/>
            <w:vAlign w:val="bottom"/>
          </w:tcPr>
          <w:p>
            <w:pPr>
              <w:ind w:left="320"/>
              <w:spacing w:after="0"/>
              <w:rPr>
                <w:sz w:val="20"/>
                <w:szCs w:val="20"/>
                <w:color w:val="auto"/>
              </w:rPr>
            </w:pPr>
            <w:r>
              <w:rPr>
                <w:rFonts w:ascii="Arial" w:cs="Arial" w:eastAsia="Arial" w:hAnsi="Arial"/>
                <w:sz w:val="18"/>
                <w:szCs w:val="18"/>
                <w:color w:val="auto"/>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760" w:type="dxa"/>
            <w:vAlign w:val="bottom"/>
          </w:tcPr>
          <w:p>
            <w:pPr>
              <w:ind w:left="260"/>
              <w:spacing w:after="0"/>
              <w:rPr>
                <w:sz w:val="20"/>
                <w:szCs w:val="20"/>
                <w:color w:val="auto"/>
              </w:rPr>
            </w:pPr>
            <w:r>
              <w:rPr>
                <w:rFonts w:ascii="Arial" w:cs="Arial" w:eastAsia="Arial" w:hAnsi="Arial"/>
                <w:sz w:val="18"/>
                <w:szCs w:val="18"/>
                <w:color w:val="auto"/>
              </w:rPr>
              <w:t>■</w:t>
            </w:r>
          </w:p>
        </w:tc>
        <w:tc>
          <w:tcPr>
            <w:tcW w:w="700" w:type="dxa"/>
            <w:vAlign w:val="bottom"/>
          </w:tcPr>
          <w:p>
            <w:pPr>
              <w:ind w:left="240"/>
              <w:spacing w:after="0"/>
              <w:rPr>
                <w:sz w:val="20"/>
                <w:szCs w:val="20"/>
                <w:color w:val="auto"/>
              </w:rPr>
            </w:pPr>
            <w:r>
              <w:rPr>
                <w:rFonts w:ascii="Arial" w:cs="Arial" w:eastAsia="Arial" w:hAnsi="Arial"/>
                <w:sz w:val="18"/>
                <w:szCs w:val="18"/>
                <w:color w:val="auto"/>
              </w:rPr>
              <w:t>■</w:t>
            </w:r>
          </w:p>
        </w:tc>
        <w:tc>
          <w:tcPr>
            <w:tcW w:w="840" w:type="dxa"/>
            <w:vAlign w:val="bottom"/>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ind w:lef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5"/>
        </w:trPr>
        <w:tc>
          <w:tcPr>
            <w:tcW w:w="1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65"/>
        </w:trPr>
        <w:tc>
          <w:tcPr>
            <w:tcW w:w="2280" w:type="dxa"/>
            <w:vAlign w:val="bottom"/>
            <w:gridSpan w:val="2"/>
            <w:shd w:val="clear" w:color="auto" w:fill="F2F2F2"/>
          </w:tcPr>
          <w:p>
            <w:pPr>
              <w:ind w:left="80"/>
              <w:spacing w:after="0"/>
              <w:rPr>
                <w:sz w:val="20"/>
                <w:szCs w:val="20"/>
                <w:color w:val="auto"/>
              </w:rPr>
            </w:pPr>
            <w:r>
              <w:rPr>
                <w:rFonts w:ascii="Arial" w:cs="Arial" w:eastAsia="Arial" w:hAnsi="Arial"/>
                <w:sz w:val="18"/>
                <w:szCs w:val="18"/>
                <w:b w:val="1"/>
                <w:bCs w:val="1"/>
                <w:color w:val="auto"/>
              </w:rPr>
              <w:t>Public board and</w:t>
            </w:r>
          </w:p>
        </w:tc>
        <w:tc>
          <w:tcPr>
            <w:tcW w:w="820" w:type="dxa"/>
            <w:vAlign w:val="bottom"/>
            <w:shd w:val="clear" w:color="auto" w:fill="F2F2F2"/>
          </w:tcPr>
          <w:p>
            <w:pPr>
              <w:ind w:left="3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760" w:type="dxa"/>
            <w:vAlign w:val="bottom"/>
            <w:shd w:val="clear" w:color="auto" w:fill="F2F2F2"/>
          </w:tcPr>
          <w:p>
            <w:pPr>
              <w:ind w:left="260"/>
              <w:spacing w:after="0"/>
              <w:rPr>
                <w:sz w:val="20"/>
                <w:szCs w:val="20"/>
                <w:color w:val="auto"/>
              </w:rPr>
            </w:pPr>
            <w:r>
              <w:rPr>
                <w:rFonts w:ascii="Arial" w:cs="Arial" w:eastAsia="Arial" w:hAnsi="Arial"/>
                <w:sz w:val="18"/>
                <w:szCs w:val="18"/>
                <w:color w:val="auto"/>
              </w:rPr>
              <w:t>■</w:t>
            </w:r>
          </w:p>
        </w:tc>
        <w:tc>
          <w:tcPr>
            <w:tcW w:w="700" w:type="dxa"/>
            <w:vAlign w:val="bottom"/>
            <w:shd w:val="clear" w:color="auto" w:fill="F2F2F2"/>
          </w:tcPr>
          <w:p>
            <w:pPr>
              <w:ind w:lef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F2F2F2"/>
          </w:tcPr>
          <w:p>
            <w:pPr>
              <w:ind w:left="340"/>
              <w:spacing w:after="0"/>
              <w:rPr>
                <w:sz w:val="20"/>
                <w:szCs w:val="20"/>
                <w:color w:val="auto"/>
              </w:rPr>
            </w:pPr>
            <w:r>
              <w:rPr>
                <w:rFonts w:ascii="Arial" w:cs="Arial" w:eastAsia="Arial" w:hAnsi="Arial"/>
                <w:sz w:val="18"/>
                <w:szCs w:val="18"/>
                <w:color w:val="auto"/>
              </w:rPr>
              <w:t>■</w:t>
            </w:r>
          </w:p>
        </w:tc>
        <w:tc>
          <w:tcPr>
            <w:tcW w:w="700" w:type="dxa"/>
            <w:vAlign w:val="bottom"/>
            <w:shd w:val="clear" w:color="auto" w:fill="F2F2F2"/>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F2F2F2"/>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F2F2F2"/>
          </w:tcPr>
          <w:p>
            <w:pPr>
              <w:ind w:lef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F2F2F2"/>
          </w:tcPr>
          <w:p>
            <w:pPr>
              <w:ind w:left="260"/>
              <w:spacing w:after="0"/>
              <w:rPr>
                <w:sz w:val="20"/>
                <w:szCs w:val="20"/>
                <w:color w:val="auto"/>
              </w:rPr>
            </w:pPr>
            <w:r>
              <w:rPr>
                <w:rFonts w:ascii="Arial" w:cs="Arial" w:eastAsia="Arial" w:hAnsi="Arial"/>
                <w:sz w:val="18"/>
                <w:szCs w:val="18"/>
                <w:color w:val="auto"/>
              </w:rPr>
              <w:t>■</w:t>
            </w:r>
          </w:p>
        </w:tc>
      </w:tr>
      <w:tr>
        <w:trPr>
          <w:trHeight w:val="203"/>
        </w:trPr>
        <w:tc>
          <w:tcPr>
            <w:tcW w:w="2280" w:type="dxa"/>
            <w:vAlign w:val="bottom"/>
            <w:gridSpan w:val="2"/>
            <w:shd w:val="clear" w:color="auto" w:fill="F2F2F2"/>
          </w:tcPr>
          <w:p>
            <w:pPr>
              <w:ind w:left="260"/>
              <w:spacing w:after="0" w:line="202" w:lineRule="exact"/>
              <w:rPr>
                <w:sz w:val="20"/>
                <w:szCs w:val="20"/>
                <w:color w:val="auto"/>
              </w:rPr>
            </w:pPr>
            <w:r>
              <w:rPr>
                <w:rFonts w:ascii="Arial" w:cs="Arial" w:eastAsia="Arial" w:hAnsi="Arial"/>
                <w:sz w:val="18"/>
                <w:szCs w:val="18"/>
                <w:b w:val="1"/>
                <w:bCs w:val="1"/>
                <w:color w:val="auto"/>
              </w:rPr>
              <w:t>governance</w:t>
            </w:r>
          </w:p>
        </w:tc>
        <w:tc>
          <w:tcPr>
            <w:tcW w:w="820" w:type="dxa"/>
            <w:vAlign w:val="bottom"/>
            <w:shd w:val="clear" w:color="auto" w:fill="F2F2F2"/>
          </w:tcPr>
          <w:p>
            <w:pPr>
              <w:spacing w:after="0"/>
              <w:rPr>
                <w:sz w:val="17"/>
                <w:szCs w:val="17"/>
                <w:color w:val="auto"/>
              </w:rPr>
            </w:pPr>
          </w:p>
        </w:tc>
        <w:tc>
          <w:tcPr>
            <w:tcW w:w="1000" w:type="dxa"/>
            <w:vAlign w:val="bottom"/>
            <w:shd w:val="clear" w:color="auto" w:fill="F2F2F2"/>
          </w:tcPr>
          <w:p>
            <w:pPr>
              <w:spacing w:after="0"/>
              <w:rPr>
                <w:sz w:val="17"/>
                <w:szCs w:val="17"/>
                <w:color w:val="auto"/>
              </w:rPr>
            </w:pPr>
          </w:p>
        </w:tc>
        <w:tc>
          <w:tcPr>
            <w:tcW w:w="760" w:type="dxa"/>
            <w:vAlign w:val="bottom"/>
            <w:shd w:val="clear" w:color="auto" w:fill="F2F2F2"/>
          </w:tcPr>
          <w:p>
            <w:pPr>
              <w:spacing w:after="0"/>
              <w:rPr>
                <w:sz w:val="17"/>
                <w:szCs w:val="17"/>
                <w:color w:val="auto"/>
              </w:rPr>
            </w:pPr>
          </w:p>
        </w:tc>
        <w:tc>
          <w:tcPr>
            <w:tcW w:w="700" w:type="dxa"/>
            <w:vAlign w:val="bottom"/>
            <w:shd w:val="clear" w:color="auto" w:fill="F2F2F2"/>
          </w:tcPr>
          <w:p>
            <w:pPr>
              <w:spacing w:after="0"/>
              <w:rPr>
                <w:sz w:val="17"/>
                <w:szCs w:val="17"/>
                <w:color w:val="auto"/>
              </w:rPr>
            </w:pPr>
          </w:p>
        </w:tc>
        <w:tc>
          <w:tcPr>
            <w:tcW w:w="840" w:type="dxa"/>
            <w:vAlign w:val="bottom"/>
            <w:shd w:val="clear" w:color="auto" w:fill="F2F2F2"/>
          </w:tcPr>
          <w:p>
            <w:pPr>
              <w:spacing w:after="0"/>
              <w:rPr>
                <w:sz w:val="17"/>
                <w:szCs w:val="17"/>
                <w:color w:val="auto"/>
              </w:rPr>
            </w:pPr>
          </w:p>
        </w:tc>
        <w:tc>
          <w:tcPr>
            <w:tcW w:w="700" w:type="dxa"/>
            <w:vAlign w:val="bottom"/>
            <w:shd w:val="clear" w:color="auto" w:fill="F2F2F2"/>
          </w:tcPr>
          <w:p>
            <w:pPr>
              <w:spacing w:after="0"/>
              <w:rPr>
                <w:sz w:val="17"/>
                <w:szCs w:val="17"/>
                <w:color w:val="auto"/>
              </w:rPr>
            </w:pPr>
          </w:p>
        </w:tc>
        <w:tc>
          <w:tcPr>
            <w:tcW w:w="580" w:type="dxa"/>
            <w:vAlign w:val="bottom"/>
            <w:shd w:val="clear" w:color="auto" w:fill="F2F2F2"/>
          </w:tcPr>
          <w:p>
            <w:pPr>
              <w:spacing w:after="0"/>
              <w:rPr>
                <w:sz w:val="17"/>
                <w:szCs w:val="17"/>
                <w:color w:val="auto"/>
              </w:rPr>
            </w:pPr>
          </w:p>
        </w:tc>
        <w:tc>
          <w:tcPr>
            <w:tcW w:w="760" w:type="dxa"/>
            <w:vAlign w:val="bottom"/>
            <w:shd w:val="clear" w:color="auto" w:fill="F2F2F2"/>
          </w:tcPr>
          <w:p>
            <w:pPr>
              <w:spacing w:after="0"/>
              <w:rPr>
                <w:sz w:val="17"/>
                <w:szCs w:val="17"/>
                <w:color w:val="auto"/>
              </w:rPr>
            </w:pPr>
          </w:p>
        </w:tc>
        <w:tc>
          <w:tcPr>
            <w:tcW w:w="740" w:type="dxa"/>
            <w:vAlign w:val="bottom"/>
            <w:shd w:val="clear" w:color="auto" w:fill="F2F2F2"/>
          </w:tcPr>
          <w:p>
            <w:pPr>
              <w:spacing w:after="0"/>
              <w:rPr>
                <w:sz w:val="17"/>
                <w:szCs w:val="17"/>
                <w:color w:val="auto"/>
              </w:rPr>
            </w:pPr>
          </w:p>
        </w:tc>
      </w:tr>
      <w:tr>
        <w:trPr>
          <w:trHeight w:val="282"/>
        </w:trPr>
        <w:tc>
          <w:tcPr>
            <w:tcW w:w="2280" w:type="dxa"/>
            <w:vAlign w:val="bottom"/>
            <w:tcBorders>
              <w:bottom w:val="single" w:sz="8" w:color="F2F2F2"/>
            </w:tcBorders>
            <w:gridSpan w:val="2"/>
            <w:shd w:val="clear" w:color="auto" w:fill="F2F2F2"/>
          </w:tcPr>
          <w:p>
            <w:pPr>
              <w:ind w:left="260"/>
              <w:spacing w:after="0"/>
              <w:rPr>
                <w:sz w:val="20"/>
                <w:szCs w:val="20"/>
                <w:color w:val="auto"/>
              </w:rPr>
            </w:pPr>
            <w:r>
              <w:rPr>
                <w:rFonts w:ascii="Arial" w:cs="Arial" w:eastAsia="Arial" w:hAnsi="Arial"/>
                <w:sz w:val="18"/>
                <w:szCs w:val="18"/>
                <w:b w:val="1"/>
                <w:bCs w:val="1"/>
                <w:color w:val="auto"/>
              </w:rPr>
              <w:t>experience</w:t>
            </w:r>
          </w:p>
        </w:tc>
        <w:tc>
          <w:tcPr>
            <w:tcW w:w="820" w:type="dxa"/>
            <w:vAlign w:val="bottom"/>
            <w:tcBorders>
              <w:bottom w:val="single" w:sz="8" w:color="F2F2F2"/>
            </w:tcBorders>
            <w:shd w:val="clear" w:color="auto" w:fill="F2F2F2"/>
          </w:tcPr>
          <w:p>
            <w:pPr>
              <w:spacing w:after="0"/>
              <w:rPr>
                <w:sz w:val="24"/>
                <w:szCs w:val="24"/>
                <w:color w:val="auto"/>
              </w:rPr>
            </w:pPr>
          </w:p>
        </w:tc>
        <w:tc>
          <w:tcPr>
            <w:tcW w:w="1000" w:type="dxa"/>
            <w:vAlign w:val="bottom"/>
            <w:tcBorders>
              <w:bottom w:val="single" w:sz="8" w:color="F2F2F2"/>
            </w:tcBorders>
            <w:shd w:val="clear" w:color="auto" w:fill="F2F2F2"/>
          </w:tcPr>
          <w:p>
            <w:pPr>
              <w:spacing w:after="0"/>
              <w:rPr>
                <w:sz w:val="24"/>
                <w:szCs w:val="24"/>
                <w:color w:val="auto"/>
              </w:rPr>
            </w:pPr>
          </w:p>
        </w:tc>
        <w:tc>
          <w:tcPr>
            <w:tcW w:w="760" w:type="dxa"/>
            <w:vAlign w:val="bottom"/>
            <w:tcBorders>
              <w:bottom w:val="single" w:sz="8" w:color="F2F2F2"/>
            </w:tcBorders>
            <w:shd w:val="clear" w:color="auto" w:fill="F2F2F2"/>
          </w:tcPr>
          <w:p>
            <w:pPr>
              <w:spacing w:after="0"/>
              <w:rPr>
                <w:sz w:val="24"/>
                <w:szCs w:val="24"/>
                <w:color w:val="auto"/>
              </w:rPr>
            </w:pPr>
          </w:p>
        </w:tc>
        <w:tc>
          <w:tcPr>
            <w:tcW w:w="700" w:type="dxa"/>
            <w:vAlign w:val="bottom"/>
            <w:tcBorders>
              <w:bottom w:val="single" w:sz="8" w:color="F2F2F2"/>
            </w:tcBorders>
            <w:shd w:val="clear" w:color="auto" w:fill="F2F2F2"/>
          </w:tcPr>
          <w:p>
            <w:pPr>
              <w:spacing w:after="0"/>
              <w:rPr>
                <w:sz w:val="24"/>
                <w:szCs w:val="24"/>
                <w:color w:val="auto"/>
              </w:rPr>
            </w:pPr>
          </w:p>
        </w:tc>
        <w:tc>
          <w:tcPr>
            <w:tcW w:w="840" w:type="dxa"/>
            <w:vAlign w:val="bottom"/>
            <w:tcBorders>
              <w:bottom w:val="single" w:sz="8" w:color="F2F2F2"/>
            </w:tcBorders>
            <w:shd w:val="clear" w:color="auto" w:fill="F2F2F2"/>
          </w:tcPr>
          <w:p>
            <w:pPr>
              <w:spacing w:after="0"/>
              <w:rPr>
                <w:sz w:val="24"/>
                <w:szCs w:val="24"/>
                <w:color w:val="auto"/>
              </w:rPr>
            </w:pPr>
          </w:p>
        </w:tc>
        <w:tc>
          <w:tcPr>
            <w:tcW w:w="700" w:type="dxa"/>
            <w:vAlign w:val="bottom"/>
            <w:tcBorders>
              <w:bottom w:val="single" w:sz="8" w:color="F2F2F2"/>
            </w:tcBorders>
            <w:shd w:val="clear" w:color="auto" w:fill="F2F2F2"/>
          </w:tcPr>
          <w:p>
            <w:pPr>
              <w:spacing w:after="0"/>
              <w:rPr>
                <w:sz w:val="24"/>
                <w:szCs w:val="24"/>
                <w:color w:val="auto"/>
              </w:rPr>
            </w:pPr>
          </w:p>
        </w:tc>
        <w:tc>
          <w:tcPr>
            <w:tcW w:w="580" w:type="dxa"/>
            <w:vAlign w:val="bottom"/>
            <w:tcBorders>
              <w:bottom w:val="single" w:sz="8" w:color="F2F2F2"/>
            </w:tcBorders>
            <w:shd w:val="clear" w:color="auto" w:fill="F2F2F2"/>
          </w:tcPr>
          <w:p>
            <w:pPr>
              <w:spacing w:after="0"/>
              <w:rPr>
                <w:sz w:val="24"/>
                <w:szCs w:val="24"/>
                <w:color w:val="auto"/>
              </w:rPr>
            </w:pPr>
          </w:p>
        </w:tc>
        <w:tc>
          <w:tcPr>
            <w:tcW w:w="760" w:type="dxa"/>
            <w:vAlign w:val="bottom"/>
            <w:tcBorders>
              <w:bottom w:val="single" w:sz="8" w:color="F2F2F2"/>
            </w:tcBorders>
            <w:shd w:val="clear" w:color="auto" w:fill="F2F2F2"/>
          </w:tcPr>
          <w:p>
            <w:pPr>
              <w:spacing w:after="0"/>
              <w:rPr>
                <w:sz w:val="24"/>
                <w:szCs w:val="24"/>
                <w:color w:val="auto"/>
              </w:rPr>
            </w:pPr>
          </w:p>
        </w:tc>
        <w:tc>
          <w:tcPr>
            <w:tcW w:w="740" w:type="dxa"/>
            <w:vAlign w:val="bottom"/>
            <w:tcBorders>
              <w:bottom w:val="single" w:sz="8" w:color="F2F2F2"/>
            </w:tcBorders>
            <w:shd w:val="clear" w:color="auto" w:fill="F2F2F2"/>
          </w:tcPr>
          <w:p>
            <w:pPr>
              <w:spacing w:after="0"/>
              <w:rPr>
                <w:sz w:val="24"/>
                <w:szCs w:val="24"/>
                <w:color w:val="auto"/>
              </w:rPr>
            </w:pPr>
          </w:p>
        </w:tc>
      </w:tr>
      <w:tr>
        <w:trPr>
          <w:trHeight w:val="309"/>
        </w:trPr>
        <w:tc>
          <w:tcPr>
            <w:tcW w:w="2280" w:type="dxa"/>
            <w:vAlign w:val="bottom"/>
            <w:gridSpan w:val="2"/>
          </w:tcPr>
          <w:p>
            <w:pPr>
              <w:ind w:left="80"/>
              <w:spacing w:after="0"/>
              <w:rPr>
                <w:sz w:val="20"/>
                <w:szCs w:val="20"/>
                <w:color w:val="auto"/>
              </w:rPr>
            </w:pPr>
            <w:r>
              <w:rPr>
                <w:rFonts w:ascii="Arial" w:cs="Arial" w:eastAsia="Arial" w:hAnsi="Arial"/>
                <w:sz w:val="18"/>
                <w:szCs w:val="18"/>
                <w:b w:val="1"/>
                <w:bCs w:val="1"/>
                <w:color w:val="auto"/>
              </w:rPr>
              <w:t>Industry expertise</w:t>
            </w:r>
          </w:p>
        </w:tc>
        <w:tc>
          <w:tcPr>
            <w:tcW w:w="820" w:type="dxa"/>
            <w:vAlign w:val="bottom"/>
          </w:tcPr>
          <w:p>
            <w:pPr>
              <w:ind w:left="320"/>
              <w:spacing w:after="0"/>
              <w:rPr>
                <w:sz w:val="20"/>
                <w:szCs w:val="20"/>
                <w:color w:val="auto"/>
              </w:rPr>
            </w:pPr>
            <w:r>
              <w:rPr>
                <w:rFonts w:ascii="Arial" w:cs="Arial" w:eastAsia="Arial" w:hAnsi="Arial"/>
                <w:sz w:val="18"/>
                <w:szCs w:val="18"/>
                <w:color w:val="auto"/>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ind w:lef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r>
      <w:tr>
        <w:trPr>
          <w:trHeight w:val="56"/>
        </w:trPr>
        <w:tc>
          <w:tcPr>
            <w:tcW w:w="1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344"/>
        </w:trPr>
        <w:tc>
          <w:tcPr>
            <w:tcW w:w="2280" w:type="dxa"/>
            <w:vAlign w:val="bottom"/>
            <w:tcBorders>
              <w:bottom w:val="single" w:sz="8" w:color="F2F2F2"/>
            </w:tcBorders>
            <w:gridSpan w:val="2"/>
            <w:shd w:val="clear" w:color="auto" w:fill="F2F2F2"/>
          </w:tcPr>
          <w:p>
            <w:pPr>
              <w:ind w:left="80"/>
              <w:spacing w:after="0"/>
              <w:rPr>
                <w:sz w:val="20"/>
                <w:szCs w:val="20"/>
                <w:color w:val="auto"/>
              </w:rPr>
            </w:pPr>
            <w:r>
              <w:rPr>
                <w:rFonts w:ascii="Arial" w:cs="Arial" w:eastAsia="Arial" w:hAnsi="Arial"/>
                <w:sz w:val="18"/>
                <w:szCs w:val="18"/>
                <w:b w:val="1"/>
                <w:bCs w:val="1"/>
                <w:color w:val="auto"/>
              </w:rPr>
              <w:t>Global experience</w:t>
            </w:r>
          </w:p>
        </w:tc>
        <w:tc>
          <w:tcPr>
            <w:tcW w:w="820" w:type="dxa"/>
            <w:vAlign w:val="bottom"/>
            <w:tcBorders>
              <w:bottom w:val="single" w:sz="8" w:color="F2F2F2"/>
            </w:tcBorders>
            <w:shd w:val="clear" w:color="auto" w:fill="F2F2F2"/>
          </w:tcPr>
          <w:p>
            <w:pPr>
              <w:ind w:left="3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760" w:type="dxa"/>
            <w:vAlign w:val="bottom"/>
            <w:tcBorders>
              <w:bottom w:val="single" w:sz="8" w:color="F2F2F2"/>
            </w:tcBorders>
            <w:shd w:val="clear" w:color="auto" w:fill="F2F2F2"/>
          </w:tcPr>
          <w:p>
            <w:pPr>
              <w:ind w:left="2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F2F2F2"/>
            </w:tcBorders>
            <w:shd w:val="clear" w:color="auto" w:fill="F2F2F2"/>
          </w:tcPr>
          <w:p>
            <w:pPr>
              <w:ind w:left="3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F2F2F2"/>
            </w:tcBorders>
            <w:shd w:val="clear" w:color="auto" w:fill="F2F2F2"/>
          </w:tcPr>
          <w:p>
            <w:pPr>
              <w:ind w:left="2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F2F2F2"/>
            </w:tcBorders>
            <w:shd w:val="clear" w:color="auto" w:fill="F2F2F2"/>
          </w:tcPr>
          <w:p>
            <w:pPr>
              <w:ind w:left="3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F2F2F2"/>
            </w:tcBorders>
            <w:shd w:val="clear" w:color="auto" w:fill="F2F2F2"/>
          </w:tcPr>
          <w:p>
            <w:pPr>
              <w:spacing w:after="0"/>
              <w:rPr>
                <w:sz w:val="24"/>
                <w:szCs w:val="24"/>
                <w:color w:val="auto"/>
              </w:rPr>
            </w:pPr>
          </w:p>
        </w:tc>
      </w:tr>
      <w:tr>
        <w:trPr>
          <w:trHeight w:val="265"/>
        </w:trPr>
        <w:tc>
          <w:tcPr>
            <w:tcW w:w="2280" w:type="dxa"/>
            <w:vAlign w:val="bottom"/>
            <w:gridSpan w:val="2"/>
          </w:tcPr>
          <w:p>
            <w:pPr>
              <w:ind w:left="80"/>
              <w:spacing w:after="0"/>
              <w:rPr>
                <w:sz w:val="20"/>
                <w:szCs w:val="20"/>
                <w:color w:val="auto"/>
              </w:rPr>
            </w:pPr>
            <w:r>
              <w:rPr>
                <w:rFonts w:ascii="Arial" w:cs="Arial" w:eastAsia="Arial" w:hAnsi="Arial"/>
                <w:sz w:val="18"/>
                <w:szCs w:val="18"/>
                <w:b w:val="1"/>
                <w:bCs w:val="1"/>
                <w:color w:val="auto"/>
              </w:rPr>
              <w:t>Manufacturing and/or</w:t>
            </w:r>
          </w:p>
        </w:tc>
        <w:tc>
          <w:tcPr>
            <w:tcW w:w="820" w:type="dxa"/>
            <w:vAlign w:val="bottom"/>
          </w:tcPr>
          <w:p>
            <w:pPr>
              <w:ind w:left="320"/>
              <w:spacing w:after="0"/>
              <w:rPr>
                <w:sz w:val="20"/>
                <w:szCs w:val="20"/>
                <w:color w:val="auto"/>
              </w:rPr>
            </w:pPr>
            <w:r>
              <w:rPr>
                <w:rFonts w:ascii="Arial" w:cs="Arial" w:eastAsia="Arial" w:hAnsi="Arial"/>
                <w:sz w:val="18"/>
                <w:szCs w:val="18"/>
                <w:color w:val="auto"/>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760" w:type="dxa"/>
            <w:vAlign w:val="bottom"/>
          </w:tcPr>
          <w:p>
            <w:pPr>
              <w:ind w:left="260"/>
              <w:spacing w:after="0"/>
              <w:rPr>
                <w:sz w:val="20"/>
                <w:szCs w:val="20"/>
                <w:color w:val="auto"/>
              </w:rPr>
            </w:pPr>
            <w:r>
              <w:rPr>
                <w:rFonts w:ascii="Arial" w:cs="Arial" w:eastAsia="Arial" w:hAnsi="Arial"/>
                <w:sz w:val="18"/>
                <w:szCs w:val="18"/>
                <w:color w:val="auto"/>
              </w:rPr>
              <w:t>■</w:t>
            </w:r>
          </w:p>
        </w:tc>
        <w:tc>
          <w:tcPr>
            <w:tcW w:w="700" w:type="dxa"/>
            <w:vAlign w:val="bottom"/>
          </w:tcPr>
          <w:p>
            <w:pPr>
              <w:ind w:left="240"/>
              <w:spacing w:after="0"/>
              <w:rPr>
                <w:sz w:val="20"/>
                <w:szCs w:val="20"/>
                <w:color w:val="auto"/>
              </w:rPr>
            </w:pPr>
            <w:r>
              <w:rPr>
                <w:rFonts w:ascii="Arial" w:cs="Arial" w:eastAsia="Arial" w:hAnsi="Arial"/>
                <w:sz w:val="18"/>
                <w:szCs w:val="18"/>
                <w:color w:val="auto"/>
              </w:rPr>
              <w:t>​</w:t>
            </w:r>
          </w:p>
        </w:tc>
        <w:tc>
          <w:tcPr>
            <w:tcW w:w="840" w:type="dxa"/>
            <w:vAlign w:val="bottom"/>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ind w:left="220"/>
              <w:spacing w:after="0"/>
              <w:rPr>
                <w:sz w:val="20"/>
                <w:szCs w:val="20"/>
                <w:color w:val="auto"/>
              </w:rPr>
            </w:pPr>
            <w:r>
              <w:rPr>
                <w:rFonts w:ascii="Arial" w:cs="Arial" w:eastAsia="Arial" w:hAnsi="Arial"/>
                <w:sz w:val="18"/>
                <w:szCs w:val="18"/>
                <w:color w:val="auto"/>
              </w:rPr>
              <w:t>■</w:t>
            </w:r>
          </w:p>
        </w:tc>
        <w:tc>
          <w:tcPr>
            <w:tcW w:w="760" w:type="dxa"/>
            <w:vAlign w:val="bottom"/>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3"/>
                <w:szCs w:val="23"/>
                <w:color w:val="auto"/>
              </w:rPr>
            </w:pPr>
          </w:p>
        </w:tc>
      </w:tr>
      <w:tr>
        <w:trPr>
          <w:trHeight w:val="247"/>
        </w:trPr>
        <w:tc>
          <w:tcPr>
            <w:tcW w:w="2280" w:type="dxa"/>
            <w:vAlign w:val="bottom"/>
            <w:gridSpan w:val="2"/>
          </w:tcPr>
          <w:p>
            <w:pPr>
              <w:ind w:left="260"/>
              <w:spacing w:after="0"/>
              <w:rPr>
                <w:sz w:val="20"/>
                <w:szCs w:val="20"/>
                <w:color w:val="auto"/>
              </w:rPr>
            </w:pPr>
            <w:r>
              <w:rPr>
                <w:rFonts w:ascii="Arial" w:cs="Arial" w:eastAsia="Arial" w:hAnsi="Arial"/>
                <w:sz w:val="18"/>
                <w:szCs w:val="18"/>
                <w:b w:val="1"/>
                <w:bCs w:val="1"/>
                <w:color w:val="auto"/>
              </w:rPr>
              <w:t>Supply Chain expertise</w:t>
            </w: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56"/>
        </w:trPr>
        <w:tc>
          <w:tcPr>
            <w:tcW w:w="1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344"/>
        </w:trPr>
        <w:tc>
          <w:tcPr>
            <w:tcW w:w="2280" w:type="dxa"/>
            <w:vAlign w:val="bottom"/>
            <w:tcBorders>
              <w:bottom w:val="single" w:sz="8" w:color="F2F2F2"/>
            </w:tcBorders>
            <w:gridSpan w:val="2"/>
            <w:shd w:val="clear" w:color="auto" w:fill="F2F2F2"/>
          </w:tcPr>
          <w:p>
            <w:pPr>
              <w:ind w:left="80"/>
              <w:spacing w:after="0"/>
              <w:rPr>
                <w:sz w:val="20"/>
                <w:szCs w:val="20"/>
                <w:color w:val="auto"/>
              </w:rPr>
            </w:pPr>
            <w:r>
              <w:rPr>
                <w:rFonts w:ascii="Arial" w:cs="Arial" w:eastAsia="Arial" w:hAnsi="Arial"/>
                <w:sz w:val="18"/>
                <w:szCs w:val="18"/>
                <w:b w:val="1"/>
                <w:bCs w:val="1"/>
                <w:color w:val="auto"/>
              </w:rPr>
              <w:t>Technology</w:t>
            </w:r>
          </w:p>
        </w:tc>
        <w:tc>
          <w:tcPr>
            <w:tcW w:w="820" w:type="dxa"/>
            <w:vAlign w:val="bottom"/>
            <w:tcBorders>
              <w:bottom w:val="single" w:sz="8" w:color="F2F2F2"/>
            </w:tcBorders>
            <w:shd w:val="clear" w:color="auto" w:fill="F2F2F2"/>
          </w:tcPr>
          <w:p>
            <w:pPr>
              <w:ind w:left="3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F2F2F2"/>
            </w:tcBorders>
            <w:shd w:val="clear" w:color="auto" w:fill="F2F2F2"/>
          </w:tcPr>
          <w:p>
            <w:pPr>
              <w:spacing w:after="0"/>
              <w:rPr>
                <w:sz w:val="24"/>
                <w:szCs w:val="24"/>
                <w:color w:val="auto"/>
              </w:rPr>
            </w:pPr>
          </w:p>
        </w:tc>
        <w:tc>
          <w:tcPr>
            <w:tcW w:w="760" w:type="dxa"/>
            <w:vAlign w:val="bottom"/>
            <w:tcBorders>
              <w:bottom w:val="single" w:sz="8" w:color="F2F2F2"/>
            </w:tcBorders>
            <w:shd w:val="clear" w:color="auto" w:fill="F2F2F2"/>
          </w:tcPr>
          <w:p>
            <w:pPr>
              <w:spacing w:after="0"/>
              <w:rPr>
                <w:sz w:val="24"/>
                <w:szCs w:val="24"/>
                <w:color w:val="auto"/>
              </w:rPr>
            </w:pPr>
          </w:p>
        </w:tc>
        <w:tc>
          <w:tcPr>
            <w:tcW w:w="70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F2F2F2"/>
            </w:tcBorders>
            <w:shd w:val="clear" w:color="auto" w:fill="F2F2F2"/>
          </w:tcPr>
          <w:p>
            <w:pPr>
              <w:ind w:left="3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F2F2F2"/>
            </w:tcBorders>
            <w:shd w:val="clear" w:color="auto" w:fill="F2F2F2"/>
          </w:tcPr>
          <w:p>
            <w:pPr>
              <w:ind w:left="2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F2F2F2"/>
            </w:tcBorders>
            <w:shd w:val="clear" w:color="auto" w:fill="F2F2F2"/>
          </w:tcPr>
          <w:p>
            <w:pPr>
              <w:spacing w:after="0"/>
              <w:rPr>
                <w:sz w:val="24"/>
                <w:szCs w:val="24"/>
                <w:color w:val="auto"/>
              </w:rPr>
            </w:pPr>
          </w:p>
        </w:tc>
        <w:tc>
          <w:tcPr>
            <w:tcW w:w="740" w:type="dxa"/>
            <w:vAlign w:val="bottom"/>
            <w:tcBorders>
              <w:bottom w:val="single" w:sz="8" w:color="F2F2F2"/>
            </w:tcBorders>
            <w:shd w:val="clear" w:color="auto" w:fill="F2F2F2"/>
          </w:tcPr>
          <w:p>
            <w:pPr>
              <w:ind w:left="260"/>
              <w:spacing w:after="0"/>
              <w:rPr>
                <w:sz w:val="20"/>
                <w:szCs w:val="20"/>
                <w:color w:val="auto"/>
              </w:rPr>
            </w:pPr>
            <w:r>
              <w:rPr>
                <w:rFonts w:ascii="Arial" w:cs="Arial" w:eastAsia="Arial" w:hAnsi="Arial"/>
                <w:sz w:val="18"/>
                <w:szCs w:val="18"/>
                <w:color w:val="auto"/>
              </w:rPr>
              <w:t>■</w:t>
            </w:r>
          </w:p>
        </w:tc>
      </w:tr>
      <w:tr>
        <w:trPr>
          <w:trHeight w:val="265"/>
        </w:trPr>
        <w:tc>
          <w:tcPr>
            <w:tcW w:w="2280" w:type="dxa"/>
            <w:vAlign w:val="bottom"/>
            <w:gridSpan w:val="2"/>
          </w:tcPr>
          <w:p>
            <w:pPr>
              <w:ind w:left="80"/>
              <w:spacing w:after="0"/>
              <w:rPr>
                <w:sz w:val="20"/>
                <w:szCs w:val="20"/>
                <w:color w:val="auto"/>
              </w:rPr>
            </w:pPr>
            <w:r>
              <w:rPr>
                <w:rFonts w:ascii="Arial" w:cs="Arial" w:eastAsia="Arial" w:hAnsi="Arial"/>
                <w:sz w:val="18"/>
                <w:szCs w:val="18"/>
                <w:b w:val="1"/>
                <w:bCs w:val="1"/>
                <w:color w:val="auto"/>
              </w:rPr>
              <w:t>Marketing/sales</w:t>
            </w:r>
          </w:p>
        </w:tc>
        <w:tc>
          <w:tcPr>
            <w:tcW w:w="820" w:type="dxa"/>
            <w:vAlign w:val="bottom"/>
          </w:tcPr>
          <w:p>
            <w:pPr>
              <w:ind w:left="3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3"/>
                <w:szCs w:val="23"/>
                <w:color w:val="auto"/>
              </w:rPr>
            </w:pPr>
          </w:p>
        </w:tc>
        <w:tc>
          <w:tcPr>
            <w:tcW w:w="760" w:type="dxa"/>
            <w:vAlign w:val="bottom"/>
          </w:tcPr>
          <w:p>
            <w:pPr>
              <w:ind w:left="260"/>
              <w:spacing w:after="0"/>
              <w:rPr>
                <w:sz w:val="20"/>
                <w:szCs w:val="20"/>
                <w:color w:val="auto"/>
              </w:rPr>
            </w:pPr>
            <w:r>
              <w:rPr>
                <w:rFonts w:ascii="Arial" w:cs="Arial" w:eastAsia="Arial" w:hAnsi="Arial"/>
                <w:sz w:val="18"/>
                <w:szCs w:val="18"/>
                <w:color w:val="auto"/>
              </w:rPr>
              <w:t>​</w:t>
            </w:r>
          </w:p>
        </w:tc>
        <w:tc>
          <w:tcPr>
            <w:tcW w:w="700" w:type="dxa"/>
            <w:vAlign w:val="bottom"/>
          </w:tcPr>
          <w:p>
            <w:pPr>
              <w:ind w:left="240"/>
              <w:spacing w:after="0"/>
              <w:rPr>
                <w:sz w:val="20"/>
                <w:szCs w:val="20"/>
                <w:color w:val="auto"/>
              </w:rPr>
            </w:pPr>
            <w:r>
              <w:rPr>
                <w:rFonts w:ascii="Arial" w:cs="Arial" w:eastAsia="Arial" w:hAnsi="Arial"/>
                <w:sz w:val="18"/>
                <w:szCs w:val="18"/>
                <w:color w:val="auto"/>
              </w:rPr>
              <w:t>■</w:t>
            </w:r>
          </w:p>
        </w:tc>
        <w:tc>
          <w:tcPr>
            <w:tcW w:w="840" w:type="dxa"/>
            <w:vAlign w:val="bottom"/>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ind w:left="220"/>
              <w:spacing w:after="0"/>
              <w:rPr>
                <w:sz w:val="20"/>
                <w:szCs w:val="20"/>
                <w:color w:val="auto"/>
              </w:rPr>
            </w:pPr>
            <w:r>
              <w:rPr>
                <w:rFonts w:ascii="Arial" w:cs="Arial" w:eastAsia="Arial" w:hAnsi="Arial"/>
                <w:sz w:val="18"/>
                <w:szCs w:val="18"/>
                <w:color w:val="auto"/>
              </w:rPr>
              <w:t>■</w:t>
            </w:r>
          </w:p>
        </w:tc>
        <w:tc>
          <w:tcPr>
            <w:tcW w:w="760" w:type="dxa"/>
            <w:vAlign w:val="bottom"/>
          </w:tcPr>
          <w:p>
            <w:pPr>
              <w:ind w:left="300"/>
              <w:spacing w:after="0"/>
              <w:rPr>
                <w:sz w:val="20"/>
                <w:szCs w:val="20"/>
                <w:color w:val="auto"/>
              </w:rPr>
            </w:pPr>
            <w:r>
              <w:rPr>
                <w:rFonts w:ascii="Arial" w:cs="Arial" w:eastAsia="Arial" w:hAnsi="Arial"/>
                <w:sz w:val="18"/>
                <w:szCs w:val="18"/>
                <w:color w:val="auto"/>
              </w:rPr>
              <w:t>​</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r>
      <w:tr>
        <w:trPr>
          <w:trHeight w:val="247"/>
        </w:trPr>
        <w:tc>
          <w:tcPr>
            <w:tcW w:w="2280" w:type="dxa"/>
            <w:vAlign w:val="bottom"/>
            <w:gridSpan w:val="2"/>
          </w:tcPr>
          <w:p>
            <w:pPr>
              <w:ind w:left="260"/>
              <w:spacing w:after="0"/>
              <w:rPr>
                <w:sz w:val="20"/>
                <w:szCs w:val="20"/>
                <w:color w:val="auto"/>
              </w:rPr>
            </w:pPr>
            <w:r>
              <w:rPr>
                <w:rFonts w:ascii="Arial" w:cs="Arial" w:eastAsia="Arial" w:hAnsi="Arial"/>
                <w:sz w:val="18"/>
                <w:szCs w:val="18"/>
                <w:b w:val="1"/>
                <w:bCs w:val="1"/>
                <w:color w:val="auto"/>
              </w:rPr>
              <w:t>expertise</w:t>
            </w: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55"/>
        </w:trPr>
        <w:tc>
          <w:tcPr>
            <w:tcW w:w="15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345"/>
        </w:trPr>
        <w:tc>
          <w:tcPr>
            <w:tcW w:w="2280" w:type="dxa"/>
            <w:vAlign w:val="bottom"/>
            <w:tcBorders>
              <w:bottom w:val="single" w:sz="8" w:color="F2F2F2"/>
            </w:tcBorders>
            <w:gridSpan w:val="2"/>
            <w:shd w:val="clear" w:color="auto" w:fill="F2F2F2"/>
          </w:tcPr>
          <w:p>
            <w:pPr>
              <w:ind w:left="80"/>
              <w:spacing w:after="0"/>
              <w:rPr>
                <w:sz w:val="20"/>
                <w:szCs w:val="20"/>
                <w:color w:val="auto"/>
              </w:rPr>
            </w:pPr>
            <w:r>
              <w:rPr>
                <w:rFonts w:ascii="Arial" w:cs="Arial" w:eastAsia="Arial" w:hAnsi="Arial"/>
                <w:sz w:val="18"/>
                <w:szCs w:val="18"/>
                <w:b w:val="1"/>
                <w:bCs w:val="1"/>
                <w:color w:val="auto"/>
              </w:rPr>
              <w:t>Government expertise</w:t>
            </w:r>
          </w:p>
        </w:tc>
        <w:tc>
          <w:tcPr>
            <w:tcW w:w="820" w:type="dxa"/>
            <w:vAlign w:val="bottom"/>
            <w:tcBorders>
              <w:bottom w:val="single" w:sz="8" w:color="F2F2F2"/>
            </w:tcBorders>
            <w:shd w:val="clear" w:color="auto" w:fill="F2F2F2"/>
          </w:tcPr>
          <w:p>
            <w:pPr>
              <w:ind w:left="3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F2F2F2"/>
            </w:tcBorders>
            <w:shd w:val="clear" w:color="auto" w:fill="F2F2F2"/>
          </w:tcPr>
          <w:p>
            <w:pPr>
              <w:jc w:val="center"/>
              <w:spacing w:after="0"/>
              <w:rPr>
                <w:sz w:val="20"/>
                <w:szCs w:val="20"/>
                <w:color w:val="auto"/>
              </w:rPr>
            </w:pPr>
            <w:r>
              <w:rPr>
                <w:rFonts w:ascii="Arial" w:cs="Arial" w:eastAsia="Arial" w:hAnsi="Arial"/>
                <w:sz w:val="18"/>
                <w:szCs w:val="18"/>
                <w:color w:val="auto"/>
                <w:w w:val="91"/>
              </w:rPr>
              <w:t>■</w:t>
            </w:r>
          </w:p>
        </w:tc>
        <w:tc>
          <w:tcPr>
            <w:tcW w:w="760" w:type="dxa"/>
            <w:vAlign w:val="bottom"/>
            <w:tcBorders>
              <w:bottom w:val="single" w:sz="8" w:color="F2F2F2"/>
            </w:tcBorders>
            <w:shd w:val="clear" w:color="auto" w:fill="F2F2F2"/>
          </w:tcPr>
          <w:p>
            <w:pPr>
              <w:ind w:left="2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F2F2F2"/>
            </w:tcBorders>
            <w:shd w:val="clear" w:color="auto" w:fill="F2F2F2"/>
          </w:tcPr>
          <w:p>
            <w:pPr>
              <w:ind w:left="2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F2F2F2"/>
            </w:tcBorders>
            <w:shd w:val="clear" w:color="auto" w:fill="F2F2F2"/>
          </w:tcPr>
          <w:p>
            <w:pPr>
              <w:spacing w:after="0"/>
              <w:rPr>
                <w:sz w:val="24"/>
                <w:szCs w:val="24"/>
                <w:color w:val="auto"/>
              </w:rPr>
            </w:pPr>
          </w:p>
        </w:tc>
        <w:tc>
          <w:tcPr>
            <w:tcW w:w="700" w:type="dxa"/>
            <w:vAlign w:val="bottom"/>
            <w:tcBorders>
              <w:bottom w:val="single" w:sz="8" w:color="F2F2F2"/>
            </w:tcBorders>
            <w:shd w:val="clear" w:color="auto" w:fill="F2F2F2"/>
          </w:tcPr>
          <w:p>
            <w:pPr>
              <w:spacing w:after="0"/>
              <w:rPr>
                <w:sz w:val="24"/>
                <w:szCs w:val="24"/>
                <w:color w:val="auto"/>
              </w:rPr>
            </w:pPr>
          </w:p>
        </w:tc>
        <w:tc>
          <w:tcPr>
            <w:tcW w:w="580" w:type="dxa"/>
            <w:vAlign w:val="bottom"/>
            <w:tcBorders>
              <w:bottom w:val="single" w:sz="8" w:color="F2F2F2"/>
            </w:tcBorders>
            <w:shd w:val="clear" w:color="auto" w:fill="F2F2F2"/>
          </w:tcPr>
          <w:p>
            <w:pPr>
              <w:ind w:lef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F2F2F2"/>
            </w:tcBorders>
            <w:shd w:val="clear" w:color="auto" w:fill="F2F2F2"/>
          </w:tcPr>
          <w:p>
            <w:pPr>
              <w:spacing w:after="0"/>
              <w:rPr>
                <w:sz w:val="24"/>
                <w:szCs w:val="24"/>
                <w:color w:val="auto"/>
              </w:rPr>
            </w:pPr>
          </w:p>
        </w:tc>
        <w:tc>
          <w:tcPr>
            <w:tcW w:w="740" w:type="dxa"/>
            <w:vAlign w:val="bottom"/>
            <w:tcBorders>
              <w:bottom w:val="single" w:sz="8" w:color="F2F2F2"/>
            </w:tcBorders>
            <w:shd w:val="clear" w:color="auto" w:fill="F2F2F2"/>
          </w:tcPr>
          <w:p>
            <w:pPr>
              <w:ind w:left="260"/>
              <w:spacing w:after="0"/>
              <w:rPr>
                <w:sz w:val="20"/>
                <w:szCs w:val="20"/>
                <w:color w:val="auto"/>
              </w:rPr>
            </w:pPr>
            <w:r>
              <w:rPr>
                <w:rFonts w:ascii="Arial" w:cs="Arial" w:eastAsia="Arial" w:hAnsi="Arial"/>
                <w:sz w:val="18"/>
                <w:szCs w:val="18"/>
                <w:color w:val="auto"/>
              </w:rPr>
              <w:t>■</w:t>
            </w:r>
          </w:p>
        </w:tc>
      </w:tr>
      <w:tr>
        <w:trPr>
          <w:trHeight w:val="265"/>
        </w:trPr>
        <w:tc>
          <w:tcPr>
            <w:tcW w:w="2280" w:type="dxa"/>
            <w:vAlign w:val="bottom"/>
            <w:gridSpan w:val="2"/>
          </w:tcPr>
          <w:p>
            <w:pPr>
              <w:ind w:left="80"/>
              <w:spacing w:after="0"/>
              <w:rPr>
                <w:sz w:val="20"/>
                <w:szCs w:val="20"/>
                <w:color w:val="auto"/>
              </w:rPr>
            </w:pPr>
            <w:r>
              <w:rPr>
                <w:rFonts w:ascii="Arial" w:cs="Arial" w:eastAsia="Arial" w:hAnsi="Arial"/>
                <w:sz w:val="18"/>
                <w:szCs w:val="18"/>
                <w:b w:val="1"/>
                <w:bCs w:val="1"/>
                <w:color w:val="auto"/>
              </w:rPr>
              <w:t>Mergers and</w:t>
            </w:r>
          </w:p>
        </w:tc>
        <w:tc>
          <w:tcPr>
            <w:tcW w:w="820" w:type="dxa"/>
            <w:vAlign w:val="bottom"/>
          </w:tcPr>
          <w:p>
            <w:pPr>
              <w:ind w:left="320"/>
              <w:spacing w:after="0"/>
              <w:rPr>
                <w:sz w:val="20"/>
                <w:szCs w:val="20"/>
                <w:color w:val="auto"/>
              </w:rPr>
            </w:pPr>
            <w:r>
              <w:rPr>
                <w:rFonts w:ascii="Arial" w:cs="Arial" w:eastAsia="Arial" w:hAnsi="Arial"/>
                <w:sz w:val="18"/>
                <w:szCs w:val="18"/>
                <w:color w:val="auto"/>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w:t>
            </w:r>
          </w:p>
        </w:tc>
        <w:tc>
          <w:tcPr>
            <w:tcW w:w="760" w:type="dxa"/>
            <w:vAlign w:val="bottom"/>
          </w:tcPr>
          <w:p>
            <w:pPr>
              <w:ind w:left="260"/>
              <w:spacing w:after="0"/>
              <w:rPr>
                <w:sz w:val="20"/>
                <w:szCs w:val="20"/>
                <w:color w:val="auto"/>
              </w:rPr>
            </w:pPr>
            <w:r>
              <w:rPr>
                <w:rFonts w:ascii="Arial" w:cs="Arial" w:eastAsia="Arial" w:hAnsi="Arial"/>
                <w:sz w:val="18"/>
                <w:szCs w:val="18"/>
                <w:color w:val="auto"/>
              </w:rPr>
              <w:t>■</w:t>
            </w:r>
          </w:p>
        </w:tc>
        <w:tc>
          <w:tcPr>
            <w:tcW w:w="700" w:type="dxa"/>
            <w:vAlign w:val="bottom"/>
          </w:tcPr>
          <w:p>
            <w:pPr>
              <w:ind w:left="240"/>
              <w:spacing w:after="0"/>
              <w:rPr>
                <w:sz w:val="20"/>
                <w:szCs w:val="20"/>
                <w:color w:val="auto"/>
              </w:rPr>
            </w:pPr>
            <w:r>
              <w:rPr>
                <w:rFonts w:ascii="Arial" w:cs="Arial" w:eastAsia="Arial" w:hAnsi="Arial"/>
                <w:sz w:val="18"/>
                <w:szCs w:val="18"/>
                <w:color w:val="auto"/>
              </w:rPr>
              <w:t>■</w:t>
            </w:r>
          </w:p>
        </w:tc>
        <w:tc>
          <w:tcPr>
            <w:tcW w:w="840" w:type="dxa"/>
            <w:vAlign w:val="bottom"/>
          </w:tcPr>
          <w:p>
            <w:pPr>
              <w:ind w:left="340"/>
              <w:spacing w:after="0"/>
              <w:rPr>
                <w:sz w:val="20"/>
                <w:szCs w:val="20"/>
                <w:color w:val="auto"/>
              </w:rPr>
            </w:pPr>
            <w:r>
              <w:rPr>
                <w:rFonts w:ascii="Arial" w:cs="Arial" w:eastAsia="Arial" w:hAnsi="Arial"/>
                <w:sz w:val="18"/>
                <w:szCs w:val="18"/>
                <w:color w:val="auto"/>
              </w:rPr>
              <w:t>■</w:t>
            </w:r>
          </w:p>
        </w:tc>
        <w:tc>
          <w:tcPr>
            <w:tcW w:w="700" w:type="dxa"/>
            <w:vAlign w:val="bottom"/>
          </w:tcPr>
          <w:p>
            <w:pPr>
              <w:ind w:left="280"/>
              <w:spacing w:after="0"/>
              <w:rPr>
                <w:sz w:val="20"/>
                <w:szCs w:val="20"/>
                <w:color w:val="auto"/>
              </w:rPr>
            </w:pPr>
            <w:r>
              <w:rPr>
                <w:rFonts w:ascii="Arial" w:cs="Arial" w:eastAsia="Arial" w:hAnsi="Arial"/>
                <w:sz w:val="18"/>
                <w:szCs w:val="18"/>
                <w:color w:val="auto"/>
              </w:rPr>
              <w:t>■</w:t>
            </w:r>
          </w:p>
        </w:tc>
        <w:tc>
          <w:tcPr>
            <w:tcW w:w="580" w:type="dxa"/>
            <w:vAlign w:val="bottom"/>
          </w:tcPr>
          <w:p>
            <w:pPr>
              <w:ind w:lef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3"/>
                <w:szCs w:val="23"/>
                <w:color w:val="auto"/>
              </w:rPr>
            </w:pP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r>
      <w:tr>
        <w:trPr>
          <w:trHeight w:val="247"/>
        </w:trPr>
        <w:tc>
          <w:tcPr>
            <w:tcW w:w="2280" w:type="dxa"/>
            <w:vAlign w:val="bottom"/>
            <w:gridSpan w:val="2"/>
          </w:tcPr>
          <w:p>
            <w:pPr>
              <w:ind w:left="260"/>
              <w:spacing w:after="0"/>
              <w:rPr>
                <w:sz w:val="20"/>
                <w:szCs w:val="20"/>
                <w:color w:val="auto"/>
              </w:rPr>
            </w:pPr>
            <w:r>
              <w:rPr>
                <w:rFonts w:ascii="Arial" w:cs="Arial" w:eastAsia="Arial" w:hAnsi="Arial"/>
                <w:sz w:val="18"/>
                <w:szCs w:val="18"/>
                <w:b w:val="1"/>
                <w:bCs w:val="1"/>
                <w:color w:val="auto"/>
              </w:rPr>
              <w:t>Acquisitions</w:t>
            </w: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121285</wp:posOffset>
            </wp:positionV>
            <wp:extent cx="8229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83" w:lineRule="exact"/>
        <w:rPr>
          <w:sz w:val="20"/>
          <w:szCs w:val="20"/>
          <w:color w:val="auto"/>
        </w:rPr>
      </w:pPr>
    </w:p>
    <w:p>
      <w:pPr>
        <w:ind w:left="1260" w:right="1140" w:hanging="346"/>
        <w:spacing w:after="0" w:line="285" w:lineRule="auto"/>
        <w:tabs>
          <w:tab w:leader="none" w:pos="1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Mr. Pruitt has not been renominated to serve as a director after the end of his current term ending at the annual meeting due to the term limit provision in our Governance Principles.</w:t>
      </w:r>
    </w:p>
    <w:p>
      <w:pPr>
        <w:spacing w:after="0" w:line="108" w:lineRule="exact"/>
        <w:rPr>
          <w:sz w:val="20"/>
          <w:szCs w:val="20"/>
          <w:color w:val="auto"/>
        </w:rPr>
      </w:pPr>
    </w:p>
    <w:p>
      <w:pPr>
        <w:ind w:left="920" w:right="940"/>
        <w:spacing w:after="0" w:line="238" w:lineRule="auto"/>
        <w:rPr>
          <w:sz w:val="20"/>
          <w:szCs w:val="20"/>
          <w:color w:val="auto"/>
        </w:rPr>
      </w:pPr>
      <w:r>
        <w:rPr>
          <w:rFonts w:ascii="Arial" w:cs="Arial" w:eastAsia="Arial" w:hAnsi="Arial"/>
          <w:sz w:val="18"/>
          <w:szCs w:val="18"/>
          <w:color w:val="auto"/>
        </w:rPr>
        <w:t>Our Nominating and Corporate Governance Committee considers diversity as one of several factors relating to overall composition when recommending nominations to our Board. Although we do not have a formal policy governing how diversity is considered, our Governance Principles state that diversity is an aspect that should be considered with respect to director nominations. The Nominating and Corporate Governance Committee considers diversity by examining the entire Board membership and construes Board diversity broadly to include many factors, including, but not limited to, gender, age, race and ethnicity. As a result, the Nominating and Corporate Governance Committee strives to ensure when recommending nominations to our Board that our Board is represented by individuals with a variety of different opinions, perspectives, personal, professional, and industry experience and backgrounds, skills, and expertise. In addition, as part of our effort to provide for fresh perspectives and diverse views on our Board, our Governance Principles require that a director will not be nominated for a new term if upon such nomination the director would be 75 years of age or older or if the director has served five full terms on the Board, unless the Board determines it to be in the best interests of the Company’s shareholders to renominate the director.</w:t>
      </w:r>
    </w:p>
    <w:p>
      <w:pPr>
        <w:spacing w:after="0" w:line="153" w:lineRule="exact"/>
        <w:rPr>
          <w:sz w:val="20"/>
          <w:szCs w:val="20"/>
          <w:color w:val="auto"/>
        </w:rPr>
      </w:pPr>
    </w:p>
    <w:p>
      <w:pPr>
        <w:ind w:left="920" w:right="1060"/>
        <w:spacing w:after="0" w:line="242" w:lineRule="auto"/>
        <w:rPr>
          <w:sz w:val="20"/>
          <w:szCs w:val="20"/>
          <w:color w:val="auto"/>
        </w:rPr>
      </w:pPr>
      <w:r>
        <w:rPr>
          <w:rFonts w:ascii="Arial" w:cs="Arial" w:eastAsia="Arial" w:hAnsi="Arial"/>
          <w:sz w:val="18"/>
          <w:szCs w:val="18"/>
          <w:color w:val="auto"/>
        </w:rPr>
        <w:t>In connection with the last annual meeting, the Nominating and Corporate Governance Committee and the Board as a whole considered the diversity of the Board as a whole and the diverse perspectives of each nominee as one of several factors in its nomination decision. Currently, of the seven independent directors on our Board who are nominees or continuing on the Board after the annual meeting, two are either former Chief Financial Officers or former Chief Executive Officers, five have global business experience, one is Hispanic or Latinx, and three are women, including our Board Chair and the Chair of the Nominating and Corporate Governance Committee.</w:t>
      </w:r>
    </w:p>
    <w:p>
      <w:pPr>
        <w:spacing w:after="0" w:line="138" w:lineRule="exact"/>
        <w:rPr>
          <w:sz w:val="20"/>
          <w:szCs w:val="20"/>
          <w:color w:val="auto"/>
        </w:rPr>
      </w:pPr>
    </w:p>
    <w:p>
      <w:pPr>
        <w:ind w:left="920" w:right="1060"/>
        <w:spacing w:after="0" w:line="271" w:lineRule="auto"/>
        <w:rPr>
          <w:sz w:val="20"/>
          <w:szCs w:val="20"/>
          <w:color w:val="auto"/>
        </w:rPr>
      </w:pPr>
      <w:r>
        <w:rPr>
          <w:rFonts w:ascii="Arial" w:cs="Arial" w:eastAsia="Arial" w:hAnsi="Arial"/>
          <w:sz w:val="18"/>
          <w:szCs w:val="18"/>
          <w:color w:val="auto"/>
        </w:rPr>
        <w:t>The table below provides certain information regarding the composition of our Board. Each of the categories listed in the below table has the meaning as it is used in Nasdaq Rule 5605(f) and related instructions.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-10-</w:t>
            </w:r>
          </w:p>
        </w:tc>
      </w:tr>
      <w:tr>
        <w:trPr>
          <w:trHeight w:val="219"/>
        </w:trPr>
        <w:tc>
          <w:tcPr>
            <w:tcW w:w="316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2"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Diversity Matrix (As of March 21, 2023)</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Did Not</w:t>
            </w:r>
          </w:p>
        </w:tc>
      </w:tr>
      <w:tr>
        <w:trPr>
          <w:trHeight w:val="162"/>
        </w:trPr>
        <w:tc>
          <w:tcPr>
            <w:tcW w:w="6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Disclose</w:t>
            </w:r>
          </w:p>
        </w:tc>
      </w:tr>
      <w:tr>
        <w:trPr>
          <w:trHeight w:val="196"/>
        </w:trPr>
        <w:tc>
          <w:tcPr>
            <w:tcW w:w="6320" w:type="dxa"/>
            <w:vAlign w:val="bottom"/>
          </w:tcPr>
          <w:p>
            <w:pPr>
              <w:spacing w:after="0"/>
              <w:rPr>
                <w:sz w:val="17"/>
                <w:szCs w:val="17"/>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Female</w:t>
            </w:r>
          </w:p>
        </w:tc>
        <w:tc>
          <w:tcPr>
            <w:tcW w:w="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Male</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Non-Binary</w:t>
            </w: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Gender</w:t>
            </w:r>
          </w:p>
        </w:tc>
      </w:tr>
      <w:tr>
        <w:trPr>
          <w:trHeight w:val="56"/>
        </w:trPr>
        <w:tc>
          <w:tcPr>
            <w:tcW w:w="6320" w:type="dxa"/>
            <w:vAlign w:val="bottom"/>
            <w:tcBorders>
              <w:bottom w:val="single" w:sz="8" w:color="B2B2B2"/>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B2B2B2"/>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0" w:type="dxa"/>
            <w:vAlign w:val="bottom"/>
            <w:tcBorders>
              <w:bottom w:val="single" w:sz="8" w:color="B2B2B2"/>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B2B2B2"/>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B2B2B2"/>
            </w:tcBorders>
          </w:tcPr>
          <w:p>
            <w:pPr>
              <w:spacing w:after="0"/>
              <w:rPr>
                <w:sz w:val="4"/>
                <w:szCs w:val="4"/>
                <w:color w:val="auto"/>
              </w:rPr>
            </w:pPr>
          </w:p>
        </w:tc>
      </w:tr>
      <w:tr>
        <w:trPr>
          <w:trHeight w:val="281"/>
        </w:trPr>
        <w:tc>
          <w:tcPr>
            <w:tcW w:w="6320" w:type="dxa"/>
            <w:vAlign w:val="bottom"/>
            <w:shd w:val="clear" w:color="auto" w:fill="B2B2B2"/>
          </w:tcPr>
          <w:p>
            <w:pPr>
              <w:ind w:left="80"/>
              <w:spacing w:after="0"/>
              <w:rPr>
                <w:sz w:val="20"/>
                <w:szCs w:val="20"/>
                <w:color w:val="auto"/>
              </w:rPr>
            </w:pPr>
            <w:r>
              <w:rPr>
                <w:rFonts w:ascii="Arial" w:cs="Arial" w:eastAsia="Arial" w:hAnsi="Arial"/>
                <w:sz w:val="18"/>
                <w:szCs w:val="18"/>
                <w:color w:val="auto"/>
              </w:rPr>
              <w:t>Part I: Gender Identity</w:t>
            </w:r>
          </w:p>
        </w:tc>
        <w:tc>
          <w:tcPr>
            <w:tcW w:w="500" w:type="dxa"/>
            <w:vAlign w:val="bottom"/>
            <w:shd w:val="clear" w:color="auto" w:fill="B2B2B2"/>
          </w:tcPr>
          <w:p>
            <w:pPr>
              <w:spacing w:after="0"/>
              <w:rPr>
                <w:sz w:val="24"/>
                <w:szCs w:val="24"/>
                <w:color w:val="auto"/>
              </w:rPr>
            </w:pPr>
          </w:p>
        </w:tc>
        <w:tc>
          <w:tcPr>
            <w:tcW w:w="160" w:type="dxa"/>
            <w:vAlign w:val="bottom"/>
            <w:shd w:val="clear" w:color="auto" w:fill="B2B2B2"/>
          </w:tcPr>
          <w:p>
            <w:pPr>
              <w:spacing w:after="0"/>
              <w:rPr>
                <w:sz w:val="24"/>
                <w:szCs w:val="24"/>
                <w:color w:val="auto"/>
              </w:rPr>
            </w:pPr>
          </w:p>
        </w:tc>
        <w:tc>
          <w:tcPr>
            <w:tcW w:w="320" w:type="dxa"/>
            <w:vAlign w:val="bottom"/>
            <w:shd w:val="clear" w:color="auto" w:fill="B2B2B2"/>
          </w:tcPr>
          <w:p>
            <w:pPr>
              <w:spacing w:after="0"/>
              <w:rPr>
                <w:sz w:val="24"/>
                <w:szCs w:val="24"/>
                <w:color w:val="auto"/>
              </w:rPr>
            </w:pPr>
          </w:p>
        </w:tc>
        <w:tc>
          <w:tcPr>
            <w:tcW w:w="160" w:type="dxa"/>
            <w:vAlign w:val="bottom"/>
            <w:shd w:val="clear" w:color="auto" w:fill="B2B2B2"/>
          </w:tcPr>
          <w:p>
            <w:pPr>
              <w:spacing w:after="0"/>
              <w:rPr>
                <w:sz w:val="24"/>
                <w:szCs w:val="24"/>
                <w:color w:val="auto"/>
              </w:rPr>
            </w:pPr>
          </w:p>
        </w:tc>
        <w:tc>
          <w:tcPr>
            <w:tcW w:w="880" w:type="dxa"/>
            <w:vAlign w:val="bottom"/>
            <w:shd w:val="clear" w:color="auto" w:fill="B2B2B2"/>
          </w:tcPr>
          <w:p>
            <w:pPr>
              <w:spacing w:after="0"/>
              <w:rPr>
                <w:sz w:val="24"/>
                <w:szCs w:val="24"/>
                <w:color w:val="auto"/>
              </w:rPr>
            </w:pPr>
          </w:p>
        </w:tc>
        <w:tc>
          <w:tcPr>
            <w:tcW w:w="160" w:type="dxa"/>
            <w:vAlign w:val="bottom"/>
            <w:shd w:val="clear" w:color="auto" w:fill="B2B2B2"/>
          </w:tcPr>
          <w:p>
            <w:pPr>
              <w:spacing w:after="0"/>
              <w:rPr>
                <w:sz w:val="24"/>
                <w:szCs w:val="24"/>
                <w:color w:val="auto"/>
              </w:rPr>
            </w:pPr>
          </w:p>
        </w:tc>
        <w:tc>
          <w:tcPr>
            <w:tcW w:w="600" w:type="dxa"/>
            <w:vAlign w:val="bottom"/>
            <w:shd w:val="clear" w:color="auto" w:fill="B2B2B2"/>
          </w:tcPr>
          <w:p>
            <w:pPr>
              <w:spacing w:after="0"/>
              <w:rPr>
                <w:sz w:val="24"/>
                <w:szCs w:val="24"/>
                <w:color w:val="auto"/>
              </w:rPr>
            </w:pPr>
          </w:p>
        </w:tc>
        <w:tc>
          <w:tcPr>
            <w:tcW w:w="80" w:type="dxa"/>
            <w:vAlign w:val="bottom"/>
            <w:shd w:val="clear" w:color="auto" w:fill="B2B2B2"/>
          </w:tcPr>
          <w:p>
            <w:pPr>
              <w:spacing w:after="0"/>
              <w:rPr>
                <w:sz w:val="24"/>
                <w:szCs w:val="24"/>
                <w:color w:val="auto"/>
              </w:rPr>
            </w:pPr>
          </w:p>
        </w:tc>
      </w:tr>
      <w:tr>
        <w:trPr>
          <w:trHeight w:val="63"/>
        </w:trPr>
        <w:tc>
          <w:tcPr>
            <w:tcW w:w="6320" w:type="dxa"/>
            <w:vAlign w:val="bottom"/>
            <w:shd w:val="clear" w:color="auto" w:fill="B2B2B2"/>
          </w:tcPr>
          <w:p>
            <w:pPr>
              <w:spacing w:after="0"/>
              <w:rPr>
                <w:sz w:val="5"/>
                <w:szCs w:val="5"/>
                <w:color w:val="auto"/>
              </w:rPr>
            </w:pPr>
          </w:p>
        </w:tc>
        <w:tc>
          <w:tcPr>
            <w:tcW w:w="500" w:type="dxa"/>
            <w:vAlign w:val="bottom"/>
            <w:shd w:val="clear" w:color="auto" w:fill="B2B2B2"/>
          </w:tcPr>
          <w:p>
            <w:pPr>
              <w:spacing w:after="0"/>
              <w:rPr>
                <w:sz w:val="5"/>
                <w:szCs w:val="5"/>
                <w:color w:val="auto"/>
              </w:rPr>
            </w:pPr>
          </w:p>
        </w:tc>
        <w:tc>
          <w:tcPr>
            <w:tcW w:w="160" w:type="dxa"/>
            <w:vAlign w:val="bottom"/>
            <w:shd w:val="clear" w:color="auto" w:fill="B2B2B2"/>
          </w:tcPr>
          <w:p>
            <w:pPr>
              <w:spacing w:after="0"/>
              <w:rPr>
                <w:sz w:val="5"/>
                <w:szCs w:val="5"/>
                <w:color w:val="auto"/>
              </w:rPr>
            </w:pPr>
          </w:p>
        </w:tc>
        <w:tc>
          <w:tcPr>
            <w:tcW w:w="320" w:type="dxa"/>
            <w:vAlign w:val="bottom"/>
            <w:shd w:val="clear" w:color="auto" w:fill="B2B2B2"/>
          </w:tcPr>
          <w:p>
            <w:pPr>
              <w:spacing w:after="0"/>
              <w:rPr>
                <w:sz w:val="5"/>
                <w:szCs w:val="5"/>
                <w:color w:val="auto"/>
              </w:rPr>
            </w:pPr>
          </w:p>
        </w:tc>
        <w:tc>
          <w:tcPr>
            <w:tcW w:w="160" w:type="dxa"/>
            <w:vAlign w:val="bottom"/>
            <w:shd w:val="clear" w:color="auto" w:fill="B2B2B2"/>
          </w:tcPr>
          <w:p>
            <w:pPr>
              <w:spacing w:after="0"/>
              <w:rPr>
                <w:sz w:val="5"/>
                <w:szCs w:val="5"/>
                <w:color w:val="auto"/>
              </w:rPr>
            </w:pPr>
          </w:p>
        </w:tc>
        <w:tc>
          <w:tcPr>
            <w:tcW w:w="880" w:type="dxa"/>
            <w:vAlign w:val="bottom"/>
            <w:shd w:val="clear" w:color="auto" w:fill="B2B2B2"/>
          </w:tcPr>
          <w:p>
            <w:pPr>
              <w:spacing w:after="0"/>
              <w:rPr>
                <w:sz w:val="5"/>
                <w:szCs w:val="5"/>
                <w:color w:val="auto"/>
              </w:rPr>
            </w:pPr>
          </w:p>
        </w:tc>
        <w:tc>
          <w:tcPr>
            <w:tcW w:w="160" w:type="dxa"/>
            <w:vAlign w:val="bottom"/>
            <w:shd w:val="clear" w:color="auto" w:fill="B2B2B2"/>
          </w:tcPr>
          <w:p>
            <w:pPr>
              <w:spacing w:after="0"/>
              <w:rPr>
                <w:sz w:val="5"/>
                <w:szCs w:val="5"/>
                <w:color w:val="auto"/>
              </w:rPr>
            </w:pPr>
          </w:p>
        </w:tc>
        <w:tc>
          <w:tcPr>
            <w:tcW w:w="600" w:type="dxa"/>
            <w:vAlign w:val="bottom"/>
            <w:shd w:val="clear" w:color="auto" w:fill="B2B2B2"/>
          </w:tcPr>
          <w:p>
            <w:pPr>
              <w:spacing w:after="0"/>
              <w:rPr>
                <w:sz w:val="5"/>
                <w:szCs w:val="5"/>
                <w:color w:val="auto"/>
              </w:rPr>
            </w:pPr>
          </w:p>
        </w:tc>
        <w:tc>
          <w:tcPr>
            <w:tcW w:w="80" w:type="dxa"/>
            <w:vAlign w:val="bottom"/>
            <w:shd w:val="clear" w:color="auto" w:fill="B2B2B2"/>
          </w:tcPr>
          <w:p>
            <w:pPr>
              <w:spacing w:after="0"/>
              <w:rPr>
                <w:sz w:val="5"/>
                <w:szCs w:val="5"/>
                <w:color w:val="auto"/>
              </w:rPr>
            </w:pPr>
          </w:p>
        </w:tc>
      </w:tr>
      <w:tr>
        <w:trPr>
          <w:trHeight w:val="301"/>
        </w:trPr>
        <w:tc>
          <w:tcPr>
            <w:tcW w:w="6320" w:type="dxa"/>
            <w:vAlign w:val="bottom"/>
          </w:tcPr>
          <w:p>
            <w:pPr>
              <w:ind w:left="260"/>
              <w:spacing w:after="0"/>
              <w:rPr>
                <w:sz w:val="20"/>
                <w:szCs w:val="20"/>
                <w:color w:val="auto"/>
              </w:rPr>
            </w:pPr>
            <w:r>
              <w:rPr>
                <w:rFonts w:ascii="Arial" w:cs="Arial" w:eastAsia="Arial" w:hAnsi="Arial"/>
                <w:sz w:val="18"/>
                <w:szCs w:val="18"/>
                <w:color w:val="auto"/>
              </w:rPr>
              <w:t>Directors</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6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60" w:type="dxa"/>
            <w:vAlign w:val="bottom"/>
          </w:tcPr>
          <w:p>
            <w:pPr>
              <w:spacing w:after="0"/>
              <w:rPr>
                <w:sz w:val="24"/>
                <w:szCs w:val="2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r>
      <w:tr>
        <w:trPr>
          <w:trHeight w:val="63"/>
        </w:trPr>
        <w:tc>
          <w:tcPr>
            <w:tcW w:w="6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301"/>
        </w:trPr>
        <w:tc>
          <w:tcPr>
            <w:tcW w:w="6320" w:type="dxa"/>
            <w:vAlign w:val="bottom"/>
            <w:shd w:val="clear" w:color="auto" w:fill="B2B2B2"/>
          </w:tcPr>
          <w:p>
            <w:pPr>
              <w:ind w:left="80"/>
              <w:spacing w:after="0"/>
              <w:rPr>
                <w:sz w:val="20"/>
                <w:szCs w:val="20"/>
                <w:color w:val="auto"/>
              </w:rPr>
            </w:pPr>
            <w:r>
              <w:rPr>
                <w:rFonts w:ascii="Arial" w:cs="Arial" w:eastAsia="Arial" w:hAnsi="Arial"/>
                <w:sz w:val="18"/>
                <w:szCs w:val="18"/>
                <w:color w:val="auto"/>
              </w:rPr>
              <w:t>Part II: Demographic Background</w:t>
            </w:r>
          </w:p>
        </w:tc>
        <w:tc>
          <w:tcPr>
            <w:tcW w:w="500" w:type="dxa"/>
            <w:vAlign w:val="bottom"/>
            <w:shd w:val="clear" w:color="auto" w:fill="B2B2B2"/>
          </w:tcPr>
          <w:p>
            <w:pPr>
              <w:spacing w:after="0"/>
              <w:rPr>
                <w:sz w:val="24"/>
                <w:szCs w:val="24"/>
                <w:color w:val="auto"/>
              </w:rPr>
            </w:pPr>
          </w:p>
        </w:tc>
        <w:tc>
          <w:tcPr>
            <w:tcW w:w="160" w:type="dxa"/>
            <w:vAlign w:val="bottom"/>
            <w:shd w:val="clear" w:color="auto" w:fill="B2B2B2"/>
          </w:tcPr>
          <w:p>
            <w:pPr>
              <w:spacing w:after="0"/>
              <w:rPr>
                <w:sz w:val="24"/>
                <w:szCs w:val="24"/>
                <w:color w:val="auto"/>
              </w:rPr>
            </w:pPr>
          </w:p>
        </w:tc>
        <w:tc>
          <w:tcPr>
            <w:tcW w:w="320" w:type="dxa"/>
            <w:vAlign w:val="bottom"/>
            <w:shd w:val="clear" w:color="auto" w:fill="B2B2B2"/>
          </w:tcPr>
          <w:p>
            <w:pPr>
              <w:spacing w:after="0"/>
              <w:rPr>
                <w:sz w:val="24"/>
                <w:szCs w:val="24"/>
                <w:color w:val="auto"/>
              </w:rPr>
            </w:pPr>
          </w:p>
        </w:tc>
        <w:tc>
          <w:tcPr>
            <w:tcW w:w="160" w:type="dxa"/>
            <w:vAlign w:val="bottom"/>
            <w:shd w:val="clear" w:color="auto" w:fill="B2B2B2"/>
          </w:tcPr>
          <w:p>
            <w:pPr>
              <w:spacing w:after="0"/>
              <w:rPr>
                <w:sz w:val="24"/>
                <w:szCs w:val="24"/>
                <w:color w:val="auto"/>
              </w:rPr>
            </w:pPr>
          </w:p>
        </w:tc>
        <w:tc>
          <w:tcPr>
            <w:tcW w:w="880" w:type="dxa"/>
            <w:vAlign w:val="bottom"/>
            <w:shd w:val="clear" w:color="auto" w:fill="B2B2B2"/>
          </w:tcPr>
          <w:p>
            <w:pPr>
              <w:spacing w:after="0"/>
              <w:rPr>
                <w:sz w:val="24"/>
                <w:szCs w:val="24"/>
                <w:color w:val="auto"/>
              </w:rPr>
            </w:pPr>
          </w:p>
        </w:tc>
        <w:tc>
          <w:tcPr>
            <w:tcW w:w="160" w:type="dxa"/>
            <w:vAlign w:val="bottom"/>
            <w:shd w:val="clear" w:color="auto" w:fill="B2B2B2"/>
          </w:tcPr>
          <w:p>
            <w:pPr>
              <w:spacing w:after="0"/>
              <w:rPr>
                <w:sz w:val="24"/>
                <w:szCs w:val="24"/>
                <w:color w:val="auto"/>
              </w:rPr>
            </w:pPr>
          </w:p>
        </w:tc>
        <w:tc>
          <w:tcPr>
            <w:tcW w:w="600" w:type="dxa"/>
            <w:vAlign w:val="bottom"/>
            <w:shd w:val="clear" w:color="auto" w:fill="B2B2B2"/>
          </w:tcPr>
          <w:p>
            <w:pPr>
              <w:spacing w:after="0"/>
              <w:rPr>
                <w:sz w:val="24"/>
                <w:szCs w:val="24"/>
                <w:color w:val="auto"/>
              </w:rPr>
            </w:pPr>
          </w:p>
        </w:tc>
        <w:tc>
          <w:tcPr>
            <w:tcW w:w="80" w:type="dxa"/>
            <w:vAlign w:val="bottom"/>
            <w:shd w:val="clear" w:color="auto" w:fill="B2B2B2"/>
          </w:tcPr>
          <w:p>
            <w:pPr>
              <w:spacing w:after="0"/>
              <w:rPr>
                <w:sz w:val="24"/>
                <w:szCs w:val="24"/>
                <w:color w:val="auto"/>
              </w:rPr>
            </w:pPr>
          </w:p>
        </w:tc>
      </w:tr>
      <w:tr>
        <w:trPr>
          <w:trHeight w:val="63"/>
        </w:trPr>
        <w:tc>
          <w:tcPr>
            <w:tcW w:w="6320" w:type="dxa"/>
            <w:vAlign w:val="bottom"/>
            <w:shd w:val="clear" w:color="auto" w:fill="B2B2B2"/>
          </w:tcPr>
          <w:p>
            <w:pPr>
              <w:spacing w:after="0"/>
              <w:rPr>
                <w:sz w:val="5"/>
                <w:szCs w:val="5"/>
                <w:color w:val="auto"/>
              </w:rPr>
            </w:pPr>
          </w:p>
        </w:tc>
        <w:tc>
          <w:tcPr>
            <w:tcW w:w="500" w:type="dxa"/>
            <w:vAlign w:val="bottom"/>
            <w:shd w:val="clear" w:color="auto" w:fill="B2B2B2"/>
          </w:tcPr>
          <w:p>
            <w:pPr>
              <w:spacing w:after="0"/>
              <w:rPr>
                <w:sz w:val="5"/>
                <w:szCs w:val="5"/>
                <w:color w:val="auto"/>
              </w:rPr>
            </w:pPr>
          </w:p>
        </w:tc>
        <w:tc>
          <w:tcPr>
            <w:tcW w:w="160" w:type="dxa"/>
            <w:vAlign w:val="bottom"/>
            <w:shd w:val="clear" w:color="auto" w:fill="B2B2B2"/>
          </w:tcPr>
          <w:p>
            <w:pPr>
              <w:spacing w:after="0"/>
              <w:rPr>
                <w:sz w:val="5"/>
                <w:szCs w:val="5"/>
                <w:color w:val="auto"/>
              </w:rPr>
            </w:pPr>
          </w:p>
        </w:tc>
        <w:tc>
          <w:tcPr>
            <w:tcW w:w="320" w:type="dxa"/>
            <w:vAlign w:val="bottom"/>
            <w:shd w:val="clear" w:color="auto" w:fill="B2B2B2"/>
          </w:tcPr>
          <w:p>
            <w:pPr>
              <w:spacing w:after="0"/>
              <w:rPr>
                <w:sz w:val="5"/>
                <w:szCs w:val="5"/>
                <w:color w:val="auto"/>
              </w:rPr>
            </w:pPr>
          </w:p>
        </w:tc>
        <w:tc>
          <w:tcPr>
            <w:tcW w:w="160" w:type="dxa"/>
            <w:vAlign w:val="bottom"/>
            <w:shd w:val="clear" w:color="auto" w:fill="B2B2B2"/>
          </w:tcPr>
          <w:p>
            <w:pPr>
              <w:spacing w:after="0"/>
              <w:rPr>
                <w:sz w:val="5"/>
                <w:szCs w:val="5"/>
                <w:color w:val="auto"/>
              </w:rPr>
            </w:pPr>
          </w:p>
        </w:tc>
        <w:tc>
          <w:tcPr>
            <w:tcW w:w="880" w:type="dxa"/>
            <w:vAlign w:val="bottom"/>
            <w:shd w:val="clear" w:color="auto" w:fill="B2B2B2"/>
          </w:tcPr>
          <w:p>
            <w:pPr>
              <w:spacing w:after="0"/>
              <w:rPr>
                <w:sz w:val="5"/>
                <w:szCs w:val="5"/>
                <w:color w:val="auto"/>
              </w:rPr>
            </w:pPr>
          </w:p>
        </w:tc>
        <w:tc>
          <w:tcPr>
            <w:tcW w:w="160" w:type="dxa"/>
            <w:vAlign w:val="bottom"/>
            <w:shd w:val="clear" w:color="auto" w:fill="B2B2B2"/>
          </w:tcPr>
          <w:p>
            <w:pPr>
              <w:spacing w:after="0"/>
              <w:rPr>
                <w:sz w:val="5"/>
                <w:szCs w:val="5"/>
                <w:color w:val="auto"/>
              </w:rPr>
            </w:pPr>
          </w:p>
        </w:tc>
        <w:tc>
          <w:tcPr>
            <w:tcW w:w="600" w:type="dxa"/>
            <w:vAlign w:val="bottom"/>
            <w:shd w:val="clear" w:color="auto" w:fill="B2B2B2"/>
          </w:tcPr>
          <w:p>
            <w:pPr>
              <w:spacing w:after="0"/>
              <w:rPr>
                <w:sz w:val="5"/>
                <w:szCs w:val="5"/>
                <w:color w:val="auto"/>
              </w:rPr>
            </w:pPr>
          </w:p>
        </w:tc>
        <w:tc>
          <w:tcPr>
            <w:tcW w:w="80" w:type="dxa"/>
            <w:vAlign w:val="bottom"/>
            <w:shd w:val="clear" w:color="auto" w:fill="B2B2B2"/>
          </w:tcPr>
          <w:p>
            <w:pPr>
              <w:spacing w:after="0"/>
              <w:rPr>
                <w:sz w:val="5"/>
                <w:szCs w:val="5"/>
                <w:color w:val="auto"/>
              </w:rPr>
            </w:pPr>
          </w:p>
        </w:tc>
      </w:tr>
      <w:tr>
        <w:trPr>
          <w:trHeight w:val="301"/>
        </w:trPr>
        <w:tc>
          <w:tcPr>
            <w:tcW w:w="6320" w:type="dxa"/>
            <w:vAlign w:val="bottom"/>
          </w:tcPr>
          <w:p>
            <w:pPr>
              <w:ind w:left="260"/>
              <w:spacing w:after="0"/>
              <w:rPr>
                <w:sz w:val="20"/>
                <w:szCs w:val="20"/>
                <w:color w:val="auto"/>
              </w:rPr>
            </w:pPr>
            <w:r>
              <w:rPr>
                <w:rFonts w:ascii="Arial" w:cs="Arial" w:eastAsia="Arial" w:hAnsi="Arial"/>
                <w:sz w:val="18"/>
                <w:szCs w:val="18"/>
                <w:color w:val="auto"/>
              </w:rPr>
              <w:t>African American or Black</w:t>
            </w: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r>
      <w:tr>
        <w:trPr>
          <w:trHeight w:val="63"/>
        </w:trPr>
        <w:tc>
          <w:tcPr>
            <w:tcW w:w="6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301"/>
        </w:trPr>
        <w:tc>
          <w:tcPr>
            <w:tcW w:w="6320" w:type="dxa"/>
            <w:vAlign w:val="bottom"/>
            <w:shd w:val="clear" w:color="auto" w:fill="B2B2B2"/>
          </w:tcPr>
          <w:p>
            <w:pPr>
              <w:ind w:left="260"/>
              <w:spacing w:after="0"/>
              <w:rPr>
                <w:sz w:val="20"/>
                <w:szCs w:val="20"/>
                <w:color w:val="auto"/>
              </w:rPr>
            </w:pPr>
            <w:r>
              <w:rPr>
                <w:rFonts w:ascii="Arial" w:cs="Arial" w:eastAsia="Arial" w:hAnsi="Arial"/>
                <w:sz w:val="18"/>
                <w:szCs w:val="18"/>
                <w:color w:val="auto"/>
              </w:rPr>
              <w:t>Alaskan Native or Native American</w:t>
            </w:r>
          </w:p>
        </w:tc>
        <w:tc>
          <w:tcPr>
            <w:tcW w:w="660" w:type="dxa"/>
            <w:vAlign w:val="bottom"/>
            <w:gridSpan w:val="2"/>
            <w:shd w:val="clear" w:color="auto" w:fill="B2B2B2"/>
          </w:tcPr>
          <w:p>
            <w:pPr>
              <w:jc w:val="center"/>
              <w:ind w:right="16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B2B2B2"/>
          </w:tcPr>
          <w:p>
            <w:pPr>
              <w:jc w:val="center"/>
              <w:ind w:right="18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B2B2B2"/>
          </w:tcPr>
          <w:p>
            <w:pPr>
              <w:jc w:val="center"/>
              <w:ind w:right="18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B2B2B2"/>
          </w:tcPr>
          <w:p>
            <w:pPr>
              <w:jc w:val="center"/>
              <w:ind w:right="100"/>
              <w:spacing w:after="0"/>
              <w:rPr>
                <w:sz w:val="20"/>
                <w:szCs w:val="20"/>
                <w:color w:val="auto"/>
              </w:rPr>
            </w:pPr>
            <w:r>
              <w:rPr>
                <w:rFonts w:ascii="Arial" w:cs="Arial" w:eastAsia="Arial" w:hAnsi="Arial"/>
                <w:sz w:val="18"/>
                <w:szCs w:val="18"/>
                <w:color w:val="auto"/>
                <w:w w:val="99"/>
              </w:rPr>
              <w:t>—</w:t>
            </w:r>
          </w:p>
        </w:tc>
      </w:tr>
      <w:tr>
        <w:trPr>
          <w:trHeight w:val="63"/>
        </w:trPr>
        <w:tc>
          <w:tcPr>
            <w:tcW w:w="6320" w:type="dxa"/>
            <w:vAlign w:val="bottom"/>
            <w:shd w:val="clear" w:color="auto" w:fill="B2B2B2"/>
          </w:tcPr>
          <w:p>
            <w:pPr>
              <w:spacing w:after="0"/>
              <w:rPr>
                <w:sz w:val="5"/>
                <w:szCs w:val="5"/>
                <w:color w:val="auto"/>
              </w:rPr>
            </w:pPr>
          </w:p>
        </w:tc>
        <w:tc>
          <w:tcPr>
            <w:tcW w:w="500" w:type="dxa"/>
            <w:vAlign w:val="bottom"/>
            <w:shd w:val="clear" w:color="auto" w:fill="B2B2B2"/>
          </w:tcPr>
          <w:p>
            <w:pPr>
              <w:spacing w:after="0"/>
              <w:rPr>
                <w:sz w:val="5"/>
                <w:szCs w:val="5"/>
                <w:color w:val="auto"/>
              </w:rPr>
            </w:pPr>
          </w:p>
        </w:tc>
        <w:tc>
          <w:tcPr>
            <w:tcW w:w="160" w:type="dxa"/>
            <w:vAlign w:val="bottom"/>
            <w:shd w:val="clear" w:color="auto" w:fill="B2B2B2"/>
          </w:tcPr>
          <w:p>
            <w:pPr>
              <w:spacing w:after="0"/>
              <w:rPr>
                <w:sz w:val="5"/>
                <w:szCs w:val="5"/>
                <w:color w:val="auto"/>
              </w:rPr>
            </w:pPr>
          </w:p>
        </w:tc>
        <w:tc>
          <w:tcPr>
            <w:tcW w:w="320" w:type="dxa"/>
            <w:vAlign w:val="bottom"/>
            <w:shd w:val="clear" w:color="auto" w:fill="B2B2B2"/>
          </w:tcPr>
          <w:p>
            <w:pPr>
              <w:spacing w:after="0"/>
              <w:rPr>
                <w:sz w:val="5"/>
                <w:szCs w:val="5"/>
                <w:color w:val="auto"/>
              </w:rPr>
            </w:pPr>
          </w:p>
        </w:tc>
        <w:tc>
          <w:tcPr>
            <w:tcW w:w="160" w:type="dxa"/>
            <w:vAlign w:val="bottom"/>
            <w:shd w:val="clear" w:color="auto" w:fill="B2B2B2"/>
          </w:tcPr>
          <w:p>
            <w:pPr>
              <w:spacing w:after="0"/>
              <w:rPr>
                <w:sz w:val="5"/>
                <w:szCs w:val="5"/>
                <w:color w:val="auto"/>
              </w:rPr>
            </w:pPr>
          </w:p>
        </w:tc>
        <w:tc>
          <w:tcPr>
            <w:tcW w:w="880" w:type="dxa"/>
            <w:vAlign w:val="bottom"/>
            <w:shd w:val="clear" w:color="auto" w:fill="B2B2B2"/>
          </w:tcPr>
          <w:p>
            <w:pPr>
              <w:spacing w:after="0"/>
              <w:rPr>
                <w:sz w:val="5"/>
                <w:szCs w:val="5"/>
                <w:color w:val="auto"/>
              </w:rPr>
            </w:pPr>
          </w:p>
        </w:tc>
        <w:tc>
          <w:tcPr>
            <w:tcW w:w="160" w:type="dxa"/>
            <w:vAlign w:val="bottom"/>
            <w:shd w:val="clear" w:color="auto" w:fill="B2B2B2"/>
          </w:tcPr>
          <w:p>
            <w:pPr>
              <w:spacing w:after="0"/>
              <w:rPr>
                <w:sz w:val="5"/>
                <w:szCs w:val="5"/>
                <w:color w:val="auto"/>
              </w:rPr>
            </w:pPr>
          </w:p>
        </w:tc>
        <w:tc>
          <w:tcPr>
            <w:tcW w:w="600" w:type="dxa"/>
            <w:vAlign w:val="bottom"/>
            <w:shd w:val="clear" w:color="auto" w:fill="B2B2B2"/>
          </w:tcPr>
          <w:p>
            <w:pPr>
              <w:spacing w:after="0"/>
              <w:rPr>
                <w:sz w:val="5"/>
                <w:szCs w:val="5"/>
                <w:color w:val="auto"/>
              </w:rPr>
            </w:pPr>
          </w:p>
        </w:tc>
        <w:tc>
          <w:tcPr>
            <w:tcW w:w="80" w:type="dxa"/>
            <w:vAlign w:val="bottom"/>
            <w:shd w:val="clear" w:color="auto" w:fill="B2B2B2"/>
          </w:tcPr>
          <w:p>
            <w:pPr>
              <w:spacing w:after="0"/>
              <w:rPr>
                <w:sz w:val="5"/>
                <w:szCs w:val="5"/>
                <w:color w:val="auto"/>
              </w:rPr>
            </w:pPr>
          </w:p>
        </w:tc>
      </w:tr>
      <w:tr>
        <w:trPr>
          <w:trHeight w:val="301"/>
        </w:trPr>
        <w:tc>
          <w:tcPr>
            <w:tcW w:w="6320" w:type="dxa"/>
            <w:vAlign w:val="bottom"/>
          </w:tcPr>
          <w:p>
            <w:pPr>
              <w:ind w:left="260"/>
              <w:spacing w:after="0"/>
              <w:rPr>
                <w:sz w:val="20"/>
                <w:szCs w:val="20"/>
                <w:color w:val="auto"/>
              </w:rPr>
            </w:pPr>
            <w:r>
              <w:rPr>
                <w:rFonts w:ascii="Arial" w:cs="Arial" w:eastAsia="Arial" w:hAnsi="Arial"/>
                <w:sz w:val="18"/>
                <w:szCs w:val="18"/>
                <w:color w:val="auto"/>
              </w:rPr>
              <w:t>Asian</w:t>
            </w: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r>
      <w:tr>
        <w:trPr>
          <w:trHeight w:val="63"/>
        </w:trPr>
        <w:tc>
          <w:tcPr>
            <w:tcW w:w="6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301"/>
        </w:trPr>
        <w:tc>
          <w:tcPr>
            <w:tcW w:w="6320" w:type="dxa"/>
            <w:vAlign w:val="bottom"/>
            <w:shd w:val="clear" w:color="auto" w:fill="B2B2B2"/>
          </w:tcPr>
          <w:p>
            <w:pPr>
              <w:ind w:left="260"/>
              <w:spacing w:after="0"/>
              <w:rPr>
                <w:sz w:val="20"/>
                <w:szCs w:val="20"/>
                <w:color w:val="auto"/>
              </w:rPr>
            </w:pPr>
            <w:r>
              <w:rPr>
                <w:rFonts w:ascii="Arial" w:cs="Arial" w:eastAsia="Arial" w:hAnsi="Arial"/>
                <w:sz w:val="18"/>
                <w:szCs w:val="18"/>
                <w:color w:val="auto"/>
              </w:rPr>
              <w:t>Hispanic or Latinx</w:t>
            </w:r>
          </w:p>
        </w:tc>
        <w:tc>
          <w:tcPr>
            <w:tcW w:w="660" w:type="dxa"/>
            <w:vAlign w:val="bottom"/>
            <w:gridSpan w:val="2"/>
            <w:shd w:val="clear" w:color="auto" w:fill="B2B2B2"/>
          </w:tcPr>
          <w:p>
            <w:pPr>
              <w:jc w:val="center"/>
              <w:ind w:right="16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B2B2B2"/>
          </w:tcPr>
          <w:p>
            <w:pPr>
              <w:jc w:val="center"/>
              <w:spacing w:after="0"/>
              <w:rPr>
                <w:sz w:val="20"/>
                <w:szCs w:val="20"/>
                <w:color w:val="auto"/>
              </w:rPr>
            </w:pPr>
            <w:r>
              <w:rPr>
                <w:rFonts w:ascii="Arial" w:cs="Arial" w:eastAsia="Arial" w:hAnsi="Arial"/>
                <w:sz w:val="18"/>
                <w:szCs w:val="18"/>
                <w:color w:val="auto"/>
                <w:w w:val="99"/>
              </w:rPr>
              <w:t>1</w:t>
            </w:r>
          </w:p>
        </w:tc>
        <w:tc>
          <w:tcPr>
            <w:tcW w:w="160" w:type="dxa"/>
            <w:vAlign w:val="bottom"/>
            <w:shd w:val="clear" w:color="auto" w:fill="B2B2B2"/>
          </w:tcPr>
          <w:p>
            <w:pPr>
              <w:spacing w:after="0"/>
              <w:rPr>
                <w:sz w:val="24"/>
                <w:szCs w:val="24"/>
                <w:color w:val="auto"/>
              </w:rPr>
            </w:pPr>
          </w:p>
        </w:tc>
        <w:tc>
          <w:tcPr>
            <w:tcW w:w="1040" w:type="dxa"/>
            <w:vAlign w:val="bottom"/>
            <w:gridSpan w:val="2"/>
            <w:shd w:val="clear" w:color="auto" w:fill="B2B2B2"/>
          </w:tcPr>
          <w:p>
            <w:pPr>
              <w:jc w:val="center"/>
              <w:ind w:right="18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B2B2B2"/>
          </w:tcPr>
          <w:p>
            <w:pPr>
              <w:jc w:val="center"/>
              <w:ind w:right="100"/>
              <w:spacing w:after="0"/>
              <w:rPr>
                <w:sz w:val="20"/>
                <w:szCs w:val="20"/>
                <w:color w:val="auto"/>
              </w:rPr>
            </w:pPr>
            <w:r>
              <w:rPr>
                <w:rFonts w:ascii="Arial" w:cs="Arial" w:eastAsia="Arial" w:hAnsi="Arial"/>
                <w:sz w:val="18"/>
                <w:szCs w:val="18"/>
                <w:color w:val="auto"/>
                <w:w w:val="99"/>
              </w:rPr>
              <w:t>—</w:t>
            </w:r>
          </w:p>
        </w:tc>
      </w:tr>
      <w:tr>
        <w:trPr>
          <w:trHeight w:val="63"/>
        </w:trPr>
        <w:tc>
          <w:tcPr>
            <w:tcW w:w="6320" w:type="dxa"/>
            <w:vAlign w:val="bottom"/>
            <w:shd w:val="clear" w:color="auto" w:fill="B2B2B2"/>
          </w:tcPr>
          <w:p>
            <w:pPr>
              <w:spacing w:after="0"/>
              <w:rPr>
                <w:sz w:val="5"/>
                <w:szCs w:val="5"/>
                <w:color w:val="auto"/>
              </w:rPr>
            </w:pPr>
          </w:p>
        </w:tc>
        <w:tc>
          <w:tcPr>
            <w:tcW w:w="500" w:type="dxa"/>
            <w:vAlign w:val="bottom"/>
            <w:shd w:val="clear" w:color="auto" w:fill="B2B2B2"/>
          </w:tcPr>
          <w:p>
            <w:pPr>
              <w:spacing w:after="0"/>
              <w:rPr>
                <w:sz w:val="5"/>
                <w:szCs w:val="5"/>
                <w:color w:val="auto"/>
              </w:rPr>
            </w:pPr>
          </w:p>
        </w:tc>
        <w:tc>
          <w:tcPr>
            <w:tcW w:w="160" w:type="dxa"/>
            <w:vAlign w:val="bottom"/>
            <w:shd w:val="clear" w:color="auto" w:fill="B2B2B2"/>
          </w:tcPr>
          <w:p>
            <w:pPr>
              <w:spacing w:after="0"/>
              <w:rPr>
                <w:sz w:val="5"/>
                <w:szCs w:val="5"/>
                <w:color w:val="auto"/>
              </w:rPr>
            </w:pPr>
          </w:p>
        </w:tc>
        <w:tc>
          <w:tcPr>
            <w:tcW w:w="320" w:type="dxa"/>
            <w:vAlign w:val="bottom"/>
            <w:shd w:val="clear" w:color="auto" w:fill="B2B2B2"/>
          </w:tcPr>
          <w:p>
            <w:pPr>
              <w:spacing w:after="0"/>
              <w:rPr>
                <w:sz w:val="5"/>
                <w:szCs w:val="5"/>
                <w:color w:val="auto"/>
              </w:rPr>
            </w:pPr>
          </w:p>
        </w:tc>
        <w:tc>
          <w:tcPr>
            <w:tcW w:w="160" w:type="dxa"/>
            <w:vAlign w:val="bottom"/>
            <w:shd w:val="clear" w:color="auto" w:fill="B2B2B2"/>
          </w:tcPr>
          <w:p>
            <w:pPr>
              <w:spacing w:after="0"/>
              <w:rPr>
                <w:sz w:val="5"/>
                <w:szCs w:val="5"/>
                <w:color w:val="auto"/>
              </w:rPr>
            </w:pPr>
          </w:p>
        </w:tc>
        <w:tc>
          <w:tcPr>
            <w:tcW w:w="880" w:type="dxa"/>
            <w:vAlign w:val="bottom"/>
            <w:shd w:val="clear" w:color="auto" w:fill="B2B2B2"/>
          </w:tcPr>
          <w:p>
            <w:pPr>
              <w:spacing w:after="0"/>
              <w:rPr>
                <w:sz w:val="5"/>
                <w:szCs w:val="5"/>
                <w:color w:val="auto"/>
              </w:rPr>
            </w:pPr>
          </w:p>
        </w:tc>
        <w:tc>
          <w:tcPr>
            <w:tcW w:w="160" w:type="dxa"/>
            <w:vAlign w:val="bottom"/>
            <w:shd w:val="clear" w:color="auto" w:fill="B2B2B2"/>
          </w:tcPr>
          <w:p>
            <w:pPr>
              <w:spacing w:after="0"/>
              <w:rPr>
                <w:sz w:val="5"/>
                <w:szCs w:val="5"/>
                <w:color w:val="auto"/>
              </w:rPr>
            </w:pPr>
          </w:p>
        </w:tc>
        <w:tc>
          <w:tcPr>
            <w:tcW w:w="600" w:type="dxa"/>
            <w:vAlign w:val="bottom"/>
            <w:shd w:val="clear" w:color="auto" w:fill="B2B2B2"/>
          </w:tcPr>
          <w:p>
            <w:pPr>
              <w:spacing w:after="0"/>
              <w:rPr>
                <w:sz w:val="5"/>
                <w:szCs w:val="5"/>
                <w:color w:val="auto"/>
              </w:rPr>
            </w:pPr>
          </w:p>
        </w:tc>
        <w:tc>
          <w:tcPr>
            <w:tcW w:w="80" w:type="dxa"/>
            <w:vAlign w:val="bottom"/>
            <w:shd w:val="clear" w:color="auto" w:fill="B2B2B2"/>
          </w:tcPr>
          <w:p>
            <w:pPr>
              <w:spacing w:after="0"/>
              <w:rPr>
                <w:sz w:val="5"/>
                <w:szCs w:val="5"/>
                <w:color w:val="auto"/>
              </w:rPr>
            </w:pPr>
          </w:p>
        </w:tc>
      </w:tr>
      <w:tr>
        <w:trPr>
          <w:trHeight w:val="301"/>
        </w:trPr>
        <w:tc>
          <w:tcPr>
            <w:tcW w:w="6320" w:type="dxa"/>
            <w:vAlign w:val="bottom"/>
          </w:tcPr>
          <w:p>
            <w:pPr>
              <w:ind w:left="260"/>
              <w:spacing w:after="0"/>
              <w:rPr>
                <w:sz w:val="20"/>
                <w:szCs w:val="20"/>
                <w:color w:val="auto"/>
              </w:rPr>
            </w:pPr>
            <w:r>
              <w:rPr>
                <w:rFonts w:ascii="Arial" w:cs="Arial" w:eastAsia="Arial" w:hAnsi="Arial"/>
                <w:sz w:val="18"/>
                <w:szCs w:val="18"/>
                <w:color w:val="auto"/>
              </w:rPr>
              <w:t>Native Hawaiian or Pacific Islander</w:t>
            </w: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r>
      <w:tr>
        <w:trPr>
          <w:trHeight w:val="63"/>
        </w:trPr>
        <w:tc>
          <w:tcPr>
            <w:tcW w:w="6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301"/>
        </w:trPr>
        <w:tc>
          <w:tcPr>
            <w:tcW w:w="6320" w:type="dxa"/>
            <w:vAlign w:val="bottom"/>
            <w:shd w:val="clear" w:color="auto" w:fill="B2B2B2"/>
          </w:tcPr>
          <w:p>
            <w:pPr>
              <w:ind w:left="260"/>
              <w:spacing w:after="0"/>
              <w:rPr>
                <w:sz w:val="20"/>
                <w:szCs w:val="20"/>
                <w:color w:val="auto"/>
              </w:rPr>
            </w:pPr>
            <w:r>
              <w:rPr>
                <w:rFonts w:ascii="Arial" w:cs="Arial" w:eastAsia="Arial" w:hAnsi="Arial"/>
                <w:sz w:val="18"/>
                <w:szCs w:val="18"/>
                <w:color w:val="auto"/>
              </w:rPr>
              <w:t>White</w:t>
            </w:r>
          </w:p>
        </w:tc>
        <w:tc>
          <w:tcPr>
            <w:tcW w:w="500" w:type="dxa"/>
            <w:vAlign w:val="bottom"/>
            <w:shd w:val="clear" w:color="auto" w:fill="B2B2B2"/>
          </w:tcPr>
          <w:p>
            <w:pPr>
              <w:jc w:val="center"/>
              <w:spacing w:after="0"/>
              <w:rPr>
                <w:sz w:val="20"/>
                <w:szCs w:val="20"/>
                <w:color w:val="auto"/>
              </w:rPr>
            </w:pPr>
            <w:r>
              <w:rPr>
                <w:rFonts w:ascii="Arial" w:cs="Arial" w:eastAsia="Arial" w:hAnsi="Arial"/>
                <w:sz w:val="18"/>
                <w:szCs w:val="18"/>
                <w:color w:val="auto"/>
                <w:w w:val="99"/>
              </w:rPr>
              <w:t>3</w:t>
            </w:r>
          </w:p>
        </w:tc>
        <w:tc>
          <w:tcPr>
            <w:tcW w:w="160" w:type="dxa"/>
            <w:vAlign w:val="bottom"/>
            <w:shd w:val="clear" w:color="auto" w:fill="B2B2B2"/>
          </w:tcPr>
          <w:p>
            <w:pPr>
              <w:spacing w:after="0"/>
              <w:rPr>
                <w:sz w:val="24"/>
                <w:szCs w:val="24"/>
                <w:color w:val="auto"/>
              </w:rPr>
            </w:pPr>
          </w:p>
        </w:tc>
        <w:tc>
          <w:tcPr>
            <w:tcW w:w="320" w:type="dxa"/>
            <w:vAlign w:val="bottom"/>
            <w:shd w:val="clear" w:color="auto" w:fill="B2B2B2"/>
          </w:tcPr>
          <w:p>
            <w:pPr>
              <w:jc w:val="center"/>
              <w:spacing w:after="0"/>
              <w:rPr>
                <w:sz w:val="20"/>
                <w:szCs w:val="20"/>
                <w:color w:val="auto"/>
              </w:rPr>
            </w:pPr>
            <w:r>
              <w:rPr>
                <w:rFonts w:ascii="Arial" w:cs="Arial" w:eastAsia="Arial" w:hAnsi="Arial"/>
                <w:sz w:val="18"/>
                <w:szCs w:val="18"/>
                <w:color w:val="auto"/>
                <w:w w:val="99"/>
              </w:rPr>
              <w:t>6</w:t>
            </w:r>
          </w:p>
        </w:tc>
        <w:tc>
          <w:tcPr>
            <w:tcW w:w="160" w:type="dxa"/>
            <w:vAlign w:val="bottom"/>
            <w:shd w:val="clear" w:color="auto" w:fill="B2B2B2"/>
          </w:tcPr>
          <w:p>
            <w:pPr>
              <w:spacing w:after="0"/>
              <w:rPr>
                <w:sz w:val="24"/>
                <w:szCs w:val="24"/>
                <w:color w:val="auto"/>
              </w:rPr>
            </w:pPr>
          </w:p>
        </w:tc>
        <w:tc>
          <w:tcPr>
            <w:tcW w:w="1040" w:type="dxa"/>
            <w:vAlign w:val="bottom"/>
            <w:gridSpan w:val="2"/>
            <w:shd w:val="clear" w:color="auto" w:fill="B2B2B2"/>
          </w:tcPr>
          <w:p>
            <w:pPr>
              <w:jc w:val="center"/>
              <w:ind w:right="18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B2B2B2"/>
          </w:tcPr>
          <w:p>
            <w:pPr>
              <w:jc w:val="center"/>
              <w:ind w:right="100"/>
              <w:spacing w:after="0"/>
              <w:rPr>
                <w:sz w:val="20"/>
                <w:szCs w:val="20"/>
                <w:color w:val="auto"/>
              </w:rPr>
            </w:pPr>
            <w:r>
              <w:rPr>
                <w:rFonts w:ascii="Arial" w:cs="Arial" w:eastAsia="Arial" w:hAnsi="Arial"/>
                <w:sz w:val="18"/>
                <w:szCs w:val="18"/>
                <w:color w:val="auto"/>
                <w:w w:val="99"/>
              </w:rPr>
              <w:t>—</w:t>
            </w:r>
          </w:p>
        </w:tc>
      </w:tr>
      <w:tr>
        <w:trPr>
          <w:trHeight w:val="63"/>
        </w:trPr>
        <w:tc>
          <w:tcPr>
            <w:tcW w:w="6320" w:type="dxa"/>
            <w:vAlign w:val="bottom"/>
            <w:shd w:val="clear" w:color="auto" w:fill="B2B2B2"/>
          </w:tcPr>
          <w:p>
            <w:pPr>
              <w:spacing w:after="0"/>
              <w:rPr>
                <w:sz w:val="5"/>
                <w:szCs w:val="5"/>
                <w:color w:val="auto"/>
              </w:rPr>
            </w:pPr>
          </w:p>
        </w:tc>
        <w:tc>
          <w:tcPr>
            <w:tcW w:w="500" w:type="dxa"/>
            <w:vAlign w:val="bottom"/>
            <w:shd w:val="clear" w:color="auto" w:fill="B2B2B2"/>
          </w:tcPr>
          <w:p>
            <w:pPr>
              <w:spacing w:after="0"/>
              <w:rPr>
                <w:sz w:val="5"/>
                <w:szCs w:val="5"/>
                <w:color w:val="auto"/>
              </w:rPr>
            </w:pPr>
          </w:p>
        </w:tc>
        <w:tc>
          <w:tcPr>
            <w:tcW w:w="160" w:type="dxa"/>
            <w:vAlign w:val="bottom"/>
            <w:shd w:val="clear" w:color="auto" w:fill="B2B2B2"/>
          </w:tcPr>
          <w:p>
            <w:pPr>
              <w:spacing w:after="0"/>
              <w:rPr>
                <w:sz w:val="5"/>
                <w:szCs w:val="5"/>
                <w:color w:val="auto"/>
              </w:rPr>
            </w:pPr>
          </w:p>
        </w:tc>
        <w:tc>
          <w:tcPr>
            <w:tcW w:w="320" w:type="dxa"/>
            <w:vAlign w:val="bottom"/>
            <w:shd w:val="clear" w:color="auto" w:fill="B2B2B2"/>
          </w:tcPr>
          <w:p>
            <w:pPr>
              <w:spacing w:after="0"/>
              <w:rPr>
                <w:sz w:val="5"/>
                <w:szCs w:val="5"/>
                <w:color w:val="auto"/>
              </w:rPr>
            </w:pPr>
          </w:p>
        </w:tc>
        <w:tc>
          <w:tcPr>
            <w:tcW w:w="160" w:type="dxa"/>
            <w:vAlign w:val="bottom"/>
            <w:shd w:val="clear" w:color="auto" w:fill="B2B2B2"/>
          </w:tcPr>
          <w:p>
            <w:pPr>
              <w:spacing w:after="0"/>
              <w:rPr>
                <w:sz w:val="5"/>
                <w:szCs w:val="5"/>
                <w:color w:val="auto"/>
              </w:rPr>
            </w:pPr>
          </w:p>
        </w:tc>
        <w:tc>
          <w:tcPr>
            <w:tcW w:w="880" w:type="dxa"/>
            <w:vAlign w:val="bottom"/>
            <w:shd w:val="clear" w:color="auto" w:fill="B2B2B2"/>
          </w:tcPr>
          <w:p>
            <w:pPr>
              <w:spacing w:after="0"/>
              <w:rPr>
                <w:sz w:val="5"/>
                <w:szCs w:val="5"/>
                <w:color w:val="auto"/>
              </w:rPr>
            </w:pPr>
          </w:p>
        </w:tc>
        <w:tc>
          <w:tcPr>
            <w:tcW w:w="160" w:type="dxa"/>
            <w:vAlign w:val="bottom"/>
            <w:shd w:val="clear" w:color="auto" w:fill="B2B2B2"/>
          </w:tcPr>
          <w:p>
            <w:pPr>
              <w:spacing w:after="0"/>
              <w:rPr>
                <w:sz w:val="5"/>
                <w:szCs w:val="5"/>
                <w:color w:val="auto"/>
              </w:rPr>
            </w:pPr>
          </w:p>
        </w:tc>
        <w:tc>
          <w:tcPr>
            <w:tcW w:w="600" w:type="dxa"/>
            <w:vAlign w:val="bottom"/>
            <w:shd w:val="clear" w:color="auto" w:fill="B2B2B2"/>
          </w:tcPr>
          <w:p>
            <w:pPr>
              <w:spacing w:after="0"/>
              <w:rPr>
                <w:sz w:val="5"/>
                <w:szCs w:val="5"/>
                <w:color w:val="auto"/>
              </w:rPr>
            </w:pPr>
          </w:p>
        </w:tc>
        <w:tc>
          <w:tcPr>
            <w:tcW w:w="80" w:type="dxa"/>
            <w:vAlign w:val="bottom"/>
            <w:shd w:val="clear" w:color="auto" w:fill="B2B2B2"/>
          </w:tcPr>
          <w:p>
            <w:pPr>
              <w:spacing w:after="0"/>
              <w:rPr>
                <w:sz w:val="5"/>
                <w:szCs w:val="5"/>
                <w:color w:val="auto"/>
              </w:rPr>
            </w:pPr>
          </w:p>
        </w:tc>
      </w:tr>
      <w:tr>
        <w:trPr>
          <w:trHeight w:val="301"/>
        </w:trPr>
        <w:tc>
          <w:tcPr>
            <w:tcW w:w="6320" w:type="dxa"/>
            <w:vAlign w:val="bottom"/>
          </w:tcPr>
          <w:p>
            <w:pPr>
              <w:ind w:left="260"/>
              <w:spacing w:after="0"/>
              <w:rPr>
                <w:sz w:val="20"/>
                <w:szCs w:val="20"/>
                <w:color w:val="auto"/>
              </w:rPr>
            </w:pPr>
            <w:r>
              <w:rPr>
                <w:rFonts w:ascii="Arial" w:cs="Arial" w:eastAsia="Arial" w:hAnsi="Arial"/>
                <w:sz w:val="18"/>
                <w:szCs w:val="18"/>
                <w:color w:val="auto"/>
              </w:rPr>
              <w:t>Two or More Races or Ethnicities</w:t>
            </w: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60" w:type="dxa"/>
            <w:vAlign w:val="bottom"/>
          </w:tcPr>
          <w:p>
            <w:pPr>
              <w:spacing w:after="0"/>
              <w:rPr>
                <w:sz w:val="24"/>
                <w:szCs w:val="2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r>
      <w:tr>
        <w:trPr>
          <w:trHeight w:val="63"/>
        </w:trPr>
        <w:tc>
          <w:tcPr>
            <w:tcW w:w="6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301"/>
        </w:trPr>
        <w:tc>
          <w:tcPr>
            <w:tcW w:w="6320" w:type="dxa"/>
            <w:vAlign w:val="bottom"/>
            <w:shd w:val="clear" w:color="auto" w:fill="B2B2B2"/>
          </w:tcPr>
          <w:p>
            <w:pPr>
              <w:ind w:left="260"/>
              <w:spacing w:after="0"/>
              <w:rPr>
                <w:sz w:val="20"/>
                <w:szCs w:val="20"/>
                <w:color w:val="auto"/>
              </w:rPr>
            </w:pPr>
            <w:r>
              <w:rPr>
                <w:rFonts w:ascii="Arial" w:cs="Arial" w:eastAsia="Arial" w:hAnsi="Arial"/>
                <w:sz w:val="18"/>
                <w:szCs w:val="18"/>
                <w:color w:val="auto"/>
              </w:rPr>
              <w:t>LGBTQ+</w:t>
            </w:r>
          </w:p>
        </w:tc>
        <w:tc>
          <w:tcPr>
            <w:tcW w:w="660" w:type="dxa"/>
            <w:vAlign w:val="bottom"/>
            <w:gridSpan w:val="2"/>
            <w:shd w:val="clear" w:color="auto" w:fill="B2B2B2"/>
          </w:tcPr>
          <w:p>
            <w:pPr>
              <w:jc w:val="center"/>
              <w:ind w:right="16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B2B2B2"/>
          </w:tcPr>
          <w:p>
            <w:pPr>
              <w:jc w:val="center"/>
              <w:ind w:right="18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B2B2B2"/>
          </w:tcPr>
          <w:p>
            <w:pPr>
              <w:jc w:val="center"/>
              <w:ind w:right="18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B2B2B2"/>
          </w:tcPr>
          <w:p>
            <w:pPr>
              <w:jc w:val="center"/>
              <w:ind w:right="100"/>
              <w:spacing w:after="0"/>
              <w:rPr>
                <w:sz w:val="20"/>
                <w:szCs w:val="20"/>
                <w:color w:val="auto"/>
              </w:rPr>
            </w:pPr>
            <w:r>
              <w:rPr>
                <w:rFonts w:ascii="Arial" w:cs="Arial" w:eastAsia="Arial" w:hAnsi="Arial"/>
                <w:sz w:val="18"/>
                <w:szCs w:val="18"/>
                <w:color w:val="auto"/>
                <w:w w:val="99"/>
              </w:rPr>
              <w:t>—</w:t>
            </w:r>
          </w:p>
        </w:tc>
      </w:tr>
      <w:tr>
        <w:trPr>
          <w:trHeight w:val="63"/>
        </w:trPr>
        <w:tc>
          <w:tcPr>
            <w:tcW w:w="6320" w:type="dxa"/>
            <w:vAlign w:val="bottom"/>
            <w:shd w:val="clear" w:color="auto" w:fill="B2B2B2"/>
          </w:tcPr>
          <w:p>
            <w:pPr>
              <w:spacing w:after="0"/>
              <w:rPr>
                <w:sz w:val="5"/>
                <w:szCs w:val="5"/>
                <w:color w:val="auto"/>
              </w:rPr>
            </w:pPr>
          </w:p>
        </w:tc>
        <w:tc>
          <w:tcPr>
            <w:tcW w:w="500" w:type="dxa"/>
            <w:vAlign w:val="bottom"/>
            <w:shd w:val="clear" w:color="auto" w:fill="B2B2B2"/>
          </w:tcPr>
          <w:p>
            <w:pPr>
              <w:spacing w:after="0"/>
              <w:rPr>
                <w:sz w:val="5"/>
                <w:szCs w:val="5"/>
                <w:color w:val="auto"/>
              </w:rPr>
            </w:pPr>
          </w:p>
        </w:tc>
        <w:tc>
          <w:tcPr>
            <w:tcW w:w="160" w:type="dxa"/>
            <w:vAlign w:val="bottom"/>
            <w:shd w:val="clear" w:color="auto" w:fill="B2B2B2"/>
          </w:tcPr>
          <w:p>
            <w:pPr>
              <w:spacing w:after="0"/>
              <w:rPr>
                <w:sz w:val="5"/>
                <w:szCs w:val="5"/>
                <w:color w:val="auto"/>
              </w:rPr>
            </w:pPr>
          </w:p>
        </w:tc>
        <w:tc>
          <w:tcPr>
            <w:tcW w:w="320" w:type="dxa"/>
            <w:vAlign w:val="bottom"/>
            <w:shd w:val="clear" w:color="auto" w:fill="B2B2B2"/>
          </w:tcPr>
          <w:p>
            <w:pPr>
              <w:spacing w:after="0"/>
              <w:rPr>
                <w:sz w:val="5"/>
                <w:szCs w:val="5"/>
                <w:color w:val="auto"/>
              </w:rPr>
            </w:pPr>
          </w:p>
        </w:tc>
        <w:tc>
          <w:tcPr>
            <w:tcW w:w="160" w:type="dxa"/>
            <w:vAlign w:val="bottom"/>
            <w:shd w:val="clear" w:color="auto" w:fill="B2B2B2"/>
          </w:tcPr>
          <w:p>
            <w:pPr>
              <w:spacing w:after="0"/>
              <w:rPr>
                <w:sz w:val="5"/>
                <w:szCs w:val="5"/>
                <w:color w:val="auto"/>
              </w:rPr>
            </w:pPr>
          </w:p>
        </w:tc>
        <w:tc>
          <w:tcPr>
            <w:tcW w:w="880" w:type="dxa"/>
            <w:vAlign w:val="bottom"/>
            <w:shd w:val="clear" w:color="auto" w:fill="B2B2B2"/>
          </w:tcPr>
          <w:p>
            <w:pPr>
              <w:spacing w:after="0"/>
              <w:rPr>
                <w:sz w:val="5"/>
                <w:szCs w:val="5"/>
                <w:color w:val="auto"/>
              </w:rPr>
            </w:pPr>
          </w:p>
        </w:tc>
        <w:tc>
          <w:tcPr>
            <w:tcW w:w="160" w:type="dxa"/>
            <w:vAlign w:val="bottom"/>
            <w:shd w:val="clear" w:color="auto" w:fill="B2B2B2"/>
          </w:tcPr>
          <w:p>
            <w:pPr>
              <w:spacing w:after="0"/>
              <w:rPr>
                <w:sz w:val="5"/>
                <w:szCs w:val="5"/>
                <w:color w:val="auto"/>
              </w:rPr>
            </w:pPr>
          </w:p>
        </w:tc>
        <w:tc>
          <w:tcPr>
            <w:tcW w:w="600" w:type="dxa"/>
            <w:vAlign w:val="bottom"/>
            <w:shd w:val="clear" w:color="auto" w:fill="B2B2B2"/>
          </w:tcPr>
          <w:p>
            <w:pPr>
              <w:spacing w:after="0"/>
              <w:rPr>
                <w:sz w:val="5"/>
                <w:szCs w:val="5"/>
                <w:color w:val="auto"/>
              </w:rPr>
            </w:pPr>
          </w:p>
        </w:tc>
        <w:tc>
          <w:tcPr>
            <w:tcW w:w="80" w:type="dxa"/>
            <w:vAlign w:val="bottom"/>
            <w:shd w:val="clear" w:color="auto" w:fill="B2B2B2"/>
          </w:tcPr>
          <w:p>
            <w:pPr>
              <w:spacing w:after="0"/>
              <w:rPr>
                <w:sz w:val="5"/>
                <w:szCs w:val="5"/>
                <w:color w:val="auto"/>
              </w:rPr>
            </w:pPr>
          </w:p>
        </w:tc>
      </w:tr>
      <w:tr>
        <w:trPr>
          <w:trHeight w:val="301"/>
        </w:trPr>
        <w:tc>
          <w:tcPr>
            <w:tcW w:w="6320" w:type="dxa"/>
            <w:vAlign w:val="bottom"/>
          </w:tcPr>
          <w:p>
            <w:pPr>
              <w:ind w:left="260"/>
              <w:spacing w:after="0"/>
              <w:rPr>
                <w:sz w:val="20"/>
                <w:szCs w:val="20"/>
                <w:color w:val="auto"/>
              </w:rPr>
            </w:pPr>
            <w:r>
              <w:rPr>
                <w:rFonts w:ascii="Arial" w:cs="Arial" w:eastAsia="Arial" w:hAnsi="Arial"/>
                <w:sz w:val="18"/>
                <w:szCs w:val="18"/>
                <w:color w:val="auto"/>
              </w:rPr>
              <w:t>Did Not Disclose Demographic Background</w:t>
            </w: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5782310</wp:posOffset>
            </wp:positionH>
            <wp:positionV relativeFrom="paragraph">
              <wp:posOffset>-2736850</wp:posOffset>
            </wp:positionV>
            <wp:extent cx="431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-2736850</wp:posOffset>
            </wp:positionV>
            <wp:extent cx="1028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4633595</wp:posOffset>
            </wp:positionH>
            <wp:positionV relativeFrom="paragraph">
              <wp:posOffset>-2736850</wp:posOffset>
            </wp:positionV>
            <wp:extent cx="1028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-2736850</wp:posOffset>
            </wp:positionV>
            <wp:extent cx="1028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-2736850</wp:posOffset>
            </wp:positionV>
            <wp:extent cx="514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 and Attributes</w:t>
      </w:r>
    </w:p>
    <w:p>
      <w:pPr>
        <w:spacing w:after="0" w:line="171" w:lineRule="exact"/>
        <w:rPr>
          <w:sz w:val="20"/>
          <w:szCs w:val="20"/>
          <w:color w:val="auto"/>
        </w:rPr>
      </w:pPr>
    </w:p>
    <w:p>
      <w:pPr>
        <w:ind w:right="220"/>
        <w:spacing w:after="0" w:line="261" w:lineRule="auto"/>
        <w:rPr>
          <w:sz w:val="20"/>
          <w:szCs w:val="20"/>
          <w:color w:val="auto"/>
        </w:rPr>
      </w:pPr>
      <w:r>
        <w:rPr>
          <w:rFonts w:ascii="Arial" w:cs="Arial" w:eastAsia="Arial" w:hAnsi="Arial"/>
          <w:sz w:val="17"/>
          <w:szCs w:val="17"/>
          <w:color w:val="auto"/>
        </w:rPr>
        <w:t xml:space="preserve">We have concluded that all of our directors, including the nominees for re-election, have the skills, experience, knowledge, and personal attributes that are necessary to effectively serve on our Board and to contribute to the overall success of our Company. We believe that the diverse background of each of our Board members ensures that we have a Board that has a broad range of industry-related knowledge, experience, and business acumen. </w:t>
      </w:r>
      <w:r>
        <w:rPr>
          <w:rFonts w:ascii="Arial" w:cs="Arial" w:eastAsia="Arial" w:hAnsi="Arial"/>
          <w:sz w:val="17"/>
          <w:szCs w:val="17"/>
          <w:i w:val="1"/>
          <w:iCs w:val="1"/>
          <w:color w:val="auto"/>
        </w:rPr>
        <w:t xml:space="preserve">See also </w:t>
      </w:r>
      <w:r>
        <w:rPr>
          <w:rFonts w:ascii="Arial" w:cs="Arial" w:eastAsia="Arial" w:hAnsi="Arial"/>
          <w:sz w:val="17"/>
          <w:szCs w:val="17"/>
          <w:color w:val="auto"/>
        </w:rPr>
        <w:t>“</w:t>
      </w:r>
      <w:r>
        <w:rPr>
          <w:rFonts w:ascii="Arial" w:cs="Arial" w:eastAsia="Arial" w:hAnsi="Arial"/>
          <w:sz w:val="17"/>
          <w:szCs w:val="17"/>
          <w:i w:val="1"/>
          <w:iCs w:val="1"/>
          <w:color w:val="auto"/>
        </w:rPr>
        <w:t>CORPORATE GOVERNANCE – Director Nominations by Shareholders</w:t>
      </w:r>
      <w:r>
        <w:rPr>
          <w:rFonts w:ascii="Arial" w:cs="Arial" w:eastAsia="Arial" w:hAnsi="Arial"/>
          <w:sz w:val="17"/>
          <w:szCs w:val="17"/>
          <w:color w:val="auto"/>
        </w:rPr>
        <w:t>” in this proxy statement.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71"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The Nominating and Corporate Governance Committee annually reviews compensation paid to non-employee directors and makes recommendations for adjustment, as appropriate, to the Board. The Board last adjusted the compensation paid to non-employee directors effective January 1, 2022. Both equity and cash compensation paid to our directors in 2022 was determined using benchmark data from our peer companies provided by the Compensation Committee’s independent compensation consultant, Frederic W. Cook &amp; Co. (F.W. Cook).</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365"/>
        </w:trPr>
        <w:tc>
          <w:tcPr>
            <w:tcW w:w="5900" w:type="dxa"/>
            <w:vAlign w:val="bottom"/>
            <w:shd w:val="clear" w:color="auto" w:fill="D9D9D9"/>
          </w:tcPr>
          <w:p>
            <w:pPr>
              <w:ind w:left="80"/>
              <w:spacing w:after="0"/>
              <w:rPr>
                <w:sz w:val="20"/>
                <w:szCs w:val="20"/>
                <w:color w:val="auto"/>
              </w:rPr>
            </w:pPr>
            <w:r>
              <w:rPr>
                <w:rFonts w:ascii="Arial" w:cs="Arial" w:eastAsia="Arial" w:hAnsi="Arial"/>
                <w:sz w:val="18"/>
                <w:szCs w:val="18"/>
                <w:b w:val="1"/>
                <w:bCs w:val="1"/>
                <w:color w:val="auto"/>
              </w:rPr>
              <w:t>Compensation structure for directors</w:t>
            </w:r>
            <w:r>
              <w:rPr>
                <w:rFonts w:ascii="Arial" w:cs="Arial" w:eastAsia="Arial" w:hAnsi="Arial"/>
                <w:sz w:val="29"/>
                <w:szCs w:val="29"/>
                <w:b w:val="1"/>
                <w:bCs w:val="1"/>
                <w:color w:val="auto"/>
                <w:vertAlign w:val="superscript"/>
              </w:rPr>
              <w:t>(1)</w:t>
            </w:r>
          </w:p>
        </w:tc>
        <w:tc>
          <w:tcPr>
            <w:tcW w:w="2560" w:type="dxa"/>
            <w:vAlign w:val="bottom"/>
            <w:shd w:val="clear" w:color="auto" w:fill="D9D9D9"/>
          </w:tcPr>
          <w:p>
            <w:pPr>
              <w:spacing w:after="0"/>
              <w:rPr>
                <w:sz w:val="24"/>
                <w:szCs w:val="24"/>
                <w:color w:val="auto"/>
              </w:rPr>
            </w:pPr>
          </w:p>
        </w:tc>
        <w:tc>
          <w:tcPr>
            <w:tcW w:w="720" w:type="dxa"/>
            <w:vAlign w:val="bottom"/>
            <w:shd w:val="clear" w:color="auto" w:fill="D9D9D9"/>
          </w:tcPr>
          <w:p>
            <w:pPr>
              <w:jc w:val="right"/>
              <w:ind w:right="150"/>
              <w:spacing w:after="0"/>
              <w:rPr>
                <w:sz w:val="20"/>
                <w:szCs w:val="20"/>
                <w:color w:val="auto"/>
              </w:rPr>
            </w:pPr>
            <w:r>
              <w:rPr>
                <w:rFonts w:ascii="Arial" w:cs="Arial" w:eastAsia="Arial" w:hAnsi="Arial"/>
                <w:sz w:val="18"/>
                <w:szCs w:val="18"/>
                <w:b w:val="1"/>
                <w:bCs w:val="1"/>
                <w:color w:val="auto"/>
              </w:rPr>
              <w:t>2022</w:t>
            </w:r>
          </w:p>
        </w:tc>
      </w:tr>
      <w:tr>
        <w:trPr>
          <w:trHeight w:val="404"/>
        </w:trPr>
        <w:tc>
          <w:tcPr>
            <w:tcW w:w="5900" w:type="dxa"/>
            <w:vAlign w:val="bottom"/>
          </w:tcPr>
          <w:p>
            <w:pPr>
              <w:ind w:left="80"/>
              <w:spacing w:after="0"/>
              <w:rPr>
                <w:sz w:val="20"/>
                <w:szCs w:val="20"/>
                <w:color w:val="auto"/>
              </w:rPr>
            </w:pPr>
            <w:r>
              <w:rPr>
                <w:rFonts w:ascii="Arial" w:cs="Arial" w:eastAsia="Arial" w:hAnsi="Arial"/>
                <w:sz w:val="18"/>
                <w:szCs w:val="18"/>
                <w:b w:val="1"/>
                <w:bCs w:val="1"/>
                <w:color w:val="auto"/>
              </w:rPr>
              <w:t>Regular retainer</w:t>
            </w:r>
            <w:r>
              <w:rPr>
                <w:rFonts w:ascii="Arial" w:cs="Arial" w:eastAsia="Arial" w:hAnsi="Arial"/>
                <w:sz w:val="29"/>
                <w:szCs w:val="29"/>
                <w:b w:val="1"/>
                <w:bCs w:val="1"/>
                <w:color w:val="auto"/>
                <w:vertAlign w:val="superscript"/>
              </w:rPr>
              <w:t>(2)</w:t>
            </w:r>
          </w:p>
        </w:tc>
        <w:tc>
          <w:tcPr>
            <w:tcW w:w="25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47"/>
        </w:trPr>
        <w:tc>
          <w:tcPr>
            <w:tcW w:w="5900" w:type="dxa"/>
            <w:vAlign w:val="bottom"/>
          </w:tcPr>
          <w:p>
            <w:pPr>
              <w:ind w:left="80"/>
              <w:spacing w:after="0"/>
              <w:rPr>
                <w:sz w:val="20"/>
                <w:szCs w:val="20"/>
                <w:color w:val="auto"/>
              </w:rPr>
            </w:pPr>
            <w:r>
              <w:rPr>
                <w:rFonts w:ascii="Arial" w:cs="Arial" w:eastAsia="Arial" w:hAnsi="Arial"/>
                <w:sz w:val="18"/>
                <w:szCs w:val="18"/>
                <w:color w:val="auto"/>
              </w:rPr>
              <w:t>Total annual base retainer</w:t>
            </w:r>
            <w:r>
              <w:rPr>
                <w:rFonts w:ascii="Arial" w:cs="Arial" w:eastAsia="Arial" w:hAnsi="Arial"/>
                <w:sz w:val="29"/>
                <w:szCs w:val="29"/>
                <w:color w:val="auto"/>
                <w:vertAlign w:val="superscript"/>
              </w:rPr>
              <w:t>(3)</w:t>
            </w:r>
          </w:p>
        </w:tc>
        <w:tc>
          <w:tcPr>
            <w:tcW w:w="25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240,000</w:t>
            </w:r>
          </w:p>
        </w:tc>
      </w:tr>
      <w:tr>
        <w:trPr>
          <w:trHeight w:val="239"/>
        </w:trPr>
        <w:tc>
          <w:tcPr>
            <w:tcW w:w="5900" w:type="dxa"/>
            <w:vAlign w:val="bottom"/>
          </w:tcPr>
          <w:p>
            <w:pPr>
              <w:ind w:left="440"/>
              <w:spacing w:after="0"/>
              <w:rPr>
                <w:sz w:val="20"/>
                <w:szCs w:val="20"/>
                <w:color w:val="auto"/>
              </w:rPr>
            </w:pPr>
            <w:r>
              <w:rPr>
                <w:rFonts w:ascii="Arial" w:cs="Arial" w:eastAsia="Arial" w:hAnsi="Arial"/>
                <w:sz w:val="18"/>
                <w:szCs w:val="18"/>
                <w:color w:val="auto"/>
              </w:rPr>
              <w:t>Cash</w:t>
            </w:r>
          </w:p>
        </w:tc>
        <w:tc>
          <w:tcPr>
            <w:tcW w:w="25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75,000</w:t>
            </w:r>
          </w:p>
        </w:tc>
      </w:tr>
      <w:tr>
        <w:trPr>
          <w:trHeight w:val="310"/>
        </w:trPr>
        <w:tc>
          <w:tcPr>
            <w:tcW w:w="5900" w:type="dxa"/>
            <w:vAlign w:val="bottom"/>
          </w:tcPr>
          <w:p>
            <w:pPr>
              <w:ind w:left="440"/>
              <w:spacing w:after="0"/>
              <w:rPr>
                <w:sz w:val="20"/>
                <w:szCs w:val="20"/>
                <w:color w:val="auto"/>
              </w:rPr>
            </w:pPr>
            <w:r>
              <w:rPr>
                <w:rFonts w:ascii="Arial" w:cs="Arial" w:eastAsia="Arial" w:hAnsi="Arial"/>
                <w:sz w:val="18"/>
                <w:szCs w:val="18"/>
                <w:color w:val="auto"/>
              </w:rPr>
              <w:t>Stock</w:t>
            </w:r>
          </w:p>
        </w:tc>
        <w:tc>
          <w:tcPr>
            <w:tcW w:w="25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165,000</w:t>
            </w:r>
          </w:p>
        </w:tc>
      </w:tr>
      <w:tr>
        <w:trPr>
          <w:trHeight w:val="310"/>
        </w:trPr>
        <w:tc>
          <w:tcPr>
            <w:tcW w:w="5900" w:type="dxa"/>
            <w:vAlign w:val="bottom"/>
          </w:tcPr>
          <w:p>
            <w:pPr>
              <w:ind w:left="80"/>
              <w:spacing w:after="0"/>
              <w:rPr>
                <w:sz w:val="20"/>
                <w:szCs w:val="20"/>
                <w:color w:val="auto"/>
              </w:rPr>
            </w:pPr>
            <w:r>
              <w:rPr>
                <w:rFonts w:ascii="Arial" w:cs="Arial" w:eastAsia="Arial" w:hAnsi="Arial"/>
                <w:sz w:val="18"/>
                <w:szCs w:val="18"/>
                <w:color w:val="auto"/>
              </w:rPr>
              <w:t>Annual committee chair retainer (cash)</w:t>
            </w:r>
          </w:p>
        </w:tc>
        <w:tc>
          <w:tcPr>
            <w:tcW w:w="25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11"/>
        </w:trPr>
        <w:tc>
          <w:tcPr>
            <w:tcW w:w="5900" w:type="dxa"/>
            <w:vAlign w:val="bottom"/>
          </w:tcPr>
          <w:p>
            <w:pPr>
              <w:ind w:left="440"/>
              <w:spacing w:after="0"/>
              <w:rPr>
                <w:sz w:val="20"/>
                <w:szCs w:val="20"/>
                <w:color w:val="auto"/>
              </w:rPr>
            </w:pPr>
            <w:r>
              <w:rPr>
                <w:rFonts w:ascii="Arial" w:cs="Arial" w:eastAsia="Arial" w:hAnsi="Arial"/>
                <w:sz w:val="18"/>
                <w:szCs w:val="18"/>
                <w:color w:val="auto"/>
              </w:rPr>
              <w:t>Compensation</w:t>
            </w:r>
          </w:p>
        </w:tc>
        <w:tc>
          <w:tcPr>
            <w:tcW w:w="25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22,500</w:t>
            </w:r>
          </w:p>
        </w:tc>
      </w:tr>
      <w:tr>
        <w:trPr>
          <w:trHeight w:val="310"/>
        </w:trPr>
        <w:tc>
          <w:tcPr>
            <w:tcW w:w="5900" w:type="dxa"/>
            <w:vAlign w:val="bottom"/>
          </w:tcPr>
          <w:p>
            <w:pPr>
              <w:ind w:left="440"/>
              <w:spacing w:after="0"/>
              <w:rPr>
                <w:sz w:val="20"/>
                <w:szCs w:val="20"/>
                <w:color w:val="auto"/>
              </w:rPr>
            </w:pPr>
            <w:r>
              <w:rPr>
                <w:rFonts w:ascii="Arial" w:cs="Arial" w:eastAsia="Arial" w:hAnsi="Arial"/>
                <w:sz w:val="18"/>
                <w:szCs w:val="18"/>
                <w:color w:val="auto"/>
              </w:rPr>
              <w:t>Nominating &amp; Corporate Governance</w:t>
            </w:r>
          </w:p>
        </w:tc>
        <w:tc>
          <w:tcPr>
            <w:tcW w:w="25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22,500</w:t>
            </w:r>
          </w:p>
        </w:tc>
      </w:tr>
      <w:tr>
        <w:trPr>
          <w:trHeight w:val="310"/>
        </w:trPr>
        <w:tc>
          <w:tcPr>
            <w:tcW w:w="5900" w:type="dxa"/>
            <w:vAlign w:val="bottom"/>
          </w:tcPr>
          <w:p>
            <w:pPr>
              <w:ind w:left="440"/>
              <w:spacing w:after="0"/>
              <w:rPr>
                <w:sz w:val="20"/>
                <w:szCs w:val="20"/>
                <w:color w:val="auto"/>
              </w:rPr>
            </w:pPr>
            <w:r>
              <w:rPr>
                <w:rFonts w:ascii="Arial" w:cs="Arial" w:eastAsia="Arial" w:hAnsi="Arial"/>
                <w:sz w:val="18"/>
                <w:szCs w:val="18"/>
                <w:color w:val="auto"/>
              </w:rPr>
              <w:t>Audit/Finance</w:t>
            </w:r>
          </w:p>
        </w:tc>
        <w:tc>
          <w:tcPr>
            <w:tcW w:w="25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310"/>
        </w:trPr>
        <w:tc>
          <w:tcPr>
            <w:tcW w:w="5900" w:type="dxa"/>
            <w:vAlign w:val="bottom"/>
          </w:tcPr>
          <w:p>
            <w:pPr>
              <w:ind w:left="80"/>
              <w:spacing w:after="0"/>
              <w:rPr>
                <w:sz w:val="20"/>
                <w:szCs w:val="20"/>
                <w:color w:val="auto"/>
              </w:rPr>
            </w:pPr>
            <w:r>
              <w:rPr>
                <w:rFonts w:ascii="Arial" w:cs="Arial" w:eastAsia="Arial" w:hAnsi="Arial"/>
                <w:sz w:val="18"/>
                <w:szCs w:val="18"/>
                <w:color w:val="auto"/>
              </w:rPr>
              <w:t>Annual committee member retainer (cash)</w:t>
            </w:r>
          </w:p>
        </w:tc>
        <w:tc>
          <w:tcPr>
            <w:tcW w:w="25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10"/>
        </w:trPr>
        <w:tc>
          <w:tcPr>
            <w:tcW w:w="5900" w:type="dxa"/>
            <w:vAlign w:val="bottom"/>
          </w:tcPr>
          <w:p>
            <w:pPr>
              <w:ind w:left="440"/>
              <w:spacing w:after="0"/>
              <w:rPr>
                <w:sz w:val="20"/>
                <w:szCs w:val="20"/>
                <w:color w:val="auto"/>
              </w:rPr>
            </w:pPr>
            <w:r>
              <w:rPr>
                <w:rFonts w:ascii="Arial" w:cs="Arial" w:eastAsia="Arial" w:hAnsi="Arial"/>
                <w:sz w:val="18"/>
                <w:szCs w:val="18"/>
                <w:color w:val="auto"/>
              </w:rPr>
              <w:t>Compensation</w:t>
            </w:r>
          </w:p>
        </w:tc>
        <w:tc>
          <w:tcPr>
            <w:tcW w:w="25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310"/>
        </w:trPr>
        <w:tc>
          <w:tcPr>
            <w:tcW w:w="5900" w:type="dxa"/>
            <w:vAlign w:val="bottom"/>
          </w:tcPr>
          <w:p>
            <w:pPr>
              <w:ind w:left="440"/>
              <w:spacing w:after="0"/>
              <w:rPr>
                <w:sz w:val="20"/>
                <w:szCs w:val="20"/>
                <w:color w:val="auto"/>
              </w:rPr>
            </w:pPr>
            <w:r>
              <w:rPr>
                <w:rFonts w:ascii="Arial" w:cs="Arial" w:eastAsia="Arial" w:hAnsi="Arial"/>
                <w:sz w:val="18"/>
                <w:szCs w:val="18"/>
                <w:color w:val="auto"/>
              </w:rPr>
              <w:t>Nominating &amp; Corporate Governance</w:t>
            </w:r>
          </w:p>
        </w:tc>
        <w:tc>
          <w:tcPr>
            <w:tcW w:w="25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311"/>
        </w:trPr>
        <w:tc>
          <w:tcPr>
            <w:tcW w:w="5900" w:type="dxa"/>
            <w:vAlign w:val="bottom"/>
          </w:tcPr>
          <w:p>
            <w:pPr>
              <w:ind w:left="440"/>
              <w:spacing w:after="0"/>
              <w:rPr>
                <w:sz w:val="20"/>
                <w:szCs w:val="20"/>
                <w:color w:val="auto"/>
              </w:rPr>
            </w:pPr>
            <w:r>
              <w:rPr>
                <w:rFonts w:ascii="Arial" w:cs="Arial" w:eastAsia="Arial" w:hAnsi="Arial"/>
                <w:sz w:val="18"/>
                <w:szCs w:val="18"/>
                <w:color w:val="auto"/>
              </w:rPr>
              <w:t>Audit/Finance</w:t>
            </w:r>
          </w:p>
        </w:tc>
        <w:tc>
          <w:tcPr>
            <w:tcW w:w="25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319"/>
        </w:trPr>
        <w:tc>
          <w:tcPr>
            <w:tcW w:w="5900" w:type="dxa"/>
            <w:vAlign w:val="bottom"/>
          </w:tcPr>
          <w:p>
            <w:pPr>
              <w:ind w:left="80"/>
              <w:spacing w:after="0"/>
              <w:rPr>
                <w:sz w:val="20"/>
                <w:szCs w:val="20"/>
                <w:color w:val="auto"/>
              </w:rPr>
            </w:pPr>
            <w:r>
              <w:rPr>
                <w:rFonts w:ascii="Arial" w:cs="Arial" w:eastAsia="Arial" w:hAnsi="Arial"/>
                <w:sz w:val="18"/>
                <w:szCs w:val="18"/>
                <w:b w:val="1"/>
                <w:bCs w:val="1"/>
                <w:color w:val="auto"/>
              </w:rPr>
              <w:t>Board Chair retainer</w:t>
            </w:r>
          </w:p>
        </w:tc>
        <w:tc>
          <w:tcPr>
            <w:tcW w:w="25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15"/>
        </w:trPr>
        <w:tc>
          <w:tcPr>
            <w:tcW w:w="5900" w:type="dxa"/>
            <w:vAlign w:val="bottom"/>
          </w:tcPr>
          <w:p>
            <w:pPr>
              <w:ind w:left="80"/>
              <w:spacing w:after="0"/>
              <w:rPr>
                <w:sz w:val="20"/>
                <w:szCs w:val="20"/>
                <w:color w:val="auto"/>
              </w:rPr>
            </w:pPr>
            <w:r>
              <w:rPr>
                <w:rFonts w:ascii="Arial" w:cs="Arial" w:eastAsia="Arial" w:hAnsi="Arial"/>
                <w:sz w:val="18"/>
                <w:szCs w:val="18"/>
                <w:color w:val="auto"/>
              </w:rPr>
              <w:t>Total annual Board Chair retainer</w:t>
            </w:r>
            <w:r>
              <w:rPr>
                <w:rFonts w:ascii="Arial" w:cs="Arial" w:eastAsia="Arial" w:hAnsi="Arial"/>
                <w:sz w:val="29"/>
                <w:szCs w:val="29"/>
                <w:color w:val="auto"/>
                <w:vertAlign w:val="superscript"/>
              </w:rPr>
              <w:t>(3)(4)</w:t>
            </w:r>
          </w:p>
        </w:tc>
        <w:tc>
          <w:tcPr>
            <w:tcW w:w="25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340,000</w:t>
            </w:r>
          </w:p>
        </w:tc>
      </w:tr>
      <w:tr>
        <w:trPr>
          <w:trHeight w:val="239"/>
        </w:trPr>
        <w:tc>
          <w:tcPr>
            <w:tcW w:w="5900" w:type="dxa"/>
            <w:vAlign w:val="bottom"/>
          </w:tcPr>
          <w:p>
            <w:pPr>
              <w:ind w:left="440"/>
              <w:spacing w:after="0"/>
              <w:rPr>
                <w:sz w:val="20"/>
                <w:szCs w:val="20"/>
                <w:color w:val="auto"/>
              </w:rPr>
            </w:pPr>
            <w:r>
              <w:rPr>
                <w:rFonts w:ascii="Arial" w:cs="Arial" w:eastAsia="Arial" w:hAnsi="Arial"/>
                <w:sz w:val="18"/>
                <w:szCs w:val="18"/>
                <w:color w:val="auto"/>
              </w:rPr>
              <w:t>Cash</w:t>
            </w:r>
          </w:p>
        </w:tc>
        <w:tc>
          <w:tcPr>
            <w:tcW w:w="25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130,000</w:t>
            </w:r>
          </w:p>
        </w:tc>
      </w:tr>
      <w:tr>
        <w:trPr>
          <w:trHeight w:val="327"/>
        </w:trPr>
        <w:tc>
          <w:tcPr>
            <w:tcW w:w="59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Stock</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210,000</w:t>
            </w:r>
          </w:p>
        </w:tc>
      </w:tr>
    </w:tbl>
    <w:p>
      <w:pPr>
        <w:spacing w:after="0" w:line="200" w:lineRule="exact"/>
        <w:rPr>
          <w:sz w:val="20"/>
          <w:szCs w:val="20"/>
          <w:color w:val="auto"/>
        </w:rPr>
      </w:pPr>
    </w:p>
    <w:p>
      <w:pPr>
        <w:sectPr>
          <w:pgSz w:w="11900" w:h="16838" w:orient="portrait"/>
          <w:cols w:equalWidth="0" w:num="1">
            <w:col w:w="9180"/>
          </w:cols>
          <w:pgMar w:left="1360" w:top="263" w:right="1359" w:bottom="1134" w:gutter="0" w:footer="0" w:header="0"/>
        </w:sectPr>
      </w:pPr>
    </w:p>
    <w:p>
      <w:pPr>
        <w:spacing w:after="0" w:line="105" w:lineRule="exact"/>
        <w:rPr>
          <w:sz w:val="20"/>
          <w:szCs w:val="20"/>
          <w:color w:val="auto"/>
        </w:rPr>
      </w:pPr>
    </w:p>
    <w:p>
      <w:pPr>
        <w:spacing w:after="0"/>
        <w:tabs>
          <w:tab w:leader="none" w:pos="4420" w:val="left"/>
        </w:tabs>
        <w:rPr>
          <w:sz w:val="20"/>
          <w:szCs w:val="20"/>
          <w:color w:val="auto"/>
        </w:rPr>
      </w:pPr>
      <w:r>
        <w:rPr>
          <w:rFonts w:ascii="Arial" w:cs="Arial" w:eastAsia="Arial" w:hAnsi="Arial"/>
          <w:sz w:val="12"/>
          <w:szCs w:val="12"/>
          <w:color w:val="auto"/>
        </w:rPr>
        <w:t> </w:t>
      </w:r>
      <w:r>
        <w:rPr>
          <w:sz w:val="20"/>
          <w:szCs w:val="20"/>
          <w:color w:val="auto"/>
        </w:rPr>
        <w:tab/>
      </w: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170815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263" w:right="1359" w:bottom="1134" w:gutter="0" w:footer="0" w:header="0"/>
          <w:type w:val="continuous"/>
        </w:sectPr>
      </w:pPr>
    </w:p>
    <w:bookmarkStart w:id="15" w:name="page16"/>
    <w:bookmarkEnd w:id="15"/>
    <w:tbl>
      <w:tblPr>
        <w:tblLayout w:type="fixed"/>
        <w:tblInd w:w="6" w:type="dxa"/>
        <w:tblCellMar>
          <w:top w:w="0" w:type="dxa"/>
          <w:left w:w="0" w:type="dxa"/>
          <w:bottom w:w="0" w:type="dxa"/>
          <w:right w:w="0" w:type="dxa"/>
        </w:tblCellMar>
      </w:tblPr>
      <w:tr>
        <w:trPr>
          <w:trHeight w:val="161"/>
        </w:trPr>
        <w:tc>
          <w:tcPr>
            <w:tcW w:w="5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280" w:type="dxa"/>
            <w:vAlign w:val="bottom"/>
          </w:tcPr>
          <w:p>
            <w:pPr>
              <w:spacing w:after="0"/>
              <w:rPr>
                <w:sz w:val="13"/>
                <w:szCs w:val="13"/>
                <w:color w:val="auto"/>
              </w:rPr>
            </w:pPr>
          </w:p>
        </w:tc>
      </w:tr>
      <w:tr>
        <w:trPr>
          <w:trHeight w:val="128"/>
        </w:trPr>
        <w:tc>
          <w:tcPr>
            <w:tcW w:w="1540" w:type="dxa"/>
            <w:vAlign w:val="bottom"/>
            <w:tcBorders>
              <w:top w:val="single" w:sz="8" w:color="0000EE"/>
            </w:tcBorders>
          </w:tcPr>
          <w:p>
            <w:pPr>
              <w:spacing w:after="0"/>
              <w:rPr>
                <w:sz w:val="11"/>
                <w:szCs w:val="11"/>
                <w:color w:val="auto"/>
              </w:rPr>
            </w:pPr>
          </w:p>
        </w:tc>
        <w:tc>
          <w:tcPr>
            <w:tcW w:w="4360" w:type="dxa"/>
            <w:vAlign w:val="bottom"/>
          </w:tcPr>
          <w:p>
            <w:pPr>
              <w:spacing w:after="0"/>
              <w:rPr>
                <w:sz w:val="11"/>
                <w:szCs w:val="11"/>
                <w:color w:val="auto"/>
              </w:rPr>
            </w:pPr>
          </w:p>
        </w:tc>
        <w:tc>
          <w:tcPr>
            <w:tcW w:w="3280" w:type="dxa"/>
            <w:vAlign w:val="bottom"/>
          </w:tcPr>
          <w:p>
            <w:pPr>
              <w:spacing w:after="0"/>
              <w:rPr>
                <w:sz w:val="11"/>
                <w:szCs w:val="11"/>
                <w:color w:val="auto"/>
              </w:rPr>
            </w:pPr>
          </w:p>
        </w:tc>
      </w:tr>
      <w:tr>
        <w:trPr>
          <w:trHeight w:val="364"/>
        </w:trPr>
        <w:tc>
          <w:tcPr>
            <w:tcW w:w="5900" w:type="dxa"/>
            <w:vAlign w:val="bottom"/>
            <w:gridSpan w:val="2"/>
            <w:shd w:val="clear" w:color="auto" w:fill="D9D9D9"/>
          </w:tcPr>
          <w:p>
            <w:pPr>
              <w:ind w:left="80"/>
              <w:spacing w:after="0"/>
              <w:rPr>
                <w:sz w:val="20"/>
                <w:szCs w:val="20"/>
                <w:color w:val="auto"/>
              </w:rPr>
            </w:pPr>
            <w:r>
              <w:rPr>
                <w:rFonts w:ascii="Arial" w:cs="Arial" w:eastAsia="Arial" w:hAnsi="Arial"/>
                <w:sz w:val="18"/>
                <w:szCs w:val="18"/>
                <w:b w:val="1"/>
                <w:bCs w:val="1"/>
                <w:color w:val="auto"/>
              </w:rPr>
              <w:t>Compensation structure for directors</w:t>
            </w:r>
            <w:r>
              <w:rPr>
                <w:rFonts w:ascii="Arial" w:cs="Arial" w:eastAsia="Arial" w:hAnsi="Arial"/>
                <w:sz w:val="29"/>
                <w:szCs w:val="29"/>
                <w:b w:val="1"/>
                <w:bCs w:val="1"/>
                <w:color w:val="auto"/>
                <w:vertAlign w:val="superscript"/>
              </w:rPr>
              <w:t>(1)</w:t>
            </w:r>
          </w:p>
        </w:tc>
        <w:tc>
          <w:tcPr>
            <w:tcW w:w="3280" w:type="dxa"/>
            <w:vAlign w:val="bottom"/>
            <w:shd w:val="clear" w:color="auto" w:fill="D9D9D9"/>
          </w:tcPr>
          <w:p>
            <w:pPr>
              <w:jc w:val="right"/>
              <w:ind w:right="150"/>
              <w:spacing w:after="0"/>
              <w:rPr>
                <w:sz w:val="20"/>
                <w:szCs w:val="20"/>
                <w:color w:val="auto"/>
              </w:rPr>
            </w:pPr>
            <w:r>
              <w:rPr>
                <w:rFonts w:ascii="Arial" w:cs="Arial" w:eastAsia="Arial" w:hAnsi="Arial"/>
                <w:sz w:val="18"/>
                <w:szCs w:val="18"/>
                <w:b w:val="1"/>
                <w:bCs w:val="1"/>
                <w:color w:val="auto"/>
              </w:rPr>
              <w:t>2022</w:t>
            </w:r>
          </w:p>
        </w:tc>
      </w:tr>
      <w:tr>
        <w:trPr>
          <w:trHeight w:val="296"/>
        </w:trPr>
        <w:tc>
          <w:tcPr>
            <w:tcW w:w="5900" w:type="dxa"/>
            <w:vAlign w:val="bottom"/>
            <w:gridSpan w:val="2"/>
          </w:tcPr>
          <w:p>
            <w:pPr>
              <w:ind w:left="80"/>
              <w:spacing w:after="0"/>
              <w:rPr>
                <w:sz w:val="20"/>
                <w:szCs w:val="20"/>
                <w:color w:val="auto"/>
              </w:rPr>
            </w:pPr>
            <w:r>
              <w:rPr>
                <w:rFonts w:ascii="Arial" w:cs="Arial" w:eastAsia="Arial" w:hAnsi="Arial"/>
                <w:sz w:val="18"/>
                <w:szCs w:val="18"/>
                <w:b w:val="1"/>
                <w:bCs w:val="1"/>
                <w:color w:val="auto"/>
              </w:rPr>
              <w:t>Board Vice Chair retainer</w:t>
            </w:r>
          </w:p>
        </w:tc>
        <w:tc>
          <w:tcPr>
            <w:tcW w:w="3280" w:type="dxa"/>
            <w:vAlign w:val="bottom"/>
          </w:tcPr>
          <w:p>
            <w:pPr>
              <w:spacing w:after="0"/>
              <w:rPr>
                <w:sz w:val="24"/>
                <w:szCs w:val="24"/>
                <w:color w:val="auto"/>
              </w:rPr>
            </w:pPr>
          </w:p>
        </w:tc>
      </w:tr>
      <w:tr>
        <w:trPr>
          <w:trHeight w:val="415"/>
        </w:trPr>
        <w:tc>
          <w:tcPr>
            <w:tcW w:w="5900" w:type="dxa"/>
            <w:vAlign w:val="bottom"/>
            <w:gridSpan w:val="2"/>
          </w:tcPr>
          <w:p>
            <w:pPr>
              <w:ind w:left="80"/>
              <w:spacing w:after="0"/>
              <w:rPr>
                <w:sz w:val="20"/>
                <w:szCs w:val="20"/>
                <w:color w:val="auto"/>
              </w:rPr>
            </w:pPr>
            <w:r>
              <w:rPr>
                <w:rFonts w:ascii="Arial" w:cs="Arial" w:eastAsia="Arial" w:hAnsi="Arial"/>
                <w:sz w:val="18"/>
                <w:szCs w:val="18"/>
                <w:color w:val="auto"/>
              </w:rPr>
              <w:t>Total annual Board Vice Chair retainer</w:t>
            </w:r>
            <w:r>
              <w:rPr>
                <w:rFonts w:ascii="Arial" w:cs="Arial" w:eastAsia="Arial" w:hAnsi="Arial"/>
                <w:sz w:val="29"/>
                <w:szCs w:val="29"/>
                <w:color w:val="auto"/>
                <w:vertAlign w:val="superscript"/>
              </w:rPr>
              <w:t>(3)</w:t>
            </w:r>
          </w:p>
        </w:tc>
        <w:tc>
          <w:tcPr>
            <w:tcW w:w="3280" w:type="dxa"/>
            <w:vAlign w:val="bottom"/>
          </w:tcPr>
          <w:p>
            <w:pPr>
              <w:ind w:left="2460"/>
              <w:spacing w:after="0"/>
              <w:rPr>
                <w:sz w:val="20"/>
                <w:szCs w:val="20"/>
                <w:color w:val="auto"/>
              </w:rPr>
            </w:pPr>
            <w:r>
              <w:rPr>
                <w:rFonts w:ascii="Arial" w:cs="Arial" w:eastAsia="Arial" w:hAnsi="Arial"/>
                <w:sz w:val="18"/>
                <w:szCs w:val="18"/>
                <w:color w:val="auto"/>
              </w:rPr>
              <w:t>$280,000</w:t>
            </w:r>
          </w:p>
        </w:tc>
      </w:tr>
      <w:tr>
        <w:trPr>
          <w:trHeight w:val="239"/>
        </w:trPr>
        <w:tc>
          <w:tcPr>
            <w:tcW w:w="5900" w:type="dxa"/>
            <w:vAlign w:val="bottom"/>
            <w:gridSpan w:val="2"/>
          </w:tcPr>
          <w:p>
            <w:pPr>
              <w:ind w:left="440"/>
              <w:spacing w:after="0"/>
              <w:rPr>
                <w:sz w:val="20"/>
                <w:szCs w:val="20"/>
                <w:color w:val="auto"/>
              </w:rPr>
            </w:pPr>
            <w:r>
              <w:rPr>
                <w:rFonts w:ascii="Arial" w:cs="Arial" w:eastAsia="Arial" w:hAnsi="Arial"/>
                <w:sz w:val="18"/>
                <w:szCs w:val="18"/>
                <w:color w:val="auto"/>
              </w:rPr>
              <w:t>Cash</w:t>
            </w:r>
          </w:p>
        </w:tc>
        <w:tc>
          <w:tcPr>
            <w:tcW w:w="3280" w:type="dxa"/>
            <w:vAlign w:val="bottom"/>
          </w:tcPr>
          <w:p>
            <w:pPr>
              <w:ind w:left="2460"/>
              <w:spacing w:after="0"/>
              <w:rPr>
                <w:sz w:val="20"/>
                <w:szCs w:val="20"/>
                <w:color w:val="auto"/>
              </w:rPr>
            </w:pPr>
            <w:r>
              <w:rPr>
                <w:rFonts w:ascii="Arial" w:cs="Arial" w:eastAsia="Arial" w:hAnsi="Arial"/>
                <w:sz w:val="18"/>
                <w:szCs w:val="18"/>
                <w:color w:val="auto"/>
              </w:rPr>
              <w:t>$115,000</w:t>
            </w:r>
          </w:p>
        </w:tc>
      </w:tr>
      <w:tr>
        <w:trPr>
          <w:trHeight w:val="327"/>
        </w:trPr>
        <w:tc>
          <w:tcPr>
            <w:tcW w:w="590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Stock</w:t>
            </w:r>
          </w:p>
        </w:tc>
        <w:tc>
          <w:tcPr>
            <w:tcW w:w="3280" w:type="dxa"/>
            <w:vAlign w:val="bottom"/>
            <w:tcBorders>
              <w:bottom w:val="single" w:sz="8" w:color="auto"/>
            </w:tcBorders>
          </w:tcPr>
          <w:p>
            <w:pPr>
              <w:ind w:left="2460"/>
              <w:spacing w:after="0"/>
              <w:rPr>
                <w:sz w:val="20"/>
                <w:szCs w:val="20"/>
                <w:color w:val="auto"/>
              </w:rPr>
            </w:pPr>
            <w:r>
              <w:rPr>
                <w:rFonts w:ascii="Arial" w:cs="Arial" w:eastAsia="Arial" w:hAnsi="Arial"/>
                <w:sz w:val="18"/>
                <w:szCs w:val="18"/>
                <w:color w:val="auto"/>
              </w:rPr>
              <w:t>$165,000</w:t>
            </w:r>
          </w:p>
        </w:tc>
      </w:tr>
    </w:tbl>
    <w:p>
      <w:pPr>
        <w:spacing w:after="0" w:line="99" w:lineRule="exact"/>
        <w:rPr>
          <w:sz w:val="20"/>
          <w:szCs w:val="20"/>
          <w:color w:val="auto"/>
        </w:rPr>
      </w:pPr>
    </w:p>
    <w:p>
      <w:pPr>
        <w:ind w:left="346" w:hanging="346"/>
        <w:spacing w:after="0"/>
        <w:tabs>
          <w:tab w:leader="none" w:pos="346" w:val="left"/>
        </w:tabs>
        <w:numPr>
          <w:ilvl w:val="0"/>
          <w:numId w:val="12"/>
        </w:numPr>
        <w:rPr>
          <w:rFonts w:ascii="Arial" w:cs="Arial" w:eastAsia="Arial" w:hAnsi="Arial"/>
          <w:sz w:val="14"/>
          <w:szCs w:val="14"/>
          <w:color w:val="auto"/>
        </w:rPr>
      </w:pPr>
      <w:r>
        <w:rPr>
          <w:rFonts w:ascii="Arial" w:cs="Arial" w:eastAsia="Arial" w:hAnsi="Arial"/>
          <w:sz w:val="14"/>
          <w:szCs w:val="14"/>
          <w:color w:val="auto"/>
        </w:rPr>
        <w:t>Director compensation is payable quarterly at the beginning of each quarter.</w:t>
      </w:r>
    </w:p>
    <w:p>
      <w:pPr>
        <w:spacing w:after="0" w:line="82" w:lineRule="exact"/>
        <w:rPr>
          <w:rFonts w:ascii="Arial" w:cs="Arial" w:eastAsia="Arial" w:hAnsi="Arial"/>
          <w:sz w:val="14"/>
          <w:szCs w:val="14"/>
          <w:color w:val="auto"/>
        </w:rPr>
      </w:pPr>
    </w:p>
    <w:p>
      <w:pPr>
        <w:ind w:left="346" w:right="520" w:hanging="346"/>
        <w:spacing w:after="0" w:line="285" w:lineRule="auto"/>
        <w:tabs>
          <w:tab w:leader="none" w:pos="346" w:val="left"/>
        </w:tabs>
        <w:numPr>
          <w:ilvl w:val="0"/>
          <w:numId w:val="12"/>
        </w:numPr>
        <w:rPr>
          <w:rFonts w:ascii="Arial" w:cs="Arial" w:eastAsia="Arial" w:hAnsi="Arial"/>
          <w:sz w:val="14"/>
          <w:szCs w:val="14"/>
          <w:color w:val="auto"/>
        </w:rPr>
      </w:pPr>
      <w:r>
        <w:rPr>
          <w:rFonts w:ascii="Arial" w:cs="Arial" w:eastAsia="Arial" w:hAnsi="Arial"/>
          <w:sz w:val="14"/>
          <w:szCs w:val="14"/>
          <w:color w:val="auto"/>
        </w:rPr>
        <w:t>Applies to our non-employee directors (other than our Board Chair and Vice Chair). Mr. Deitrich is our CEO. In accordance with our Governance Principles, our employee directors do not receive any compensation for serving on the Board.</w:t>
      </w:r>
    </w:p>
    <w:p>
      <w:pPr>
        <w:spacing w:after="0" w:line="9" w:lineRule="exact"/>
        <w:rPr>
          <w:rFonts w:ascii="Arial" w:cs="Arial" w:eastAsia="Arial" w:hAnsi="Arial"/>
          <w:sz w:val="14"/>
          <w:szCs w:val="14"/>
          <w:color w:val="auto"/>
        </w:rPr>
      </w:pPr>
    </w:p>
    <w:p>
      <w:pPr>
        <w:ind w:left="346" w:hanging="346"/>
        <w:spacing w:after="0" w:line="285" w:lineRule="auto"/>
        <w:tabs>
          <w:tab w:leader="none" w:pos="346"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 2014, the Board adopted a policy that permits a director age 65 or older to elect to receive all of his or her retainer in cash, provided they continuously meet the stock ownership guidelines described under “</w:t>
      </w:r>
      <w:r>
        <w:rPr>
          <w:rFonts w:ascii="Arial" w:cs="Arial" w:eastAsia="Arial" w:hAnsi="Arial"/>
          <w:sz w:val="14"/>
          <w:szCs w:val="14"/>
          <w:i w:val="1"/>
          <w:iCs w:val="1"/>
          <w:color w:val="auto"/>
        </w:rPr>
        <w:t>Stock Ownership Guidelines</w:t>
      </w:r>
      <w:r>
        <w:rPr>
          <w:rFonts w:ascii="Arial" w:cs="Arial" w:eastAsia="Arial" w:hAnsi="Arial"/>
          <w:sz w:val="14"/>
          <w:szCs w:val="14"/>
          <w:color w:val="auto"/>
        </w:rPr>
        <w:t>”.</w:t>
      </w:r>
    </w:p>
    <w:p>
      <w:pPr>
        <w:spacing w:after="0" w:line="9" w:lineRule="exact"/>
        <w:rPr>
          <w:rFonts w:ascii="Arial" w:cs="Arial" w:eastAsia="Arial" w:hAnsi="Arial"/>
          <w:sz w:val="14"/>
          <w:szCs w:val="14"/>
          <w:color w:val="auto"/>
        </w:rPr>
      </w:pPr>
    </w:p>
    <w:p>
      <w:pPr>
        <w:ind w:left="346" w:hanging="346"/>
        <w:spacing w:after="0"/>
        <w:tabs>
          <w:tab w:leader="none" w:pos="346"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Board Chair receives no additional retainers for serving on any of our committees.</w:t>
      </w:r>
    </w:p>
    <w:p>
      <w:pPr>
        <w:spacing w:after="0" w:line="207"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2022 Director Compensation Table (for all non-employee Directors)</w:t>
      </w:r>
    </w:p>
    <w:p>
      <w:pPr>
        <w:spacing w:after="0" w:line="127" w:lineRule="exact"/>
        <w:rPr>
          <w:sz w:val="20"/>
          <w:szCs w:val="20"/>
          <w:color w:val="auto"/>
        </w:rPr>
      </w:pPr>
    </w:p>
    <w:p>
      <w:pPr>
        <w:jc w:val="center"/>
        <w:ind w:right="14"/>
        <w:spacing w:after="0"/>
        <w:rPr>
          <w:sz w:val="20"/>
          <w:szCs w:val="20"/>
          <w:color w:val="auto"/>
        </w:rPr>
      </w:pPr>
      <w:r>
        <w:rPr>
          <w:rFonts w:ascii="Arial" w:cs="Arial" w:eastAsia="Arial" w:hAnsi="Arial"/>
          <w:sz w:val="14"/>
          <w:szCs w:val="14"/>
          <w:b w:val="1"/>
          <w:bCs w:val="1"/>
          <w:color w:val="auto"/>
        </w:rPr>
        <w:t>ITRON,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49530</wp:posOffset>
            </wp:positionV>
            <wp:extent cx="57689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130" w:lineRule="exact"/>
        <w:rPr>
          <w:sz w:val="20"/>
          <w:szCs w:val="20"/>
          <w:color w:val="auto"/>
        </w:rPr>
      </w:pPr>
    </w:p>
    <w:p>
      <w:pPr>
        <w:jc w:val="center"/>
        <w:ind w:right="14"/>
        <w:spacing w:after="0"/>
        <w:rPr>
          <w:sz w:val="20"/>
          <w:szCs w:val="20"/>
          <w:color w:val="auto"/>
        </w:rPr>
      </w:pPr>
      <w:r>
        <w:rPr>
          <w:rFonts w:ascii="Arial" w:cs="Arial" w:eastAsia="Arial" w:hAnsi="Arial"/>
          <w:sz w:val="14"/>
          <w:szCs w:val="14"/>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49530</wp:posOffset>
            </wp:positionV>
            <wp:extent cx="57689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68975" cy="8890"/>
                    </a:xfrm>
                    <a:prstGeom prst="rect">
                      <a:avLst/>
                    </a:prstGeom>
                    <a:noFill/>
                  </pic:spPr>
                </pic:pic>
              </a:graphicData>
            </a:graphic>
          </wp:anchor>
        </w:drawing>
      </w:r>
    </w:p>
    <w:p>
      <w:pPr>
        <w:spacing w:after="0" w:line="130" w:lineRule="exact"/>
        <w:rPr>
          <w:sz w:val="20"/>
          <w:szCs w:val="20"/>
          <w:color w:val="auto"/>
        </w:rPr>
      </w:pPr>
    </w:p>
    <w:tbl>
      <w:tblPr>
        <w:tblLayout w:type="fixed"/>
        <w:tblInd w:w="6"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Change in</w:t>
            </w: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Pension Value</w:t>
            </w: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and</w:t>
            </w: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Fees</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Nonqualified</w:t>
            </w: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Earned</w:t>
            </w:r>
          </w:p>
        </w:tc>
        <w:tc>
          <w:tcPr>
            <w:tcW w:w="160" w:type="dxa"/>
            <w:vAlign w:val="bottom"/>
          </w:tcPr>
          <w:p>
            <w:pPr>
              <w:spacing w:after="0"/>
              <w:rPr>
                <w:sz w:val="14"/>
                <w:szCs w:val="14"/>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9"/>
              </w:rPr>
              <w:t>Stock</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Non-Equity</w:t>
            </w: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Deferred</w:t>
            </w: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or Paid</w:t>
            </w: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Option</w:t>
            </w:r>
          </w:p>
        </w:tc>
        <w:tc>
          <w:tcPr>
            <w:tcW w:w="120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Incentive Plan</w:t>
            </w:r>
          </w:p>
        </w:tc>
        <w:tc>
          <w:tcPr>
            <w:tcW w:w="120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Compensation</w:t>
            </w:r>
          </w:p>
        </w:tc>
        <w:tc>
          <w:tcPr>
            <w:tcW w:w="10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in Cash</w:t>
            </w:r>
          </w:p>
        </w:tc>
        <w:tc>
          <w:tcPr>
            <w:tcW w:w="16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Awards</w:t>
            </w: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Awards</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Compensation</w:t>
            </w: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Earnings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200" w:type="dxa"/>
            <w:vAlign w:val="bottom"/>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18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22"/>
                <w:szCs w:val="22"/>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22"/>
                <w:szCs w:val="22"/>
                <w:color w:val="auto"/>
              </w:rPr>
            </w:pPr>
          </w:p>
        </w:tc>
        <w:tc>
          <w:tcPr>
            <w:tcW w:w="66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28"/>
                <w:szCs w:val="28"/>
                <w:b w:val="1"/>
                <w:bCs w:val="1"/>
                <w:color w:val="auto"/>
                <w:w w:val="85"/>
                <w:vertAlign w:val="subscript"/>
              </w:rPr>
              <w:t>($)</w:t>
            </w:r>
            <w:r>
              <w:rPr>
                <w:rFonts w:ascii="Arial" w:cs="Arial" w:eastAsia="Arial" w:hAnsi="Arial"/>
                <w:sz w:val="12"/>
                <w:szCs w:val="12"/>
                <w:b w:val="1"/>
                <w:bCs w:val="1"/>
                <w:color w:val="auto"/>
                <w:w w:val="85"/>
              </w:rPr>
              <w:t>(16)</w:t>
            </w:r>
          </w:p>
        </w:tc>
        <w:tc>
          <w:tcPr>
            <w:tcW w:w="180" w:type="dxa"/>
            <w:vAlign w:val="bottom"/>
          </w:tcPr>
          <w:p>
            <w:pPr>
              <w:spacing w:after="0"/>
              <w:rPr>
                <w:sz w:val="22"/>
                <w:szCs w:val="22"/>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22"/>
                <w:szCs w:val="22"/>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2"/>
                <w:szCs w:val="22"/>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7"/>
        </w:trPr>
        <w:tc>
          <w:tcPr>
            <w:tcW w:w="40" w:type="dxa"/>
            <w:vAlign w:val="bottom"/>
          </w:tcPr>
          <w:p>
            <w:pPr>
              <w:spacing w:after="0"/>
              <w:rPr>
                <w:sz w:val="24"/>
                <w:szCs w:val="24"/>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w w:val="99"/>
              </w:rPr>
              <w:t>Thomas S. Glanville</w:t>
            </w:r>
            <w:r>
              <w:rPr>
                <w:rFonts w:ascii="Arial" w:cs="Arial" w:eastAsia="Arial" w:hAnsi="Arial"/>
                <w:sz w:val="29"/>
                <w:szCs w:val="29"/>
                <w:color w:val="auto"/>
                <w:w w:val="99"/>
                <w:vertAlign w:val="superscript"/>
              </w:rPr>
              <w:t>(1)(2)(3)</w:t>
            </w:r>
          </w:p>
        </w:tc>
        <w:tc>
          <w:tcPr>
            <w:tcW w:w="760" w:type="dxa"/>
            <w:vAlign w:val="bottom"/>
          </w:tcPr>
          <w:p>
            <w:pPr>
              <w:jc w:val="right"/>
              <w:spacing w:after="0"/>
              <w:rPr>
                <w:sz w:val="20"/>
                <w:szCs w:val="20"/>
                <w:color w:val="auto"/>
              </w:rPr>
            </w:pPr>
            <w:r>
              <w:rPr>
                <w:rFonts w:ascii="Arial" w:cs="Arial" w:eastAsia="Arial" w:hAnsi="Arial"/>
                <w:sz w:val="18"/>
                <w:szCs w:val="18"/>
                <w:color w:val="auto"/>
              </w:rPr>
              <w:t>46,250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82,453</w:t>
            </w:r>
          </w:p>
        </w:tc>
        <w:tc>
          <w:tcPr>
            <w:tcW w:w="18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tcPr>
          <w:p>
            <w:pPr>
              <w:ind w:left="120"/>
              <w:spacing w:after="0"/>
              <w:rPr>
                <w:sz w:val="20"/>
                <w:szCs w:val="20"/>
                <w:color w:val="auto"/>
              </w:rPr>
            </w:pPr>
            <w:r>
              <w:rPr>
                <w:rFonts w:ascii="Arial" w:cs="Arial" w:eastAsia="Arial" w:hAnsi="Arial"/>
                <w:sz w:val="18"/>
                <w:szCs w:val="18"/>
                <w:color w:val="auto"/>
                <w:w w:val="96"/>
              </w:rPr>
              <w:t>31,351</w:t>
            </w:r>
            <w:r>
              <w:rPr>
                <w:rFonts w:ascii="Arial" w:cs="Arial" w:eastAsia="Arial" w:hAnsi="Arial"/>
                <w:sz w:val="29"/>
                <w:szCs w:val="29"/>
                <w:color w:val="auto"/>
                <w:w w:val="96"/>
                <w:vertAlign w:val="superscript"/>
              </w:rPr>
              <w:t>(17)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160,054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Mary C. Hemmingsen</w:t>
            </w:r>
            <w:r>
              <w:rPr>
                <w:rFonts w:ascii="Arial" w:cs="Arial" w:eastAsia="Arial" w:hAnsi="Arial"/>
                <w:sz w:val="29"/>
                <w:szCs w:val="29"/>
                <w:color w:val="auto"/>
                <w:vertAlign w:val="superscript"/>
              </w:rPr>
              <w:t>(4)(5)</w:t>
            </w:r>
          </w:p>
        </w:tc>
        <w:tc>
          <w:tcPr>
            <w:tcW w:w="760" w:type="dxa"/>
            <w:vAlign w:val="bottom"/>
          </w:tcPr>
          <w:p>
            <w:pPr>
              <w:jc w:val="right"/>
              <w:spacing w:after="0"/>
              <w:rPr>
                <w:sz w:val="20"/>
                <w:szCs w:val="20"/>
                <w:color w:val="auto"/>
              </w:rPr>
            </w:pPr>
            <w:r>
              <w:rPr>
                <w:rFonts w:ascii="Arial" w:cs="Arial" w:eastAsia="Arial" w:hAnsi="Arial"/>
                <w:sz w:val="18"/>
                <w:szCs w:val="18"/>
                <w:color w:val="auto"/>
              </w:rPr>
              <w:t>19,632</w:t>
            </w:r>
          </w:p>
        </w:tc>
        <w:tc>
          <w:tcPr>
            <w:tcW w:w="1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tcPr>
          <w:p>
            <w:pPr>
              <w:ind w:left="6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19,632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Frank M. Jaehnert</w:t>
            </w:r>
            <w:r>
              <w:rPr>
                <w:rFonts w:ascii="Arial" w:cs="Arial" w:eastAsia="Arial" w:hAnsi="Arial"/>
                <w:sz w:val="29"/>
                <w:szCs w:val="29"/>
                <w:color w:val="auto"/>
                <w:vertAlign w:val="superscript"/>
              </w:rPr>
              <w:t>(6)(7)</w:t>
            </w:r>
          </w:p>
        </w:tc>
        <w:tc>
          <w:tcPr>
            <w:tcW w:w="760" w:type="dxa"/>
            <w:vAlign w:val="bottom"/>
          </w:tcPr>
          <w:p>
            <w:pPr>
              <w:jc w:val="right"/>
              <w:spacing w:after="0"/>
              <w:rPr>
                <w:sz w:val="20"/>
                <w:szCs w:val="20"/>
                <w:color w:val="auto"/>
              </w:rPr>
            </w:pPr>
            <w:r>
              <w:rPr>
                <w:rFonts w:ascii="Arial" w:cs="Arial" w:eastAsia="Arial" w:hAnsi="Arial"/>
                <w:sz w:val="18"/>
                <w:szCs w:val="18"/>
                <w:color w:val="auto"/>
              </w:rPr>
              <w:t>105,000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164,819</w:t>
            </w:r>
          </w:p>
        </w:tc>
        <w:tc>
          <w:tcPr>
            <w:tcW w:w="18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tcPr>
          <w:p>
            <w:pPr>
              <w:ind w:left="6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269,819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Jerome J. Lande</w:t>
            </w:r>
            <w:r>
              <w:rPr>
                <w:rFonts w:ascii="Arial" w:cs="Arial" w:eastAsia="Arial" w:hAnsi="Arial"/>
                <w:sz w:val="29"/>
                <w:szCs w:val="29"/>
                <w:color w:val="auto"/>
                <w:vertAlign w:val="superscript"/>
              </w:rPr>
              <w:t>(4)(8)(9)</w:t>
            </w:r>
          </w:p>
        </w:tc>
        <w:tc>
          <w:tcPr>
            <w:tcW w:w="760" w:type="dxa"/>
            <w:vAlign w:val="bottom"/>
          </w:tcPr>
          <w:p>
            <w:pPr>
              <w:jc w:val="right"/>
              <w:spacing w:after="0"/>
              <w:rPr>
                <w:sz w:val="20"/>
                <w:szCs w:val="20"/>
                <w:color w:val="auto"/>
              </w:rPr>
            </w:pPr>
            <w:r>
              <w:rPr>
                <w:rFonts w:ascii="Arial" w:cs="Arial" w:eastAsia="Arial" w:hAnsi="Arial"/>
                <w:sz w:val="18"/>
                <w:szCs w:val="18"/>
                <w:color w:val="auto"/>
              </w:rPr>
              <w:t>85,000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164,819</w:t>
            </w:r>
          </w:p>
        </w:tc>
        <w:tc>
          <w:tcPr>
            <w:tcW w:w="18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tcPr>
          <w:p>
            <w:pPr>
              <w:ind w:left="6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249,819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Timothy M. Leyden</w:t>
            </w:r>
            <w:r>
              <w:rPr>
                <w:rFonts w:ascii="Arial" w:cs="Arial" w:eastAsia="Arial" w:hAnsi="Arial"/>
                <w:sz w:val="29"/>
                <w:szCs w:val="29"/>
                <w:color w:val="auto"/>
                <w:vertAlign w:val="superscript"/>
              </w:rPr>
              <w:t>(10)</w:t>
            </w:r>
          </w:p>
        </w:tc>
        <w:tc>
          <w:tcPr>
            <w:tcW w:w="760" w:type="dxa"/>
            <w:vAlign w:val="bottom"/>
          </w:tcPr>
          <w:p>
            <w:pPr>
              <w:jc w:val="right"/>
              <w:spacing w:after="0"/>
              <w:rPr>
                <w:sz w:val="20"/>
                <w:szCs w:val="20"/>
                <w:color w:val="auto"/>
              </w:rPr>
            </w:pPr>
            <w:r>
              <w:rPr>
                <w:rFonts w:ascii="Arial" w:cs="Arial" w:eastAsia="Arial" w:hAnsi="Arial"/>
                <w:sz w:val="18"/>
                <w:szCs w:val="18"/>
                <w:color w:val="auto"/>
              </w:rPr>
              <w:t>265,000</w:t>
            </w:r>
          </w:p>
        </w:tc>
        <w:tc>
          <w:tcPr>
            <w:tcW w:w="1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tcPr>
          <w:p>
            <w:pPr>
              <w:ind w:left="6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265,000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Santiago Perez</w:t>
            </w:r>
            <w:r>
              <w:rPr>
                <w:rFonts w:ascii="Arial" w:cs="Arial" w:eastAsia="Arial" w:hAnsi="Arial"/>
                <w:sz w:val="29"/>
                <w:szCs w:val="29"/>
                <w:color w:val="auto"/>
                <w:vertAlign w:val="superscript"/>
              </w:rPr>
              <w:t>(6)(11)</w:t>
            </w:r>
          </w:p>
        </w:tc>
        <w:tc>
          <w:tcPr>
            <w:tcW w:w="760" w:type="dxa"/>
            <w:vAlign w:val="bottom"/>
          </w:tcPr>
          <w:p>
            <w:pPr>
              <w:jc w:val="right"/>
              <w:spacing w:after="0"/>
              <w:rPr>
                <w:sz w:val="20"/>
                <w:szCs w:val="20"/>
                <w:color w:val="auto"/>
              </w:rPr>
            </w:pPr>
            <w:r>
              <w:rPr>
                <w:rFonts w:ascii="Arial" w:cs="Arial" w:eastAsia="Arial" w:hAnsi="Arial"/>
                <w:sz w:val="18"/>
                <w:szCs w:val="18"/>
                <w:color w:val="auto"/>
              </w:rPr>
              <w:t>87,280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164,819</w:t>
            </w:r>
          </w:p>
        </w:tc>
        <w:tc>
          <w:tcPr>
            <w:tcW w:w="18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tcPr>
          <w:p>
            <w:pPr>
              <w:ind w:left="6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252,099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Gary E. Pruitt</w:t>
            </w:r>
            <w:r>
              <w:rPr>
                <w:rFonts w:ascii="Arial" w:cs="Arial" w:eastAsia="Arial" w:hAnsi="Arial"/>
                <w:sz w:val="29"/>
                <w:szCs w:val="29"/>
                <w:color w:val="auto"/>
                <w:vertAlign w:val="superscript"/>
              </w:rPr>
              <w:t>(4)(12)</w:t>
            </w:r>
          </w:p>
        </w:tc>
        <w:tc>
          <w:tcPr>
            <w:tcW w:w="760" w:type="dxa"/>
            <w:vAlign w:val="bottom"/>
          </w:tcPr>
          <w:p>
            <w:pPr>
              <w:jc w:val="right"/>
              <w:spacing w:after="0"/>
              <w:rPr>
                <w:sz w:val="20"/>
                <w:szCs w:val="20"/>
                <w:color w:val="auto"/>
              </w:rPr>
            </w:pPr>
            <w:r>
              <w:rPr>
                <w:rFonts w:ascii="Arial" w:cs="Arial" w:eastAsia="Arial" w:hAnsi="Arial"/>
                <w:sz w:val="18"/>
                <w:szCs w:val="18"/>
                <w:color w:val="auto"/>
              </w:rPr>
              <w:t>250,000</w:t>
            </w:r>
          </w:p>
        </w:tc>
        <w:tc>
          <w:tcPr>
            <w:tcW w:w="1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tcPr>
          <w:p>
            <w:pPr>
              <w:ind w:left="6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Diana D. Tremblay</w:t>
            </w:r>
            <w:r>
              <w:rPr>
                <w:rFonts w:ascii="Arial" w:cs="Arial" w:eastAsia="Arial" w:hAnsi="Arial"/>
                <w:sz w:val="29"/>
                <w:szCs w:val="29"/>
                <w:color w:val="auto"/>
                <w:vertAlign w:val="superscript"/>
              </w:rPr>
              <w:t>(13)</w:t>
            </w:r>
          </w:p>
        </w:tc>
        <w:tc>
          <w:tcPr>
            <w:tcW w:w="760" w:type="dxa"/>
            <w:vAlign w:val="bottom"/>
          </w:tcPr>
          <w:p>
            <w:pPr>
              <w:jc w:val="right"/>
              <w:spacing w:after="0"/>
              <w:rPr>
                <w:sz w:val="20"/>
                <w:szCs w:val="20"/>
                <w:color w:val="auto"/>
              </w:rPr>
            </w:pPr>
            <w:r>
              <w:rPr>
                <w:rFonts w:ascii="Arial" w:cs="Arial" w:eastAsia="Arial" w:hAnsi="Arial"/>
                <w:sz w:val="18"/>
                <w:szCs w:val="18"/>
                <w:color w:val="auto"/>
              </w:rPr>
              <w:t>132,720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193,440</w:t>
            </w:r>
          </w:p>
        </w:tc>
        <w:tc>
          <w:tcPr>
            <w:tcW w:w="18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tcPr>
          <w:p>
            <w:pPr>
              <w:ind w:left="6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326,160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2"/>
          </w:tcPr>
          <w:p>
            <w:pPr>
              <w:ind w:left="20"/>
              <w:spacing w:after="0" w:line="284" w:lineRule="exact"/>
              <w:rPr>
                <w:sz w:val="20"/>
                <w:szCs w:val="20"/>
                <w:color w:val="auto"/>
              </w:rPr>
            </w:pPr>
            <w:r>
              <w:rPr>
                <w:rFonts w:ascii="Arial" w:cs="Arial" w:eastAsia="Arial" w:hAnsi="Arial"/>
                <w:sz w:val="18"/>
                <w:szCs w:val="18"/>
                <w:color w:val="auto"/>
                <w:w w:val="99"/>
              </w:rPr>
              <w:t>Lynda L. Ziegler</w:t>
            </w:r>
            <w:r>
              <w:rPr>
                <w:rFonts w:ascii="Arial" w:cs="Arial" w:eastAsia="Arial" w:hAnsi="Arial"/>
                <w:sz w:val="29"/>
                <w:szCs w:val="29"/>
                <w:color w:val="auto"/>
                <w:w w:val="99"/>
                <w:vertAlign w:val="superscript"/>
              </w:rPr>
              <w:t>(11)(14)(15)</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110,316</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181,157</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291,473</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6" w:hanging="346"/>
        <w:spacing w:after="0"/>
        <w:tabs>
          <w:tab w:leader="none" w:pos="346" w:val="left"/>
        </w:tabs>
        <w:numPr>
          <w:ilvl w:val="0"/>
          <w:numId w:val="13"/>
        </w:numPr>
        <w:rPr>
          <w:rFonts w:ascii="Arial" w:cs="Arial" w:eastAsia="Arial" w:hAnsi="Arial"/>
          <w:sz w:val="14"/>
          <w:szCs w:val="14"/>
          <w:color w:val="auto"/>
        </w:rPr>
      </w:pPr>
      <w:r>
        <w:rPr>
          <w:rFonts w:ascii="Arial" w:cs="Arial" w:eastAsia="Arial" w:hAnsi="Arial"/>
          <w:sz w:val="14"/>
          <w:szCs w:val="14"/>
          <w:color w:val="auto"/>
        </w:rPr>
        <w:t>Member of the Audit/Finance Committee until his retirement from the Board at the 2022 annual meeting.</w:t>
      </w:r>
    </w:p>
    <w:p>
      <w:pPr>
        <w:spacing w:after="0" w:line="68" w:lineRule="exact"/>
        <w:rPr>
          <w:rFonts w:ascii="Arial" w:cs="Arial" w:eastAsia="Arial" w:hAnsi="Arial"/>
          <w:sz w:val="14"/>
          <w:szCs w:val="14"/>
          <w:color w:val="auto"/>
        </w:rPr>
      </w:pPr>
    </w:p>
    <w:p>
      <w:pPr>
        <w:ind w:left="346" w:hanging="346"/>
        <w:spacing w:after="0"/>
        <w:tabs>
          <w:tab w:leader="none" w:pos="346" w:val="left"/>
        </w:tabs>
        <w:numPr>
          <w:ilvl w:val="0"/>
          <w:numId w:val="13"/>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 until his retirement from the Board at the 2022 annual meeting.</w:t>
      </w:r>
    </w:p>
    <w:p>
      <w:pPr>
        <w:spacing w:after="0" w:line="82" w:lineRule="exact"/>
        <w:rPr>
          <w:rFonts w:ascii="Arial" w:cs="Arial" w:eastAsia="Arial" w:hAnsi="Arial"/>
          <w:sz w:val="14"/>
          <w:szCs w:val="14"/>
          <w:color w:val="auto"/>
        </w:rPr>
      </w:pPr>
    </w:p>
    <w:p>
      <w:pPr>
        <w:ind w:left="346" w:hanging="346"/>
        <w:spacing w:after="0"/>
        <w:tabs>
          <w:tab w:leader="none" w:pos="346" w:val="left"/>
        </w:tabs>
        <w:numPr>
          <w:ilvl w:val="0"/>
          <w:numId w:val="13"/>
        </w:numPr>
        <w:rPr>
          <w:rFonts w:ascii="Arial" w:cs="Arial" w:eastAsia="Arial" w:hAnsi="Arial"/>
          <w:sz w:val="14"/>
          <w:szCs w:val="14"/>
          <w:color w:val="auto"/>
        </w:rPr>
      </w:pPr>
      <w:r>
        <w:rPr>
          <w:rFonts w:ascii="Arial" w:cs="Arial" w:eastAsia="Arial" w:hAnsi="Arial"/>
          <w:sz w:val="14"/>
          <w:szCs w:val="14"/>
          <w:color w:val="auto"/>
        </w:rPr>
        <w:t>Mr. Glanville did not stand for re-election at the 2022 annual meeting and retired effective May 12, 2022.</w:t>
      </w:r>
    </w:p>
    <w:p>
      <w:pPr>
        <w:spacing w:after="0" w:line="68" w:lineRule="exact"/>
        <w:rPr>
          <w:rFonts w:ascii="Arial" w:cs="Arial" w:eastAsia="Arial" w:hAnsi="Arial"/>
          <w:sz w:val="14"/>
          <w:szCs w:val="14"/>
          <w:color w:val="auto"/>
        </w:rPr>
      </w:pPr>
    </w:p>
    <w:p>
      <w:pPr>
        <w:ind w:left="346" w:hanging="346"/>
        <w:spacing w:after="0"/>
        <w:tabs>
          <w:tab w:leader="none" w:pos="346" w:val="left"/>
        </w:tabs>
        <w:numPr>
          <w:ilvl w:val="0"/>
          <w:numId w:val="13"/>
        </w:numPr>
        <w:rPr>
          <w:rFonts w:ascii="Arial" w:cs="Arial" w:eastAsia="Arial" w:hAnsi="Arial"/>
          <w:sz w:val="14"/>
          <w:szCs w:val="14"/>
          <w:color w:val="auto"/>
        </w:rPr>
      </w:pPr>
      <w:r>
        <w:rPr>
          <w:rFonts w:ascii="Arial" w:cs="Arial" w:eastAsia="Arial" w:hAnsi="Arial"/>
          <w:sz w:val="14"/>
          <w:szCs w:val="14"/>
          <w:color w:val="auto"/>
        </w:rPr>
        <w:t>Member of the Audit/Finance Committee.</w:t>
      </w:r>
    </w:p>
    <w:p>
      <w:pPr>
        <w:spacing w:after="0" w:line="68" w:lineRule="exact"/>
        <w:rPr>
          <w:rFonts w:ascii="Arial" w:cs="Arial" w:eastAsia="Arial" w:hAnsi="Arial"/>
          <w:sz w:val="14"/>
          <w:szCs w:val="14"/>
          <w:color w:val="auto"/>
        </w:rPr>
      </w:pPr>
    </w:p>
    <w:p>
      <w:pPr>
        <w:ind w:left="346" w:hanging="346"/>
        <w:spacing w:after="0"/>
        <w:tabs>
          <w:tab w:leader="none" w:pos="346" w:val="left"/>
        </w:tabs>
        <w:numPr>
          <w:ilvl w:val="0"/>
          <w:numId w:val="13"/>
        </w:numPr>
        <w:rPr>
          <w:rFonts w:ascii="Arial" w:cs="Arial" w:eastAsia="Arial" w:hAnsi="Arial"/>
          <w:sz w:val="14"/>
          <w:szCs w:val="14"/>
          <w:color w:val="auto"/>
        </w:rPr>
      </w:pPr>
      <w:r>
        <w:rPr>
          <w:rFonts w:ascii="Arial" w:cs="Arial" w:eastAsia="Arial" w:hAnsi="Arial"/>
          <w:sz w:val="14"/>
          <w:szCs w:val="14"/>
          <w:color w:val="auto"/>
        </w:rPr>
        <w:t>Ms. Hemmingsen joined the Board effective October 7, 2022.</w:t>
      </w:r>
    </w:p>
    <w:p>
      <w:pPr>
        <w:spacing w:after="0" w:line="82" w:lineRule="exact"/>
        <w:rPr>
          <w:rFonts w:ascii="Arial" w:cs="Arial" w:eastAsia="Arial" w:hAnsi="Arial"/>
          <w:sz w:val="14"/>
          <w:szCs w:val="14"/>
          <w:color w:val="auto"/>
        </w:rPr>
      </w:pPr>
    </w:p>
    <w:p>
      <w:pPr>
        <w:ind w:left="346" w:hanging="346"/>
        <w:spacing w:after="0"/>
        <w:tabs>
          <w:tab w:leader="none" w:pos="346" w:val="left"/>
        </w:tabs>
        <w:numPr>
          <w:ilvl w:val="0"/>
          <w:numId w:val="13"/>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68" w:lineRule="exact"/>
        <w:rPr>
          <w:rFonts w:ascii="Arial" w:cs="Arial" w:eastAsia="Arial" w:hAnsi="Arial"/>
          <w:sz w:val="14"/>
          <w:szCs w:val="14"/>
          <w:color w:val="auto"/>
        </w:rPr>
      </w:pPr>
    </w:p>
    <w:p>
      <w:pPr>
        <w:ind w:left="346" w:right="520" w:hanging="346"/>
        <w:spacing w:after="0" w:line="285" w:lineRule="auto"/>
        <w:tabs>
          <w:tab w:leader="none" w:pos="346" w:val="left"/>
        </w:tabs>
        <w:numPr>
          <w:ilvl w:val="0"/>
          <w:numId w:val="13"/>
        </w:numPr>
        <w:rPr>
          <w:rFonts w:ascii="Arial" w:cs="Arial" w:eastAsia="Arial" w:hAnsi="Arial"/>
          <w:sz w:val="14"/>
          <w:szCs w:val="14"/>
          <w:color w:val="auto"/>
        </w:rPr>
      </w:pPr>
      <w:r>
        <w:rPr>
          <w:rFonts w:ascii="Arial" w:cs="Arial" w:eastAsia="Arial" w:hAnsi="Arial"/>
          <w:sz w:val="14"/>
          <w:szCs w:val="14"/>
          <w:color w:val="auto"/>
        </w:rPr>
        <w:t>Mr. Jaehnert became a member of the Nominating and Corporate Governance Committee and became Chair of the Compensation Committee effective May 12, 2022.</w:t>
      </w:r>
    </w:p>
    <w:p>
      <w:pPr>
        <w:spacing w:after="0" w:line="9" w:lineRule="exact"/>
        <w:rPr>
          <w:rFonts w:ascii="Arial" w:cs="Arial" w:eastAsia="Arial" w:hAnsi="Arial"/>
          <w:sz w:val="14"/>
          <w:szCs w:val="14"/>
          <w:color w:val="auto"/>
        </w:rPr>
      </w:pPr>
    </w:p>
    <w:p>
      <w:pPr>
        <w:ind w:left="346" w:right="160" w:hanging="346"/>
        <w:spacing w:after="0" w:line="285" w:lineRule="auto"/>
        <w:tabs>
          <w:tab w:leader="none" w:pos="346" w:val="left"/>
        </w:tabs>
        <w:numPr>
          <w:ilvl w:val="0"/>
          <w:numId w:val="13"/>
        </w:numPr>
        <w:rPr>
          <w:rFonts w:ascii="Arial" w:cs="Arial" w:eastAsia="Arial" w:hAnsi="Arial"/>
          <w:sz w:val="14"/>
          <w:szCs w:val="14"/>
          <w:color w:val="auto"/>
        </w:rPr>
      </w:pPr>
      <w:r>
        <w:rPr>
          <w:rFonts w:ascii="Arial" w:cs="Arial" w:eastAsia="Arial" w:hAnsi="Arial"/>
          <w:sz w:val="14"/>
          <w:szCs w:val="14"/>
          <w:color w:val="auto"/>
        </w:rPr>
        <w:t>Mr. Lande was initially appointed to the Board pursuant to a cooperation agreement with Coppersmith Capital Management, LLC, Scopia Management, Inc., and Jerome J. Lande.</w:t>
      </w:r>
    </w:p>
    <w:p>
      <w:pPr>
        <w:spacing w:after="0" w:line="22" w:lineRule="exact"/>
        <w:rPr>
          <w:rFonts w:ascii="Arial" w:cs="Arial" w:eastAsia="Arial" w:hAnsi="Arial"/>
          <w:sz w:val="14"/>
          <w:szCs w:val="14"/>
          <w:color w:val="auto"/>
        </w:rPr>
      </w:pPr>
    </w:p>
    <w:p>
      <w:pPr>
        <w:ind w:left="346" w:hanging="346"/>
        <w:spacing w:after="0"/>
        <w:tabs>
          <w:tab w:leader="none" w:pos="346" w:val="left"/>
        </w:tabs>
        <w:numPr>
          <w:ilvl w:val="0"/>
          <w:numId w:val="13"/>
        </w:numPr>
        <w:rPr>
          <w:rFonts w:ascii="Arial" w:cs="Arial" w:eastAsia="Arial" w:hAnsi="Arial"/>
          <w:sz w:val="14"/>
          <w:szCs w:val="14"/>
          <w:color w:val="auto"/>
        </w:rPr>
      </w:pPr>
      <w:r>
        <w:rPr>
          <w:rFonts w:ascii="Arial" w:cs="Arial" w:eastAsia="Arial" w:hAnsi="Arial"/>
          <w:sz w:val="14"/>
          <w:szCs w:val="14"/>
          <w:color w:val="auto"/>
        </w:rPr>
        <w:t>Mr. Lande's cash retainers were paid directly to Scopia Capital Management LP.</w:t>
      </w:r>
    </w:p>
    <w:p>
      <w:pPr>
        <w:spacing w:after="0" w:line="68" w:lineRule="exact"/>
        <w:rPr>
          <w:rFonts w:ascii="Arial" w:cs="Arial" w:eastAsia="Arial" w:hAnsi="Arial"/>
          <w:sz w:val="14"/>
          <w:szCs w:val="14"/>
          <w:color w:val="auto"/>
        </w:rPr>
      </w:pPr>
    </w:p>
    <w:p>
      <w:pPr>
        <w:ind w:left="346" w:hanging="346"/>
        <w:spacing w:after="0"/>
        <w:tabs>
          <w:tab w:leader="none" w:pos="346" w:val="left"/>
        </w:tabs>
        <w:numPr>
          <w:ilvl w:val="0"/>
          <w:numId w:val="13"/>
        </w:numPr>
        <w:rPr>
          <w:rFonts w:ascii="Arial" w:cs="Arial" w:eastAsia="Arial" w:hAnsi="Arial"/>
          <w:sz w:val="14"/>
          <w:szCs w:val="14"/>
          <w:color w:val="auto"/>
        </w:rPr>
      </w:pPr>
      <w:r>
        <w:rPr>
          <w:rFonts w:ascii="Arial" w:cs="Arial" w:eastAsia="Arial" w:hAnsi="Arial"/>
          <w:sz w:val="14"/>
          <w:szCs w:val="14"/>
          <w:color w:val="auto"/>
        </w:rPr>
        <w:t>Chair of the Audit/Finance Committee. Mr. Leyden elected to receive his 2022 equity awards in cash.</w:t>
      </w:r>
    </w:p>
    <w:p>
      <w:pPr>
        <w:spacing w:after="0" w:line="68" w:lineRule="exact"/>
        <w:rPr>
          <w:rFonts w:ascii="Arial" w:cs="Arial" w:eastAsia="Arial" w:hAnsi="Arial"/>
          <w:sz w:val="14"/>
          <w:szCs w:val="14"/>
          <w:color w:val="auto"/>
        </w:rPr>
      </w:pPr>
    </w:p>
    <w:p>
      <w:pPr>
        <w:ind w:left="346" w:hanging="346"/>
        <w:spacing w:after="0"/>
        <w:tabs>
          <w:tab w:leader="none" w:pos="346" w:val="left"/>
        </w:tabs>
        <w:numPr>
          <w:ilvl w:val="0"/>
          <w:numId w:val="13"/>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82" w:lineRule="exact"/>
        <w:rPr>
          <w:rFonts w:ascii="Arial" w:cs="Arial" w:eastAsia="Arial" w:hAnsi="Arial"/>
          <w:sz w:val="14"/>
          <w:szCs w:val="14"/>
          <w:color w:val="auto"/>
        </w:rPr>
      </w:pPr>
    </w:p>
    <w:p>
      <w:pPr>
        <w:ind w:left="346" w:hanging="346"/>
        <w:spacing w:after="0"/>
        <w:tabs>
          <w:tab w:leader="none" w:pos="346" w:val="left"/>
        </w:tabs>
        <w:numPr>
          <w:ilvl w:val="0"/>
          <w:numId w:val="13"/>
        </w:numPr>
        <w:rPr>
          <w:rFonts w:ascii="Arial" w:cs="Arial" w:eastAsia="Arial" w:hAnsi="Arial"/>
          <w:sz w:val="14"/>
          <w:szCs w:val="14"/>
          <w:color w:val="auto"/>
        </w:rPr>
      </w:pPr>
      <w:r>
        <w:rPr>
          <w:rFonts w:ascii="Arial" w:cs="Arial" w:eastAsia="Arial" w:hAnsi="Arial"/>
          <w:sz w:val="14"/>
          <w:szCs w:val="14"/>
          <w:color w:val="auto"/>
        </w:rPr>
        <w:t>Mr. Pruitt elected to receive his 2022 equity awards in cash.</w:t>
      </w:r>
    </w:p>
    <w:p>
      <w:pPr>
        <w:spacing w:after="0" w:line="68" w:lineRule="exact"/>
        <w:rPr>
          <w:rFonts w:ascii="Arial" w:cs="Arial" w:eastAsia="Arial" w:hAnsi="Arial"/>
          <w:sz w:val="14"/>
          <w:szCs w:val="14"/>
          <w:color w:val="auto"/>
        </w:rPr>
      </w:pPr>
    </w:p>
    <w:p>
      <w:pPr>
        <w:ind w:left="346" w:hanging="346"/>
        <w:spacing w:after="0"/>
        <w:tabs>
          <w:tab w:leader="none" w:pos="346" w:val="left"/>
        </w:tabs>
        <w:numPr>
          <w:ilvl w:val="0"/>
          <w:numId w:val="13"/>
        </w:numPr>
        <w:rPr>
          <w:rFonts w:ascii="Arial" w:cs="Arial" w:eastAsia="Arial" w:hAnsi="Arial"/>
          <w:sz w:val="14"/>
          <w:szCs w:val="14"/>
          <w:color w:val="auto"/>
        </w:rPr>
      </w:pPr>
      <w:r>
        <w:rPr>
          <w:rFonts w:ascii="Arial" w:cs="Arial" w:eastAsia="Arial" w:hAnsi="Arial"/>
          <w:sz w:val="14"/>
          <w:szCs w:val="14"/>
          <w:color w:val="auto"/>
        </w:rPr>
        <w:t>Ms. Tremblay was appointed Board Chair effective May 12, 2022.</w:t>
      </w:r>
    </w:p>
    <w:p>
      <w:pPr>
        <w:spacing w:after="0" w:line="68" w:lineRule="exact"/>
        <w:rPr>
          <w:rFonts w:ascii="Arial" w:cs="Arial" w:eastAsia="Arial" w:hAnsi="Arial"/>
          <w:sz w:val="14"/>
          <w:szCs w:val="14"/>
          <w:color w:val="auto"/>
        </w:rPr>
      </w:pPr>
    </w:p>
    <w:p>
      <w:pPr>
        <w:ind w:left="346" w:hanging="346"/>
        <w:spacing w:after="0"/>
        <w:tabs>
          <w:tab w:leader="none" w:pos="346" w:val="left"/>
        </w:tabs>
        <w:numPr>
          <w:ilvl w:val="0"/>
          <w:numId w:val="13"/>
        </w:numPr>
        <w:rPr>
          <w:rFonts w:ascii="Arial" w:cs="Arial" w:eastAsia="Arial" w:hAnsi="Arial"/>
          <w:sz w:val="14"/>
          <w:szCs w:val="14"/>
          <w:color w:val="auto"/>
        </w:rPr>
      </w:pPr>
      <w:r>
        <w:rPr>
          <w:rFonts w:ascii="Arial" w:cs="Arial" w:eastAsia="Arial" w:hAnsi="Arial"/>
          <w:sz w:val="14"/>
          <w:szCs w:val="14"/>
          <w:color w:val="auto"/>
        </w:rPr>
        <w:t>Chair of the Nominating and Corporate Governance Committee.</w:t>
      </w:r>
    </w:p>
    <w:p>
      <w:pPr>
        <w:spacing w:after="0" w:line="82" w:lineRule="exact"/>
        <w:rPr>
          <w:rFonts w:ascii="Arial" w:cs="Arial" w:eastAsia="Arial" w:hAnsi="Arial"/>
          <w:sz w:val="14"/>
          <w:szCs w:val="14"/>
          <w:color w:val="auto"/>
        </w:rPr>
      </w:pPr>
    </w:p>
    <w:p>
      <w:pPr>
        <w:ind w:left="346" w:right="340" w:hanging="346"/>
        <w:spacing w:after="0" w:line="285" w:lineRule="auto"/>
        <w:tabs>
          <w:tab w:leader="none" w:pos="346" w:val="left"/>
        </w:tabs>
        <w:numPr>
          <w:ilvl w:val="0"/>
          <w:numId w:val="13"/>
        </w:numPr>
        <w:rPr>
          <w:rFonts w:ascii="Arial" w:cs="Arial" w:eastAsia="Arial" w:hAnsi="Arial"/>
          <w:sz w:val="14"/>
          <w:szCs w:val="14"/>
          <w:color w:val="auto"/>
        </w:rPr>
      </w:pPr>
      <w:r>
        <w:rPr>
          <w:rFonts w:ascii="Arial" w:cs="Arial" w:eastAsia="Arial" w:hAnsi="Arial"/>
          <w:sz w:val="14"/>
          <w:szCs w:val="14"/>
          <w:color w:val="auto"/>
        </w:rPr>
        <w:t>Ms. Ziegler stepped down as Board Chair effective May 12, 2022 and was appointed to the Compensation Committee, as Chair of the Nominating and Corporate Governance Committee, compensated pro-rata for her service for her position as Board Chair.</w:t>
      </w:r>
    </w:p>
    <w:p>
      <w:pPr>
        <w:spacing w:after="0" w:line="9" w:lineRule="exact"/>
        <w:rPr>
          <w:rFonts w:ascii="Arial" w:cs="Arial" w:eastAsia="Arial" w:hAnsi="Arial"/>
          <w:sz w:val="14"/>
          <w:szCs w:val="14"/>
          <w:color w:val="auto"/>
        </w:rPr>
      </w:pPr>
    </w:p>
    <w:p>
      <w:pPr>
        <w:ind w:left="346" w:right="140" w:hanging="346"/>
        <w:spacing w:after="0" w:line="263" w:lineRule="auto"/>
        <w:tabs>
          <w:tab w:leader="none" w:pos="34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amounts in this column reflect the aggregate grant date fair value of the awards determined in accordance with Financial Accounting Standards Board Accounting Standards Codification Topic 718 (“FASB ASC Topic 718”). Quarterly retainer grants to directors vest immediately.</w:t>
      </w:r>
    </w:p>
    <w:p>
      <w:pPr>
        <w:spacing w:after="0" w:line="24" w:lineRule="exact"/>
        <w:rPr>
          <w:rFonts w:ascii="Arial" w:cs="Arial" w:eastAsia="Arial" w:hAnsi="Arial"/>
          <w:sz w:val="14"/>
          <w:szCs w:val="14"/>
          <w:color w:val="auto"/>
        </w:rPr>
      </w:pPr>
    </w:p>
    <w:p>
      <w:pPr>
        <w:ind w:left="346" w:hanging="346"/>
        <w:spacing w:after="0"/>
        <w:tabs>
          <w:tab w:leader="none" w:pos="346"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retirement gift reimbursement of airline tickets and related gross up for income taxes.</w:t>
      </w:r>
    </w:p>
    <w:p>
      <w:pPr>
        <w:sectPr>
          <w:pgSz w:w="11900" w:h="16838" w:orient="portrait"/>
          <w:cols w:equalWidth="0" w:num="1">
            <w:col w:w="9186"/>
          </w:cols>
          <w:pgMar w:left="1354" w:top="262" w:right="1359" w:bottom="1440" w:gutter="0" w:footer="0" w:header="0"/>
        </w:sectPr>
      </w:pPr>
    </w:p>
    <w:p>
      <w:pPr>
        <w:spacing w:after="0" w:line="315" w:lineRule="exact"/>
        <w:rPr>
          <w:sz w:val="20"/>
          <w:szCs w:val="20"/>
          <w:color w:val="auto"/>
        </w:rPr>
      </w:pPr>
    </w:p>
    <w:p>
      <w:pPr>
        <w:ind w:left="6"/>
        <w:spacing w:after="0"/>
        <w:tabs>
          <w:tab w:leader="none" w:pos="4426" w:val="left"/>
        </w:tabs>
        <w:rPr>
          <w:sz w:val="20"/>
          <w:szCs w:val="20"/>
          <w:color w:val="auto"/>
        </w:rPr>
      </w:pPr>
      <w:r>
        <w:rPr>
          <w:rFonts w:ascii="Arial" w:cs="Arial" w:eastAsia="Arial" w:hAnsi="Arial"/>
          <w:sz w:val="12"/>
          <w:szCs w:val="12"/>
          <w:color w:val="auto"/>
        </w:rPr>
        <w:t> </w:t>
      </w:r>
      <w:r>
        <w:rPr>
          <w:sz w:val="20"/>
          <w:szCs w:val="20"/>
          <w:color w:val="auto"/>
        </w:rPr>
        <w:tab/>
      </w: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170815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262" w:right="1359" w:bottom="1440" w:gutter="0" w:footer="0" w:header="0"/>
          <w:type w:val="continuous"/>
        </w:sectPr>
      </w:pPr>
    </w:p>
    <w:bookmarkStart w:id="16" w:name="page17"/>
    <w:bookmarkEnd w:id="16"/>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Stock Ownership Guidelines</w:t>
      </w:r>
    </w:p>
    <w:p>
      <w:pPr>
        <w:spacing w:after="0" w:line="185" w:lineRule="exact"/>
        <w:rPr>
          <w:sz w:val="20"/>
          <w:szCs w:val="20"/>
          <w:color w:val="auto"/>
        </w:rPr>
      </w:pPr>
    </w:p>
    <w:p>
      <w:pPr>
        <w:ind w:left="920" w:right="1280"/>
        <w:spacing w:after="0" w:line="242" w:lineRule="auto"/>
        <w:rPr>
          <w:sz w:val="20"/>
          <w:szCs w:val="20"/>
          <w:color w:val="auto"/>
        </w:rPr>
      </w:pPr>
      <w:r>
        <w:rPr>
          <w:rFonts w:ascii="Arial" w:cs="Arial" w:eastAsia="Arial" w:hAnsi="Arial"/>
          <w:sz w:val="18"/>
          <w:szCs w:val="18"/>
          <w:color w:val="auto"/>
        </w:rPr>
        <w:t>Since 2006, we have maintained stock ownership guidelines for our non-employee directors. We expect our directors to accumulate shares equal to five times their annual cash retainer within five years from their initial appointment or election as a director, or to be making progress towards meeting the guidelines. Based on 2022 director compensation, for our Board Chair that equates to a value of $650,000, and for the other directors, it equates to a value of $375,000. All of our non-employee directors currently comply with these ownership guidelines.</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Deferred Compensation Plan</w:t>
      </w:r>
    </w:p>
    <w:p>
      <w:pPr>
        <w:spacing w:after="0" w:line="171" w:lineRule="exact"/>
        <w:rPr>
          <w:sz w:val="20"/>
          <w:szCs w:val="20"/>
          <w:color w:val="auto"/>
        </w:rPr>
      </w:pPr>
    </w:p>
    <w:p>
      <w:pPr>
        <w:ind w:left="920" w:right="1100"/>
        <w:spacing w:after="0" w:line="275" w:lineRule="auto"/>
        <w:rPr>
          <w:sz w:val="20"/>
          <w:szCs w:val="20"/>
          <w:color w:val="auto"/>
        </w:rPr>
      </w:pPr>
      <w:r>
        <w:rPr>
          <w:rFonts w:ascii="Arial" w:cs="Arial" w:eastAsia="Arial" w:hAnsi="Arial"/>
          <w:sz w:val="17"/>
          <w:szCs w:val="17"/>
          <w:color w:val="auto"/>
        </w:rPr>
        <w:t>Pursuant to the Company’s Amended and Restated Executive Deferred Compensation Plan dated January 1, 2012, our non -employee directors are eligible to participate in that plan and may defer into a nonqualified account up to 100% of any director fees and 100% of any shares of common stock that he or she anticipates receiving.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-13-</w:t>
            </w:r>
          </w:p>
        </w:tc>
      </w:tr>
      <w:tr>
        <w:trPr>
          <w:trHeight w:val="219"/>
        </w:trPr>
        <w:tc>
          <w:tcPr>
            <w:tcW w:w="316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17" w:name="page18"/>
    <w:bookmarkEnd w:id="17"/>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CORPORATE GOVERNANCE</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Leadership Structure of the Board of Directors</w:t>
      </w:r>
    </w:p>
    <w:p>
      <w:pPr>
        <w:spacing w:after="0" w:line="185" w:lineRule="exact"/>
        <w:rPr>
          <w:sz w:val="20"/>
          <w:szCs w:val="20"/>
          <w:color w:val="auto"/>
        </w:rPr>
      </w:pPr>
    </w:p>
    <w:p>
      <w:pPr>
        <w:ind w:left="920" w:right="1040"/>
        <w:spacing w:after="0" w:line="244" w:lineRule="auto"/>
        <w:rPr>
          <w:sz w:val="20"/>
          <w:szCs w:val="20"/>
          <w:color w:val="auto"/>
        </w:rPr>
      </w:pPr>
      <w:r>
        <w:rPr>
          <w:rFonts w:ascii="Arial" w:cs="Arial" w:eastAsia="Arial" w:hAnsi="Arial"/>
          <w:sz w:val="18"/>
          <w:szCs w:val="18"/>
          <w:color w:val="auto"/>
        </w:rPr>
        <w:t>The leadership of our Board is managed by our Board Chair. Our Governance Principles generally require the role of Board Chair to be held by an independent director who meets the independence requirements of the Nasdaq Stock Market. The Board believes having separate roles of Board Chair and CEO allows for a more balanced workload between the Board Chair and the CEO, especially in light of the current duties and responsibilities of the Board Chair, which include the following:</w:t>
      </w:r>
    </w:p>
    <w:p>
      <w:pPr>
        <w:spacing w:after="0" w:line="136" w:lineRule="exact"/>
        <w:rPr>
          <w:sz w:val="20"/>
          <w:szCs w:val="20"/>
          <w:color w:val="auto"/>
        </w:rPr>
      </w:pPr>
    </w:p>
    <w:p>
      <w:pPr>
        <w:ind w:left="1620" w:right="1240" w:hanging="346"/>
        <w:spacing w:after="0" w:line="271"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Preside over all meetings of the Board (including executive sessions of the Board) and meetings of the shareholders;</w:t>
      </w:r>
    </w:p>
    <w:p>
      <w:pPr>
        <w:spacing w:after="0" w:line="113" w:lineRule="exact"/>
        <w:rPr>
          <w:rFonts w:ascii="Arial" w:cs="Arial" w:eastAsia="Arial" w:hAnsi="Arial"/>
          <w:sz w:val="18"/>
          <w:szCs w:val="18"/>
          <w:color w:val="auto"/>
        </w:rPr>
      </w:pPr>
    </w:p>
    <w:p>
      <w:pPr>
        <w:ind w:left="1620" w:hanging="346"/>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the agendas of each Board and committee meeting;</w:t>
      </w:r>
    </w:p>
    <w:p>
      <w:pPr>
        <w:spacing w:after="0" w:line="184" w:lineRule="exact"/>
        <w:rPr>
          <w:rFonts w:ascii="Arial" w:cs="Arial" w:eastAsia="Arial" w:hAnsi="Arial"/>
          <w:sz w:val="18"/>
          <w:szCs w:val="18"/>
          <w:color w:val="auto"/>
        </w:rPr>
      </w:pPr>
    </w:p>
    <w:p>
      <w:pPr>
        <w:ind w:left="1620" w:hanging="346"/>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Prepare agendas as needed for executive sessions of the independent directors;</w:t>
      </w:r>
    </w:p>
    <w:p>
      <w:pPr>
        <w:spacing w:after="0" w:line="171" w:lineRule="exact"/>
        <w:rPr>
          <w:rFonts w:ascii="Arial" w:cs="Arial" w:eastAsia="Arial" w:hAnsi="Arial"/>
          <w:sz w:val="18"/>
          <w:szCs w:val="18"/>
          <w:color w:val="auto"/>
        </w:rPr>
      </w:pPr>
    </w:p>
    <w:p>
      <w:pPr>
        <w:ind w:left="1620" w:hanging="346"/>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Serve as a liaison between the independent directors and the CEO;</w:t>
      </w:r>
    </w:p>
    <w:p>
      <w:pPr>
        <w:spacing w:after="0" w:line="171" w:lineRule="exact"/>
        <w:rPr>
          <w:rFonts w:ascii="Arial" w:cs="Arial" w:eastAsia="Arial" w:hAnsi="Arial"/>
          <w:sz w:val="18"/>
          <w:szCs w:val="18"/>
          <w:color w:val="auto"/>
        </w:rPr>
      </w:pPr>
    </w:p>
    <w:p>
      <w:pPr>
        <w:jc w:val="both"/>
        <w:ind w:left="1620" w:right="1380" w:hanging="346"/>
        <w:spacing w:after="0" w:line="301" w:lineRule="auto"/>
        <w:tabs>
          <w:tab w:leader="none" w:pos="1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consultation with the CEO, make recommendations to the Nominating and Corporate Governance Committee as to membership of Board committees and appointment of Board committee Chairs; and</w:t>
      </w:r>
    </w:p>
    <w:p>
      <w:pPr>
        <w:spacing w:after="0" w:line="103" w:lineRule="exact"/>
        <w:rPr>
          <w:rFonts w:ascii="Arial" w:cs="Arial" w:eastAsia="Arial" w:hAnsi="Arial"/>
          <w:sz w:val="17"/>
          <w:szCs w:val="17"/>
          <w:color w:val="auto"/>
        </w:rPr>
      </w:pPr>
    </w:p>
    <w:p>
      <w:pPr>
        <w:ind w:left="1620" w:hanging="346"/>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Perform such other duties as the Board may require.</w:t>
      </w:r>
    </w:p>
    <w:p>
      <w:pPr>
        <w:spacing w:after="0" w:line="171" w:lineRule="exact"/>
        <w:rPr>
          <w:sz w:val="20"/>
          <w:szCs w:val="20"/>
          <w:color w:val="auto"/>
        </w:rPr>
      </w:pPr>
    </w:p>
    <w:p>
      <w:pPr>
        <w:ind w:left="920" w:right="960"/>
        <w:spacing w:after="0"/>
        <w:rPr>
          <w:sz w:val="20"/>
          <w:szCs w:val="20"/>
          <w:color w:val="auto"/>
        </w:rPr>
      </w:pPr>
      <w:r>
        <w:rPr>
          <w:rFonts w:ascii="Arial" w:cs="Arial" w:eastAsia="Arial" w:hAnsi="Arial"/>
          <w:sz w:val="18"/>
          <w:szCs w:val="18"/>
          <w:color w:val="auto"/>
        </w:rPr>
        <w:t>Pursuant to our Governance Principles, the Board Chair must be an independent director unless the Board determines that the best interests of shareholders would otherwise be better served. The Board Chair is elected by a majority of the members of the Board following the annual meeting of shareholders (or at such other time as a vacancy for the role of Board Chair may occur). The Board Chair serves for a term of three years (provided such director is re-elected by shareholders if his or her term as a director does not coincide with his or her term as Board Chair). The Board Chair may not serve more than two consecutive terms unless the Board approves an extended term. Our current Chair, Diana D. Tremblay, is serving her first term.</w:t>
      </w:r>
    </w:p>
    <w:p>
      <w:pPr>
        <w:spacing w:after="0" w:line="144" w:lineRule="exact"/>
        <w:rPr>
          <w:sz w:val="20"/>
          <w:szCs w:val="20"/>
          <w:color w:val="auto"/>
        </w:rPr>
      </w:pPr>
    </w:p>
    <w:p>
      <w:pPr>
        <w:jc w:val="both"/>
        <w:ind w:left="920" w:right="1180"/>
        <w:spacing w:after="0" w:line="301" w:lineRule="auto"/>
        <w:rPr>
          <w:sz w:val="20"/>
          <w:szCs w:val="20"/>
          <w:color w:val="auto"/>
        </w:rPr>
      </w:pPr>
      <w:r>
        <w:rPr>
          <w:rFonts w:ascii="Arial" w:cs="Arial" w:eastAsia="Arial" w:hAnsi="Arial"/>
          <w:sz w:val="17"/>
          <w:szCs w:val="17"/>
          <w:color w:val="auto"/>
        </w:rPr>
        <w:t>If the Board determines that it is in the best interests of the shareholders to combine the roles of CEO and Board Chair, the Board will appoint a Lead Independent Director with the duties set forth in our Governance Principles.</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Corporate Governance Guiding Principles</w:t>
      </w:r>
    </w:p>
    <w:p>
      <w:pPr>
        <w:spacing w:after="0" w:line="185" w:lineRule="exact"/>
        <w:rPr>
          <w:sz w:val="20"/>
          <w:szCs w:val="20"/>
          <w:color w:val="auto"/>
        </w:rPr>
      </w:pPr>
    </w:p>
    <w:p>
      <w:pPr>
        <w:ind w:left="920" w:right="1440"/>
        <w:spacing w:after="0" w:line="271" w:lineRule="auto"/>
        <w:rPr>
          <w:sz w:val="20"/>
          <w:szCs w:val="20"/>
          <w:color w:val="auto"/>
        </w:rPr>
      </w:pPr>
      <w:r>
        <w:rPr>
          <w:rFonts w:ascii="Arial" w:cs="Arial" w:eastAsia="Arial" w:hAnsi="Arial"/>
          <w:sz w:val="18"/>
          <w:szCs w:val="18"/>
          <w:color w:val="auto"/>
        </w:rPr>
        <w:t xml:space="preserve">The Company’s Governance Principles are available on the Company’s website,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“Investors” and then “Sustainability and Governance.”</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Board Matters – Meeting Attendance</w:t>
      </w:r>
    </w:p>
    <w:p>
      <w:pPr>
        <w:spacing w:after="0" w:line="171" w:lineRule="exact"/>
        <w:rPr>
          <w:sz w:val="20"/>
          <w:szCs w:val="20"/>
          <w:color w:val="auto"/>
        </w:rPr>
      </w:pPr>
    </w:p>
    <w:p>
      <w:pPr>
        <w:jc w:val="both"/>
        <w:ind w:left="920" w:right="1040"/>
        <w:spacing w:after="0" w:line="253" w:lineRule="auto"/>
        <w:rPr>
          <w:sz w:val="20"/>
          <w:szCs w:val="20"/>
          <w:color w:val="auto"/>
        </w:rPr>
      </w:pPr>
      <w:r>
        <w:rPr>
          <w:rFonts w:ascii="Arial" w:cs="Arial" w:eastAsia="Arial" w:hAnsi="Arial"/>
          <w:sz w:val="18"/>
          <w:szCs w:val="18"/>
          <w:color w:val="auto"/>
        </w:rPr>
        <w:t>Our business, property, and affairs are managed under the oversight of our Board. Members of our Board are kept informed of our business through discussions with our CEO and other officers, by reviewing materials provided to them, by visiting our offices, and by participating in meetings of the Board and its committees.</w:t>
      </w:r>
    </w:p>
    <w:p>
      <w:pPr>
        <w:spacing w:after="0" w:line="128" w:lineRule="exact"/>
        <w:rPr>
          <w:sz w:val="20"/>
          <w:szCs w:val="20"/>
          <w:color w:val="auto"/>
        </w:rPr>
      </w:pPr>
    </w:p>
    <w:p>
      <w:pPr>
        <w:ind w:left="920" w:right="1080"/>
        <w:spacing w:after="0" w:line="244" w:lineRule="auto"/>
        <w:rPr>
          <w:sz w:val="20"/>
          <w:szCs w:val="20"/>
          <w:color w:val="auto"/>
        </w:rPr>
      </w:pPr>
      <w:r>
        <w:rPr>
          <w:rFonts w:ascii="Arial" w:cs="Arial" w:eastAsia="Arial" w:hAnsi="Arial"/>
          <w:sz w:val="18"/>
          <w:szCs w:val="18"/>
          <w:color w:val="auto"/>
        </w:rPr>
        <w:t>In accordance with our Governance Principles, directors are expected to attend the Company’s annual meeting of shareholders. All our directors serving at the time of the 2022 annual meeting of shareholders attended the meeting. During 2022, the Board met nine times. All the directors attended at least 75% of the meetings of the Board and committees on which he or she served. Also, in accordance with our Governance Principles, our independent directors meet in an executive session as often as necessary, but no less than two times annually.</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Director Independence</w:t>
      </w:r>
    </w:p>
    <w:p>
      <w:pPr>
        <w:spacing w:after="0" w:line="185" w:lineRule="exact"/>
        <w:rPr>
          <w:sz w:val="20"/>
          <w:szCs w:val="20"/>
          <w:color w:val="auto"/>
        </w:rPr>
      </w:pPr>
    </w:p>
    <w:p>
      <w:pPr>
        <w:ind w:left="920" w:right="980"/>
        <w:spacing w:after="0"/>
        <w:rPr>
          <w:sz w:val="20"/>
          <w:szCs w:val="20"/>
          <w:color w:val="auto"/>
        </w:rPr>
      </w:pPr>
      <w:r>
        <w:rPr>
          <w:rFonts w:ascii="Arial" w:cs="Arial" w:eastAsia="Arial" w:hAnsi="Arial"/>
          <w:sz w:val="18"/>
          <w:szCs w:val="18"/>
          <w:color w:val="auto"/>
        </w:rPr>
        <w:t>Our common stock is listed on the Nasdaq Stock Market stock exchange (Nasdaq). Under the rules of Nasdaq, independent directors must comprise a majority of a listed company’s board of directors. In addition, the rules of Nasdaq require that, subject to specified exceptions, each member of a listed company’s audit, compensation, and nominating and corporate governance committees be independent. Under the rules of Nasdaq, a director will only qualify as an “independent director” if that company’s board of directors determines that the person does not have a relationship that would interfere with the exercise of independent judgment in carrying out the responsibilities of a director.</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-14-</w:t>
            </w:r>
          </w:p>
        </w:tc>
      </w:tr>
      <w:tr>
        <w:trPr>
          <w:trHeight w:val="219"/>
        </w:trPr>
        <w:tc>
          <w:tcPr>
            <w:tcW w:w="316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18" w:name="page19"/>
    <w:bookmarkEnd w:id="18"/>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right="1380"/>
        <w:spacing w:after="0" w:line="245" w:lineRule="auto"/>
        <w:rPr>
          <w:sz w:val="20"/>
          <w:szCs w:val="20"/>
          <w:color w:val="auto"/>
        </w:rPr>
      </w:pPr>
      <w:r>
        <w:rPr>
          <w:rFonts w:ascii="Arial" w:cs="Arial" w:eastAsia="Arial" w:hAnsi="Arial"/>
          <w:sz w:val="18"/>
          <w:szCs w:val="18"/>
          <w:color w:val="auto"/>
        </w:rPr>
        <w:t>As recommended by the Nominating and Corporate Governance Committee, the Board has determined that a majority of our Board are independent directors as defined under the rules of Nasdaq and the SEC, with</w:t>
      </w:r>
    </w:p>
    <w:p>
      <w:pPr>
        <w:ind w:left="920" w:right="1140"/>
        <w:spacing w:after="0" w:line="238" w:lineRule="auto"/>
        <w:rPr>
          <w:sz w:val="20"/>
          <w:szCs w:val="20"/>
          <w:color w:val="auto"/>
        </w:rPr>
      </w:pPr>
      <w:r>
        <w:rPr>
          <w:rFonts w:ascii="Arial" w:cs="Arial" w:eastAsia="Arial" w:hAnsi="Arial"/>
          <w:sz w:val="18"/>
          <w:szCs w:val="18"/>
          <w:color w:val="auto"/>
        </w:rPr>
        <w:t>Mr. Deitrich serving as the sole non-independent director. As Mr. Deitrich does not serve on any committees, and as recommended by the Nominating and Corporate Governance Committee, the Board has determined that all members of Itron’s committees are independent under SEC rules and Nasdaq listing rules. In addition, as recommended by the Nominating and Corporate Governance Committee, the Board has determined that all members of our Audit/Finance Committee are independent under Rule 10A-3 of the Securities Exchange Act of 1934, as amended (Exchange Act).</w:t>
      </w:r>
    </w:p>
    <w:p>
      <w:pPr>
        <w:spacing w:after="0" w:line="19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Committees of the Board</w:t>
      </w:r>
    </w:p>
    <w:p>
      <w:pPr>
        <w:spacing w:after="0" w:line="171" w:lineRule="exact"/>
        <w:rPr>
          <w:sz w:val="20"/>
          <w:szCs w:val="20"/>
          <w:color w:val="auto"/>
        </w:rPr>
      </w:pPr>
    </w:p>
    <w:p>
      <w:pPr>
        <w:ind w:left="920" w:right="1140"/>
        <w:spacing w:after="0"/>
        <w:rPr>
          <w:sz w:val="20"/>
          <w:szCs w:val="20"/>
          <w:color w:val="auto"/>
        </w:rPr>
      </w:pPr>
      <w:r>
        <w:rPr>
          <w:rFonts w:ascii="Arial" w:cs="Arial" w:eastAsia="Arial" w:hAnsi="Arial"/>
          <w:sz w:val="18"/>
          <w:szCs w:val="18"/>
          <w:color w:val="auto"/>
        </w:rPr>
        <w:t>We have three committees to assist the Board in fulfilling its responsibilities: Nominating and Corporate Governance, Audit/Finance, and Compensation. Each of the three current committees operates under a written charter that has been approved by the Board. The committee charters are reviewed annually and are updated as necessary to reflect changes in regulatory requirements and evolving oversight practices. All of the current committee charters are available on our website at http://investors.itron.com/corporate-governance-0. The table below provides membership of each committee at the end of fiscal year 2022, followed by a description of each committee’s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86360</wp:posOffset>
            </wp:positionV>
            <wp:extent cx="5829300" cy="4972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29300" cy="497205"/>
                    </a:xfrm>
                    <a:prstGeom prst="rect">
                      <a:avLst/>
                    </a:prstGeom>
                    <a:noFill/>
                  </pic:spPr>
                </pic:pic>
              </a:graphicData>
            </a:graphic>
          </wp:anchor>
        </w:drawing>
      </w:r>
    </w:p>
    <w:p>
      <w:pPr>
        <w:spacing w:after="0" w:line="165"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Nominating and</w:t>
      </w:r>
    </w:p>
    <w:p>
      <w:pPr>
        <w:spacing w:after="0" w:line="9" w:lineRule="exact"/>
        <w:rPr>
          <w:sz w:val="20"/>
          <w:szCs w:val="20"/>
          <w:color w:val="auto"/>
        </w:rPr>
      </w:pPr>
    </w:p>
    <w:p>
      <w:pPr>
        <w:ind w:left="1000"/>
        <w:spacing w:after="0"/>
        <w:tabs>
          <w:tab w:leader="none" w:pos="4960" w:val="left"/>
          <w:tab w:leader="none" w:pos="6780" w:val="left"/>
          <w:tab w:leader="none" w:pos="8780" w:val="left"/>
        </w:tabs>
        <w:rPr>
          <w:sz w:val="20"/>
          <w:szCs w:val="20"/>
          <w:color w:val="auto"/>
        </w:rPr>
      </w:pPr>
      <w:r>
        <w:rPr>
          <w:rFonts w:ascii="Arial" w:cs="Arial" w:eastAsia="Arial" w:hAnsi="Arial"/>
          <w:sz w:val="18"/>
          <w:szCs w:val="18"/>
          <w:b w:val="1"/>
          <w:bCs w:val="1"/>
          <w:color w:val="auto"/>
        </w:rPr>
        <w:t>Director</w:t>
      </w:r>
      <w:r>
        <w:rPr>
          <w:sz w:val="20"/>
          <w:szCs w:val="20"/>
          <w:color w:val="auto"/>
        </w:rPr>
        <w:tab/>
      </w:r>
      <w:r>
        <w:rPr>
          <w:rFonts w:ascii="Arial" w:cs="Arial" w:eastAsia="Arial" w:hAnsi="Arial"/>
          <w:sz w:val="18"/>
          <w:szCs w:val="18"/>
          <w:b w:val="1"/>
          <w:bCs w:val="1"/>
          <w:color w:val="auto"/>
        </w:rPr>
        <w:t>Audit/Finance</w:t>
      </w:r>
      <w:r>
        <w:rPr>
          <w:sz w:val="20"/>
          <w:szCs w:val="20"/>
          <w:color w:val="auto"/>
        </w:rPr>
        <w:tab/>
      </w:r>
      <w:r>
        <w:rPr>
          <w:rFonts w:ascii="Arial" w:cs="Arial" w:eastAsia="Arial" w:hAnsi="Arial"/>
          <w:sz w:val="18"/>
          <w:szCs w:val="18"/>
          <w:b w:val="1"/>
          <w:bCs w:val="1"/>
          <w:color w:val="auto"/>
        </w:rPr>
        <w:t>Corporate</w:t>
      </w:r>
      <w:r>
        <w:rPr>
          <w:sz w:val="20"/>
          <w:szCs w:val="20"/>
          <w:color w:val="auto"/>
        </w:rPr>
        <w:tab/>
      </w:r>
      <w:r>
        <w:rPr>
          <w:rFonts w:ascii="Arial" w:cs="Arial" w:eastAsia="Arial" w:hAnsi="Arial"/>
          <w:sz w:val="17"/>
          <w:szCs w:val="17"/>
          <w:b w:val="1"/>
          <w:bCs w:val="1"/>
          <w:color w:val="auto"/>
        </w:rPr>
        <w:t>Compensation</w:t>
      </w:r>
    </w:p>
    <w:p>
      <w:pPr>
        <w:ind w:left="6740"/>
        <w:spacing w:after="0"/>
        <w:rPr>
          <w:sz w:val="20"/>
          <w:szCs w:val="20"/>
          <w:color w:val="auto"/>
        </w:rPr>
      </w:pPr>
      <w:r>
        <w:rPr>
          <w:rFonts w:ascii="Arial" w:cs="Arial" w:eastAsia="Arial" w:hAnsi="Arial"/>
          <w:sz w:val="18"/>
          <w:szCs w:val="18"/>
          <w:b w:val="1"/>
          <w:bCs w:val="1"/>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66040</wp:posOffset>
            </wp:positionV>
            <wp:extent cx="58293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Mary C. Hemmingsen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-109220</wp:posOffset>
            </wp:positionV>
            <wp:extent cx="163195" cy="1117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3195" cy="111760"/>
                    </a:xfrm>
                    <a:prstGeom prst="rect">
                      <a:avLst/>
                    </a:prstGeom>
                    <a:noFill/>
                  </pic:spPr>
                </pic:pic>
              </a:graphicData>
            </a:graphic>
          </wp:anchor>
        </w:drawing>
      </w:r>
    </w:p>
    <w:p>
      <w:pPr>
        <w:spacing w:after="0" w:line="13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4523740</wp:posOffset>
            </wp:positionH>
            <wp:positionV relativeFrom="paragraph">
              <wp:posOffset>-109220</wp:posOffset>
            </wp:positionV>
            <wp:extent cx="163195" cy="1117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3195" cy="111760"/>
                    </a:xfrm>
                    <a:prstGeom prst="rect">
                      <a:avLst/>
                    </a:prstGeom>
                    <a:noFill/>
                  </pic:spPr>
                </pic:pic>
              </a:graphicData>
            </a:graphic>
          </wp:anchor>
        </w:drawing>
        <w:drawing>
          <wp:anchor simplePos="0" relativeHeight="251657728" behindDoc="1" locked="0" layoutInCell="0" allowOverlap="1">
            <wp:simplePos x="0" y="0"/>
            <wp:positionH relativeFrom="column">
              <wp:posOffset>5766435</wp:posOffset>
            </wp:positionH>
            <wp:positionV relativeFrom="paragraph">
              <wp:posOffset>-109220</wp:posOffset>
            </wp:positionV>
            <wp:extent cx="12890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pacing w:after="0" w:line="163"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Jerome J. Lande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-109220</wp:posOffset>
            </wp:positionV>
            <wp:extent cx="163195" cy="1111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3195" cy="111125"/>
                    </a:xfrm>
                    <a:prstGeom prst="rect">
                      <a:avLst/>
                    </a:prstGeom>
                    <a:noFill/>
                  </pic:spPr>
                </pic:pic>
              </a:graphicData>
            </a:graphic>
          </wp:anchor>
        </w:drawing>
      </w:r>
    </w:p>
    <w:p>
      <w:pPr>
        <w:spacing w:after="0" w:line="13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Timothy M. Leyden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3314700</wp:posOffset>
            </wp:positionH>
            <wp:positionV relativeFrom="paragraph">
              <wp:posOffset>-109220</wp:posOffset>
            </wp:positionV>
            <wp:extent cx="12890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37160"/>
                    </a:xfrm>
                    <a:prstGeom prst="rect">
                      <a:avLst/>
                    </a:prstGeom>
                    <a:noFill/>
                  </pic:spPr>
                </pic:pic>
              </a:graphicData>
            </a:graphic>
          </wp:anchor>
        </w:drawing>
      </w:r>
    </w:p>
    <w:p>
      <w:pPr>
        <w:spacing w:after="0" w:line="163"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Thomas L. Deitrich</w:t>
      </w:r>
    </w:p>
    <w:p>
      <w:pPr>
        <w:spacing w:after="0" w:line="15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Santiago Perez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4523740</wp:posOffset>
            </wp:positionH>
            <wp:positionV relativeFrom="paragraph">
              <wp:posOffset>-109220</wp:posOffset>
            </wp:positionV>
            <wp:extent cx="163195" cy="1117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3195" cy="111760"/>
                    </a:xfrm>
                    <a:prstGeom prst="rect">
                      <a:avLst/>
                    </a:prstGeom>
                    <a:noFill/>
                  </pic:spPr>
                </pic:pic>
              </a:graphicData>
            </a:graphic>
          </wp:anchor>
        </w:drawing>
        <w:drawing>
          <wp:anchor simplePos="0" relativeHeight="251657728" behindDoc="1" locked="0" layoutInCell="0" allowOverlap="1">
            <wp:simplePos x="0" y="0"/>
            <wp:positionH relativeFrom="column">
              <wp:posOffset>5749290</wp:posOffset>
            </wp:positionH>
            <wp:positionV relativeFrom="paragraph">
              <wp:posOffset>-109220</wp:posOffset>
            </wp:positionV>
            <wp:extent cx="162560" cy="1117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2560" cy="111760"/>
                    </a:xfrm>
                    <a:prstGeom prst="rect">
                      <a:avLst/>
                    </a:prstGeom>
                    <a:noFill/>
                  </pic:spPr>
                </pic:pic>
              </a:graphicData>
            </a:graphic>
          </wp:anchor>
        </w:drawing>
      </w:r>
    </w:p>
    <w:p>
      <w:pPr>
        <w:spacing w:after="0" w:line="13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Gary E. Pruitt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-109220</wp:posOffset>
            </wp:positionV>
            <wp:extent cx="163195" cy="1111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3195" cy="111125"/>
                    </a:xfrm>
                    <a:prstGeom prst="rect">
                      <a:avLst/>
                    </a:prstGeom>
                    <a:noFill/>
                  </pic:spPr>
                </pic:pic>
              </a:graphicData>
            </a:graphic>
          </wp:anchor>
        </w:drawing>
      </w:r>
    </w:p>
    <w:p>
      <w:pPr>
        <w:spacing w:after="0" w:line="13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Diana D. Tremblay</w:t>
      </w:r>
    </w:p>
    <w:p>
      <w:pPr>
        <w:spacing w:after="0" w:line="15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Lynda L.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-109220</wp:posOffset>
            </wp:positionV>
            <wp:extent cx="12890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5749290</wp:posOffset>
            </wp:positionH>
            <wp:positionV relativeFrom="paragraph">
              <wp:posOffset>-109220</wp:posOffset>
            </wp:positionV>
            <wp:extent cx="162560" cy="1111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2560" cy="111125"/>
                    </a:xfrm>
                    <a:prstGeom prst="rect">
                      <a:avLst/>
                    </a:prstGeom>
                    <a:noFill/>
                  </pic:spPr>
                </pic:pic>
              </a:graphicData>
            </a:graphic>
          </wp:anchor>
        </w:drawing>
      </w:r>
    </w:p>
    <w:p>
      <w:pPr>
        <w:spacing w:after="0" w:line="24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 xml:space="preserve">Committee Member        </w:t>
      </w:r>
      <w:r>
        <w:rPr>
          <w:sz w:val="1"/>
          <w:szCs w:val="1"/>
          <w:color w:val="auto"/>
        </w:rPr>
        <w:drawing>
          <wp:inline distT="0" distB="0" distL="0" distR="0">
            <wp:extent cx="128905" cy="13716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37160"/>
                    </a:xfrm>
                    <a:prstGeom prst="rect">
                      <a:avLst/>
                    </a:prstGeom>
                    <a:noFill/>
                    <a:ln>
                      <a:noFill/>
                    </a:ln>
                  </pic:spPr>
                </pic:pic>
              </a:graphicData>
            </a:graphic>
          </wp:inline>
        </w:drawing>
      </w:r>
      <w:r>
        <w:rPr>
          <w:rFonts w:ascii="Arial" w:cs="Arial" w:eastAsia="Arial" w:hAnsi="Arial"/>
          <w:sz w:val="18"/>
          <w:szCs w:val="18"/>
          <w:color w:val="auto"/>
        </w:rPr>
        <w:t xml:space="preserve">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-147320</wp:posOffset>
            </wp:positionV>
            <wp:extent cx="163195" cy="1117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3195" cy="111760"/>
                    </a:xfrm>
                    <a:prstGeom prst="rect">
                      <a:avLst/>
                    </a:prstGeom>
                    <a:noFill/>
                  </pic:spPr>
                </pic:pic>
              </a:graphicData>
            </a:graphic>
          </wp:anchor>
        </w:drawing>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Nominating and Corporate Governance Committee</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Nominating and Corporate Governance Committee (NCGC) is primarily responsible for:</w:t>
      </w:r>
    </w:p>
    <w:p>
      <w:pPr>
        <w:spacing w:after="0" w:line="185" w:lineRule="exact"/>
        <w:rPr>
          <w:sz w:val="20"/>
          <w:szCs w:val="20"/>
          <w:color w:val="auto"/>
        </w:rPr>
      </w:pPr>
    </w:p>
    <w:p>
      <w:pPr>
        <w:ind w:left="1620" w:hanging="346"/>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developing and implementing our Governance Principles;</w:t>
      </w:r>
    </w:p>
    <w:p>
      <w:pPr>
        <w:spacing w:after="0" w:line="171" w:lineRule="exact"/>
        <w:rPr>
          <w:rFonts w:ascii="Arial" w:cs="Arial" w:eastAsia="Arial" w:hAnsi="Arial"/>
          <w:sz w:val="18"/>
          <w:szCs w:val="18"/>
          <w:color w:val="auto"/>
        </w:rPr>
      </w:pPr>
    </w:p>
    <w:p>
      <w:pPr>
        <w:ind w:left="1620" w:right="1240" w:hanging="346"/>
        <w:spacing w:after="0" w:line="271"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overseeing the process for evaluating the performance of our Board Chair and the CEO, as well as the other directors and the Board as a whole;</w:t>
      </w:r>
    </w:p>
    <w:p>
      <w:pPr>
        <w:spacing w:after="0" w:line="113" w:lineRule="exact"/>
        <w:rPr>
          <w:rFonts w:ascii="Arial" w:cs="Arial" w:eastAsia="Arial" w:hAnsi="Arial"/>
          <w:sz w:val="18"/>
          <w:szCs w:val="18"/>
          <w:color w:val="auto"/>
        </w:rPr>
      </w:pPr>
    </w:p>
    <w:p>
      <w:pPr>
        <w:ind w:left="1620" w:hanging="346"/>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determining the qualifications of the directors serving on the Board, including their independence;</w:t>
      </w:r>
    </w:p>
    <w:p>
      <w:pPr>
        <w:spacing w:after="0" w:line="184" w:lineRule="exact"/>
        <w:rPr>
          <w:rFonts w:ascii="Arial" w:cs="Arial" w:eastAsia="Arial" w:hAnsi="Arial"/>
          <w:sz w:val="18"/>
          <w:szCs w:val="18"/>
          <w:color w:val="auto"/>
        </w:rPr>
      </w:pPr>
    </w:p>
    <w:p>
      <w:pPr>
        <w:ind w:left="1620" w:hanging="346"/>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recommending candidates to serve on the Board; and</w:t>
      </w:r>
    </w:p>
    <w:p>
      <w:pPr>
        <w:spacing w:after="0" w:line="171" w:lineRule="exact"/>
        <w:rPr>
          <w:rFonts w:ascii="Arial" w:cs="Arial" w:eastAsia="Arial" w:hAnsi="Arial"/>
          <w:sz w:val="18"/>
          <w:szCs w:val="18"/>
          <w:color w:val="auto"/>
        </w:rPr>
      </w:pPr>
    </w:p>
    <w:p>
      <w:pPr>
        <w:ind w:left="1620" w:right="980" w:hanging="346"/>
        <w:spacing w:after="0" w:line="271" w:lineRule="auto"/>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with respect to candidates for directors proposed by shareholders.</w:t>
      </w:r>
    </w:p>
    <w:p>
      <w:pPr>
        <w:spacing w:after="0" w:line="113" w:lineRule="exact"/>
        <w:rPr>
          <w:sz w:val="20"/>
          <w:szCs w:val="20"/>
          <w:color w:val="auto"/>
        </w:rPr>
      </w:pPr>
    </w:p>
    <w:p>
      <w:pPr>
        <w:jc w:val="both"/>
        <w:ind w:left="920" w:right="1000"/>
        <w:spacing w:after="0" w:line="253" w:lineRule="auto"/>
        <w:rPr>
          <w:sz w:val="20"/>
          <w:szCs w:val="20"/>
          <w:color w:val="auto"/>
        </w:rPr>
      </w:pPr>
      <w:r>
        <w:rPr>
          <w:rFonts w:ascii="Arial" w:cs="Arial" w:eastAsia="Arial" w:hAnsi="Arial"/>
          <w:sz w:val="18"/>
          <w:szCs w:val="18"/>
          <w:color w:val="auto"/>
        </w:rPr>
        <w:t>To assist the NCGC in its identification of qualified director candidates, it might engage an outside search firm. The NCGC also reviews the compensation paid to our directors and makes recommendations to the Board on director fees and other compensation payable to the Board members.</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of the members of the NCGC are independent under SEC rules and Nasdaq listing rules.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-15-</w:t>
            </w:r>
          </w:p>
        </w:tc>
      </w:tr>
      <w:tr>
        <w:trPr>
          <w:trHeight w:val="219"/>
        </w:trPr>
        <w:tc>
          <w:tcPr>
            <w:tcW w:w="316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19" w:name="page20"/>
    <w:bookmarkEnd w:id="19"/>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Audit/Finance Committee</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Audit/Finance Committee (AFC) is primarily responsible for:</w:t>
      </w:r>
    </w:p>
    <w:p>
      <w:pPr>
        <w:spacing w:after="0" w:line="171" w:lineRule="exact"/>
        <w:rPr>
          <w:sz w:val="20"/>
          <w:szCs w:val="20"/>
          <w:color w:val="auto"/>
        </w:rPr>
      </w:pPr>
    </w:p>
    <w:p>
      <w:pPr>
        <w:ind w:left="1620" w:hanging="346"/>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overseeing our accounting and financial reporting processes and the audit of our financial statements;</w:t>
      </w:r>
    </w:p>
    <w:p>
      <w:pPr>
        <w:spacing w:after="0" w:line="171" w:lineRule="exact"/>
        <w:rPr>
          <w:rFonts w:ascii="Arial" w:cs="Arial" w:eastAsia="Arial" w:hAnsi="Arial"/>
          <w:sz w:val="18"/>
          <w:szCs w:val="18"/>
          <w:color w:val="auto"/>
        </w:rPr>
      </w:pPr>
    </w:p>
    <w:p>
      <w:pPr>
        <w:ind w:left="1620" w:hanging="346"/>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approving the compensation of our independent auditors;</w:t>
      </w:r>
    </w:p>
    <w:p>
      <w:pPr>
        <w:spacing w:after="0" w:line="184" w:lineRule="exact"/>
        <w:rPr>
          <w:rFonts w:ascii="Arial" w:cs="Arial" w:eastAsia="Arial" w:hAnsi="Arial"/>
          <w:sz w:val="18"/>
          <w:szCs w:val="18"/>
          <w:color w:val="auto"/>
        </w:rPr>
      </w:pPr>
    </w:p>
    <w:p>
      <w:pPr>
        <w:ind w:left="1620" w:right="980" w:hanging="346"/>
        <w:spacing w:after="0" w:line="271" w:lineRule="auto"/>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with management our business financial risks and the process by which management assesses and manages such financial risks;</w:t>
      </w:r>
    </w:p>
    <w:p>
      <w:pPr>
        <w:spacing w:after="0" w:line="113" w:lineRule="exact"/>
        <w:rPr>
          <w:rFonts w:ascii="Arial" w:cs="Arial" w:eastAsia="Arial" w:hAnsi="Arial"/>
          <w:sz w:val="18"/>
          <w:szCs w:val="18"/>
          <w:color w:val="auto"/>
        </w:rPr>
      </w:pPr>
    </w:p>
    <w:p>
      <w:pPr>
        <w:ind w:left="1620" w:hanging="346"/>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selecting, retaining, or terminating our independent auditors; and</w:t>
      </w:r>
    </w:p>
    <w:p>
      <w:pPr>
        <w:spacing w:after="0" w:line="171" w:lineRule="exact"/>
        <w:rPr>
          <w:rFonts w:ascii="Arial" w:cs="Arial" w:eastAsia="Arial" w:hAnsi="Arial"/>
          <w:sz w:val="18"/>
          <w:szCs w:val="18"/>
          <w:color w:val="auto"/>
        </w:rPr>
      </w:pPr>
    </w:p>
    <w:p>
      <w:pPr>
        <w:ind w:left="1620" w:hanging="346"/>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monitoring compliance with our code of conduct.</w:t>
      </w:r>
    </w:p>
    <w:p>
      <w:pPr>
        <w:spacing w:after="0" w:line="185" w:lineRule="exact"/>
        <w:rPr>
          <w:sz w:val="20"/>
          <w:szCs w:val="20"/>
          <w:color w:val="auto"/>
        </w:rPr>
      </w:pPr>
    </w:p>
    <w:p>
      <w:pPr>
        <w:ind w:left="920" w:right="940"/>
        <w:spacing w:after="0" w:line="247" w:lineRule="auto"/>
        <w:rPr>
          <w:sz w:val="20"/>
          <w:szCs w:val="20"/>
          <w:color w:val="auto"/>
        </w:rPr>
      </w:pPr>
      <w:r>
        <w:rPr>
          <w:rFonts w:ascii="Arial" w:cs="Arial" w:eastAsia="Arial" w:hAnsi="Arial"/>
          <w:sz w:val="18"/>
          <w:szCs w:val="18"/>
          <w:color w:val="auto"/>
        </w:rPr>
        <w:t>The Board has determined that all members of the AFC are independent under SEC rules and Nasdaq listing rules, including Rule 10A-3 of the Exchange Act. The NCGC has determined that all of the current members of the AFC are financially literate in accordance with the Standards of Nasdaq Rule 5605(c)(2)(A)(iv), and “audit committee financial experts” as defined in Item 407(d)(5) of Regulation S-K.</w:t>
      </w:r>
    </w:p>
    <w:p>
      <w:pPr>
        <w:spacing w:after="0" w:line="174"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Compensation Committee</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Compensation Committee (CC) is primarily responsible for:</w:t>
      </w:r>
    </w:p>
    <w:p>
      <w:pPr>
        <w:spacing w:after="0" w:line="171" w:lineRule="exact"/>
        <w:rPr>
          <w:sz w:val="20"/>
          <w:szCs w:val="20"/>
          <w:color w:val="auto"/>
        </w:rPr>
      </w:pPr>
    </w:p>
    <w:p>
      <w:pPr>
        <w:ind w:left="1620" w:hanging="346"/>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recommending to the Board our CEO’s total annual and long-term incentive compensation;</w:t>
      </w:r>
    </w:p>
    <w:p>
      <w:pPr>
        <w:spacing w:after="0" w:line="171" w:lineRule="exact"/>
        <w:rPr>
          <w:rFonts w:ascii="Arial" w:cs="Arial" w:eastAsia="Arial" w:hAnsi="Arial"/>
          <w:sz w:val="18"/>
          <w:szCs w:val="18"/>
          <w:color w:val="auto"/>
        </w:rPr>
      </w:pPr>
    </w:p>
    <w:p>
      <w:pPr>
        <w:ind w:left="1620" w:hanging="346"/>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setting compensation levels for our other executive officers; and</w:t>
      </w:r>
    </w:p>
    <w:p>
      <w:pPr>
        <w:spacing w:after="0" w:line="184" w:lineRule="exact"/>
        <w:rPr>
          <w:rFonts w:ascii="Arial" w:cs="Arial" w:eastAsia="Arial" w:hAnsi="Arial"/>
          <w:sz w:val="18"/>
          <w:szCs w:val="18"/>
          <w:color w:val="auto"/>
        </w:rPr>
      </w:pPr>
    </w:p>
    <w:p>
      <w:pPr>
        <w:ind w:left="1620" w:right="1340" w:hanging="346"/>
        <w:spacing w:after="0" w:line="271"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the administration of various incentive compensation and benefit plans, which includes an annual evaluation of our compensation plans and policies.</w:t>
      </w:r>
    </w:p>
    <w:p>
      <w:pPr>
        <w:spacing w:after="0" w:line="113" w:lineRule="exact"/>
        <w:rPr>
          <w:sz w:val="20"/>
          <w:szCs w:val="20"/>
          <w:color w:val="auto"/>
        </w:rPr>
      </w:pPr>
    </w:p>
    <w:p>
      <w:pPr>
        <w:ind w:left="920" w:right="980"/>
        <w:spacing w:after="0" w:line="242" w:lineRule="auto"/>
        <w:rPr>
          <w:sz w:val="20"/>
          <w:szCs w:val="20"/>
          <w:color w:val="auto"/>
        </w:rPr>
      </w:pPr>
      <w:r>
        <w:rPr>
          <w:rFonts w:ascii="Arial" w:cs="Arial" w:eastAsia="Arial" w:hAnsi="Arial"/>
          <w:sz w:val="18"/>
          <w:szCs w:val="18"/>
          <w:color w:val="auto"/>
        </w:rPr>
        <w:t xml:space="preserve">The CC, when appropriate, may form and delegate authority to subcommittees and may delegate authority to one or more designated members of the Board or to Company officers. The Board has determined that all members of the CC are independent under SEC rules and Nasdaq listing rules. In addition, all CC members are “non-employee directors” under Section 16b-3 of the Exchange Act.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COMPENSATION –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w:t>
      </w:r>
      <w:r>
        <w:rPr>
          <w:rFonts w:ascii="Arial" w:cs="Arial" w:eastAsia="Arial" w:hAnsi="Arial"/>
          <w:sz w:val="18"/>
          <w:szCs w:val="18"/>
          <w:color w:val="auto"/>
        </w:rPr>
        <w:t>” in this proxy statement for more information on the CC’s responsibilities regarding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of our executive officers.</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1" w:lineRule="exact"/>
        <w:rPr>
          <w:sz w:val="20"/>
          <w:szCs w:val="20"/>
          <w:color w:val="auto"/>
        </w:rPr>
      </w:pPr>
    </w:p>
    <w:p>
      <w:pPr>
        <w:ind w:left="920" w:right="960"/>
        <w:spacing w:after="0" w:line="244" w:lineRule="auto"/>
        <w:rPr>
          <w:sz w:val="20"/>
          <w:szCs w:val="20"/>
          <w:color w:val="auto"/>
        </w:rPr>
      </w:pPr>
      <w:r>
        <w:rPr>
          <w:rFonts w:ascii="Arial" w:cs="Arial" w:eastAsia="Arial" w:hAnsi="Arial"/>
          <w:sz w:val="18"/>
          <w:szCs w:val="18"/>
          <w:color w:val="auto"/>
        </w:rPr>
        <w:t>No member of our Board’s Compensation Committee has served as an officer or employee of the Company. None of our executive officers serve as a member of the compensation committee of any other company that has an executive officer serving as a member of our Board. None of our executive officers serve as a member of the board of directors of any other company that has an executive officer serving as a member of our Board’s Compensation Committee.</w:t>
      </w:r>
    </w:p>
    <w:p>
      <w:pPr>
        <w:spacing w:after="0" w:line="1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Transactions with Related Persons</w:t>
      </w:r>
    </w:p>
    <w:p>
      <w:pPr>
        <w:spacing w:after="0" w:line="171" w:lineRule="exact"/>
        <w:rPr>
          <w:sz w:val="20"/>
          <w:szCs w:val="20"/>
          <w:color w:val="auto"/>
        </w:rPr>
      </w:pPr>
    </w:p>
    <w:p>
      <w:pPr>
        <w:ind w:left="920" w:right="940"/>
        <w:spacing w:after="0" w:line="239" w:lineRule="auto"/>
        <w:rPr>
          <w:sz w:val="20"/>
          <w:szCs w:val="20"/>
          <w:color w:val="auto"/>
        </w:rPr>
      </w:pPr>
      <w:r>
        <w:rPr>
          <w:rFonts w:ascii="Arial" w:cs="Arial" w:eastAsia="Arial" w:hAnsi="Arial"/>
          <w:sz w:val="18"/>
          <w:szCs w:val="18"/>
          <w:color w:val="auto"/>
        </w:rPr>
        <w:t>There were no related person transactions required to be disclosed pursuant to Item 404(a) of Regulation S-K in fiscal year 2022. In order to determine this, the Board requires our executive officers, directors and director nominees to disclose certain information regarding related person transactions. A “related person transaction” generally is a transaction (including any indebtedness or a guarantee of indebtedness) that involves the Company’s directors, executive officers, director nominees, 5% or more beneficial owners of the Company’s common stock, immediate family members of these persons, or entities in which one of these persons has a direct or indirect material interest. The current threshold required to be disclosed under SEC regulations is $120,000. Under its charter, the Audit/Finance Committee of the Board has been delegated with the responsibility of reviewing and approving any related person transactions and the Nominating and Corporate Governance Committee also provides input in that regard.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-16-</w:t>
            </w:r>
          </w:p>
        </w:tc>
      </w:tr>
      <w:tr>
        <w:trPr>
          <w:trHeight w:val="219"/>
        </w:trPr>
        <w:tc>
          <w:tcPr>
            <w:tcW w:w="316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20" w:name="page21"/>
    <w:bookmarkEnd w:id="20"/>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Our Board’s Role in Risk Oversight</w:t>
      </w:r>
    </w:p>
    <w:p>
      <w:pPr>
        <w:spacing w:after="0" w:line="185" w:lineRule="exact"/>
        <w:rPr>
          <w:sz w:val="20"/>
          <w:szCs w:val="20"/>
          <w:color w:val="auto"/>
        </w:rPr>
      </w:pPr>
    </w:p>
    <w:p>
      <w:pPr>
        <w:ind w:left="920" w:right="980"/>
        <w:spacing w:after="0" w:line="238" w:lineRule="auto"/>
        <w:rPr>
          <w:sz w:val="20"/>
          <w:szCs w:val="20"/>
          <w:color w:val="auto"/>
        </w:rPr>
      </w:pPr>
      <w:r>
        <w:rPr>
          <w:rFonts w:ascii="Arial" w:cs="Arial" w:eastAsia="Arial" w:hAnsi="Arial"/>
          <w:sz w:val="18"/>
          <w:szCs w:val="18"/>
          <w:color w:val="auto"/>
        </w:rPr>
        <w:t>The Board has overall responsibility for risk oversight, including, as part of regular Board and committee meetings, general oversight of our executives’ management of risks relevant to the Company. The Board determines, directly or through Board committees, whether: (i) there are adequate processes designed and implemented by Company management such that risks have been identified and are being managed; (ii) the risk management processes are intended to ensure that Company risks are taken into account in corporate decision-making; and (iii) the risk management processes and procedures ensure that material risks to the Company are brought to the attention of the Board or an appropriate committee of the Board. Each of the Company’s risk management processes are reviewed periodically (but at least once a year) by either the Board or an appropriate committee to which the Board has delegated specific oversight responsibility, as described below. Throughout the year, the Board and each committee spend a portion of their time reviewing and discussing specific risk topics. Committee Chairs regularly report to the full Board on actions taken at committee meetings. At least annually, the Board conducts a review of our long-term strategic plans, and at each of our quarterly meetings, our General Counsel updates the Board on material legal and regulatory matters.</w:t>
      </w:r>
    </w:p>
    <w:p>
      <w:pPr>
        <w:spacing w:after="0" w:line="50" w:lineRule="exact"/>
        <w:rPr>
          <w:sz w:val="20"/>
          <w:szCs w:val="20"/>
          <w:color w:val="auto"/>
        </w:rPr>
      </w:pPr>
    </w:p>
    <w:tbl>
      <w:tblPr>
        <w:tblLayout w:type="fixed"/>
        <w:tblInd w:w="920" w:type="dxa"/>
        <w:tblCellMar>
          <w:top w:w="0" w:type="dxa"/>
          <w:left w:w="0" w:type="dxa"/>
          <w:bottom w:w="0" w:type="dxa"/>
          <w:right w:w="0" w:type="dxa"/>
        </w:tblCellMar>
      </w:tblPr>
      <w:tr>
        <w:trPr>
          <w:trHeight w:val="251"/>
        </w:trPr>
        <w:tc>
          <w:tcPr>
            <w:tcW w:w="1480" w:type="dxa"/>
            <w:vAlign w:val="bottom"/>
            <w:shd w:val="clear" w:color="auto" w:fill="D9D9D9"/>
          </w:tcPr>
          <w:p>
            <w:pPr>
              <w:spacing w:after="0"/>
              <w:rPr>
                <w:sz w:val="21"/>
                <w:szCs w:val="21"/>
                <w:color w:val="auto"/>
              </w:rPr>
            </w:pPr>
          </w:p>
        </w:tc>
        <w:tc>
          <w:tcPr>
            <w:tcW w:w="2620" w:type="dxa"/>
            <w:vAlign w:val="bottom"/>
            <w:shd w:val="clear" w:color="auto" w:fill="D9D9D9"/>
          </w:tcPr>
          <w:p>
            <w:pPr>
              <w:spacing w:after="0"/>
              <w:rPr>
                <w:sz w:val="21"/>
                <w:szCs w:val="21"/>
                <w:color w:val="auto"/>
              </w:rPr>
            </w:pPr>
          </w:p>
        </w:tc>
        <w:tc>
          <w:tcPr>
            <w:tcW w:w="2620" w:type="dxa"/>
            <w:vAlign w:val="bottom"/>
            <w:shd w:val="clear" w:color="auto" w:fill="D9D9D9"/>
          </w:tcPr>
          <w:p>
            <w:pPr>
              <w:ind w:left="520"/>
              <w:spacing w:after="0"/>
              <w:rPr>
                <w:sz w:val="20"/>
                <w:szCs w:val="20"/>
                <w:color w:val="auto"/>
              </w:rPr>
            </w:pPr>
            <w:r>
              <w:rPr>
                <w:rFonts w:ascii="Arial" w:cs="Arial" w:eastAsia="Arial" w:hAnsi="Arial"/>
                <w:sz w:val="18"/>
                <w:szCs w:val="18"/>
                <w:b w:val="1"/>
                <w:bCs w:val="1"/>
                <w:color w:val="auto"/>
              </w:rPr>
              <w:t>Nominating and</w:t>
            </w:r>
          </w:p>
        </w:tc>
        <w:tc>
          <w:tcPr>
            <w:tcW w:w="2460" w:type="dxa"/>
            <w:vAlign w:val="bottom"/>
            <w:shd w:val="clear" w:color="auto" w:fill="D9D9D9"/>
          </w:tcPr>
          <w:p>
            <w:pPr>
              <w:spacing w:after="0"/>
              <w:rPr>
                <w:sz w:val="21"/>
                <w:szCs w:val="21"/>
                <w:color w:val="auto"/>
              </w:rPr>
            </w:pPr>
          </w:p>
        </w:tc>
      </w:tr>
      <w:tr>
        <w:trPr>
          <w:trHeight w:val="247"/>
        </w:trPr>
        <w:tc>
          <w:tcPr>
            <w:tcW w:w="1480" w:type="dxa"/>
            <w:vAlign w:val="bottom"/>
            <w:shd w:val="clear" w:color="auto" w:fill="D9D9D9"/>
          </w:tcPr>
          <w:p>
            <w:pPr>
              <w:ind w:left="120"/>
              <w:spacing w:after="0"/>
              <w:rPr>
                <w:sz w:val="20"/>
                <w:szCs w:val="20"/>
                <w:color w:val="auto"/>
              </w:rPr>
            </w:pPr>
            <w:r>
              <w:rPr>
                <w:rFonts w:ascii="Arial" w:cs="Arial" w:eastAsia="Arial" w:hAnsi="Arial"/>
                <w:sz w:val="18"/>
                <w:szCs w:val="18"/>
                <w:b w:val="1"/>
                <w:bCs w:val="1"/>
                <w:color w:val="auto"/>
              </w:rPr>
              <w:t>Board</w:t>
            </w:r>
          </w:p>
        </w:tc>
        <w:tc>
          <w:tcPr>
            <w:tcW w:w="2620" w:type="dxa"/>
            <w:vAlign w:val="bottom"/>
            <w:shd w:val="clear" w:color="auto" w:fill="D9D9D9"/>
          </w:tcPr>
          <w:p>
            <w:pPr>
              <w:ind w:left="860"/>
              <w:spacing w:after="0"/>
              <w:rPr>
                <w:sz w:val="20"/>
                <w:szCs w:val="20"/>
                <w:color w:val="auto"/>
              </w:rPr>
            </w:pPr>
            <w:r>
              <w:rPr>
                <w:rFonts w:ascii="Arial" w:cs="Arial" w:eastAsia="Arial" w:hAnsi="Arial"/>
                <w:sz w:val="18"/>
                <w:szCs w:val="18"/>
                <w:b w:val="1"/>
                <w:bCs w:val="1"/>
                <w:color w:val="auto"/>
              </w:rPr>
              <w:t>Compensation</w:t>
            </w:r>
          </w:p>
        </w:tc>
        <w:tc>
          <w:tcPr>
            <w:tcW w:w="2620" w:type="dxa"/>
            <w:vAlign w:val="bottom"/>
            <w:shd w:val="clear" w:color="auto" w:fill="D9D9D9"/>
          </w:tcPr>
          <w:p>
            <w:pPr>
              <w:ind w:left="520"/>
              <w:spacing w:after="0"/>
              <w:rPr>
                <w:sz w:val="20"/>
                <w:szCs w:val="20"/>
                <w:color w:val="auto"/>
              </w:rPr>
            </w:pPr>
            <w:r>
              <w:rPr>
                <w:rFonts w:ascii="Arial" w:cs="Arial" w:eastAsia="Arial" w:hAnsi="Arial"/>
                <w:sz w:val="18"/>
                <w:szCs w:val="18"/>
                <w:b w:val="1"/>
                <w:bCs w:val="1"/>
                <w:color w:val="auto"/>
              </w:rPr>
              <w:t>Corporate Governance</w:t>
            </w:r>
          </w:p>
        </w:tc>
        <w:tc>
          <w:tcPr>
            <w:tcW w:w="2460" w:type="dxa"/>
            <w:vAlign w:val="bottom"/>
            <w:shd w:val="clear" w:color="auto" w:fill="D9D9D9"/>
          </w:tcPr>
          <w:p>
            <w:pPr>
              <w:ind w:left="160"/>
              <w:spacing w:after="0"/>
              <w:rPr>
                <w:sz w:val="20"/>
                <w:szCs w:val="20"/>
                <w:color w:val="auto"/>
              </w:rPr>
            </w:pPr>
            <w:r>
              <w:rPr>
                <w:rFonts w:ascii="Arial" w:cs="Arial" w:eastAsia="Arial" w:hAnsi="Arial"/>
                <w:sz w:val="18"/>
                <w:szCs w:val="18"/>
                <w:b w:val="1"/>
                <w:bCs w:val="1"/>
                <w:color w:val="auto"/>
              </w:rPr>
              <w:t>Audit/Finance</w:t>
            </w:r>
          </w:p>
        </w:tc>
      </w:tr>
      <w:tr>
        <w:trPr>
          <w:trHeight w:val="42"/>
        </w:trPr>
        <w:tc>
          <w:tcPr>
            <w:tcW w:w="1480" w:type="dxa"/>
            <w:vAlign w:val="bottom"/>
            <w:shd w:val="clear" w:color="auto" w:fill="D9D9D9"/>
          </w:tcPr>
          <w:p>
            <w:pPr>
              <w:spacing w:after="0"/>
              <w:rPr>
                <w:sz w:val="3"/>
                <w:szCs w:val="3"/>
                <w:color w:val="auto"/>
              </w:rPr>
            </w:pPr>
          </w:p>
        </w:tc>
        <w:tc>
          <w:tcPr>
            <w:tcW w:w="2620" w:type="dxa"/>
            <w:vAlign w:val="bottom"/>
            <w:shd w:val="clear" w:color="auto" w:fill="D9D9D9"/>
          </w:tcPr>
          <w:p>
            <w:pPr>
              <w:spacing w:after="0"/>
              <w:rPr>
                <w:sz w:val="3"/>
                <w:szCs w:val="3"/>
                <w:color w:val="auto"/>
              </w:rPr>
            </w:pPr>
          </w:p>
        </w:tc>
        <w:tc>
          <w:tcPr>
            <w:tcW w:w="2620" w:type="dxa"/>
            <w:vAlign w:val="bottom"/>
            <w:shd w:val="clear" w:color="auto" w:fill="D9D9D9"/>
          </w:tcPr>
          <w:p>
            <w:pPr>
              <w:spacing w:after="0"/>
              <w:rPr>
                <w:sz w:val="3"/>
                <w:szCs w:val="3"/>
                <w:color w:val="auto"/>
              </w:rPr>
            </w:pPr>
          </w:p>
        </w:tc>
        <w:tc>
          <w:tcPr>
            <w:tcW w:w="2460" w:type="dxa"/>
            <w:vAlign w:val="bottom"/>
            <w:shd w:val="clear" w:color="auto" w:fill="D9D9D9"/>
          </w:tcPr>
          <w:p>
            <w:pPr>
              <w:spacing w:after="0"/>
              <w:rPr>
                <w:sz w:val="3"/>
                <w:szCs w:val="3"/>
                <w:color w:val="auto"/>
              </w:rPr>
            </w:pPr>
          </w:p>
        </w:tc>
      </w:tr>
    </w:tbl>
    <w:p>
      <w:pPr>
        <w:spacing w:after="0" w:line="49" w:lineRule="exact"/>
        <w:rPr>
          <w:sz w:val="20"/>
          <w:szCs w:val="20"/>
          <w:color w:val="auto"/>
        </w:rPr>
      </w:pPr>
    </w:p>
    <w:p>
      <w:pPr>
        <w:sectPr>
          <w:pgSz w:w="11900" w:h="16838" w:orient="portrait"/>
          <w:cols w:equalWidth="0" w:num="1">
            <w:col w:w="11020"/>
          </w:cols>
          <w:pgMar w:left="440" w:top="263" w:right="439" w:bottom="1440" w:gutter="0" w:footer="0" w:header="0"/>
        </w:sectPr>
      </w:pPr>
    </w:p>
    <w:p>
      <w:pPr>
        <w:jc w:val="both"/>
        <w:ind w:left="1160" w:right="40" w:hanging="129"/>
        <w:spacing w:after="0" w:line="275" w:lineRule="auto"/>
        <w:tabs>
          <w:tab w:leader="none" w:pos="11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Overall responsibility for risk oversight, including cybersecurity risks</w:t>
      </w:r>
    </w:p>
    <w:p>
      <w:pPr>
        <w:spacing w:after="0" w:line="70" w:lineRule="exact"/>
        <w:rPr>
          <w:rFonts w:ascii="Arial" w:cs="Arial" w:eastAsia="Arial" w:hAnsi="Arial"/>
          <w:sz w:val="17"/>
          <w:szCs w:val="17"/>
          <w:color w:val="auto"/>
        </w:rPr>
      </w:pPr>
    </w:p>
    <w:p>
      <w:pPr>
        <w:ind w:left="1160" w:hanging="129"/>
        <w:spacing w:after="0" w:line="259" w:lineRule="auto"/>
        <w:tabs>
          <w:tab w:leader="none" w:pos="11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Assesses directly, through Board committees or through established processes and procedures, risks relevant to the Company</w:t>
      </w:r>
    </w:p>
    <w:p>
      <w:pPr>
        <w:spacing w:after="0" w:line="20" w:lineRule="exact"/>
        <w:rPr>
          <w:sz w:val="20"/>
          <w:szCs w:val="20"/>
          <w:color w:val="auto"/>
        </w:rPr>
      </w:pPr>
      <w:r>
        <w:rPr>
          <w:sz w:val="20"/>
          <w:szCs w:val="20"/>
          <w:color w:val="auto"/>
        </w:rPr>
        <w:br w:type="column"/>
      </w:r>
    </w:p>
    <w:p>
      <w:pPr>
        <w:ind w:left="157" w:hanging="157"/>
        <w:spacing w:after="0" w:line="238" w:lineRule="auto"/>
        <w:tabs>
          <w:tab w:leader="none" w:pos="157"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Responsible for overseeing compensation risks, including assessing possible risks from our compensation plans and policies for our executives and ensuring that our executive compensation is aligned with Company performance</w:t>
      </w:r>
    </w:p>
    <w:p>
      <w:pPr>
        <w:spacing w:after="0" w:line="104" w:lineRule="exact"/>
        <w:rPr>
          <w:rFonts w:ascii="Arial" w:cs="Arial" w:eastAsia="Arial" w:hAnsi="Arial"/>
          <w:sz w:val="18"/>
          <w:szCs w:val="18"/>
          <w:color w:val="auto"/>
        </w:rPr>
      </w:pPr>
    </w:p>
    <w:p>
      <w:pPr>
        <w:ind w:left="157" w:right="40" w:hanging="157"/>
        <w:spacing w:after="0"/>
        <w:tabs>
          <w:tab w:leader="none" w:pos="157"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Reviews a summary and assessment of such risks annually and in connection with discussions of various compensation elements and benefits throughout the year</w:t>
      </w:r>
    </w:p>
    <w:p>
      <w:pPr>
        <w:spacing w:after="0" w:line="20" w:lineRule="exact"/>
        <w:rPr>
          <w:sz w:val="20"/>
          <w:szCs w:val="20"/>
          <w:color w:val="auto"/>
        </w:rPr>
      </w:pPr>
      <w:r>
        <w:rPr>
          <w:sz w:val="20"/>
          <w:szCs w:val="20"/>
          <w:color w:val="auto"/>
        </w:rPr>
        <w:br w:type="column"/>
      </w:r>
    </w:p>
    <w:p>
      <w:pPr>
        <w:ind w:left="169" w:right="20" w:hanging="169"/>
        <w:spacing w:after="0"/>
        <w:tabs>
          <w:tab w:leader="none" w:pos="169"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Oversees our overall corporate governance, including Board and committee composition, Board size and structure, and our director independence</w:t>
      </w:r>
    </w:p>
    <w:p>
      <w:pPr>
        <w:spacing w:after="0" w:line="103" w:lineRule="exact"/>
        <w:rPr>
          <w:rFonts w:ascii="Arial" w:cs="Arial" w:eastAsia="Arial" w:hAnsi="Arial"/>
          <w:sz w:val="18"/>
          <w:szCs w:val="18"/>
          <w:color w:val="auto"/>
        </w:rPr>
      </w:pPr>
    </w:p>
    <w:p>
      <w:pPr>
        <w:ind w:left="169" w:hanging="169"/>
        <w:spacing w:after="0" w:line="275" w:lineRule="auto"/>
        <w:tabs>
          <w:tab w:leader="none" w:pos="169"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Reviews our Governance Principles annually pursuant to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-2931160</wp:posOffset>
            </wp:positionH>
            <wp:positionV relativeFrom="paragraph">
              <wp:posOffset>1256665</wp:posOffset>
            </wp:positionV>
            <wp:extent cx="582930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2930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61" w:right="1000" w:hanging="161"/>
        <w:spacing w:after="0" w:line="259" w:lineRule="auto"/>
        <w:tabs>
          <w:tab w:leader="none" w:pos="161"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Responsible for reviewing our major financial risk exposures, financial reporting, and monitors our credit and liquidity risk, and compliance risk</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1" w:lineRule="exact"/>
        <w:rPr>
          <w:rFonts w:ascii="Arial" w:cs="Arial" w:eastAsia="Arial" w:hAnsi="Arial"/>
          <w:sz w:val="17"/>
          <w:szCs w:val="17"/>
          <w:color w:val="auto"/>
        </w:rPr>
      </w:pPr>
    </w:p>
    <w:p>
      <w:pPr>
        <w:ind w:left="161" w:right="1020" w:hanging="161"/>
        <w:spacing w:after="0" w:line="242" w:lineRule="auto"/>
        <w:tabs>
          <w:tab w:leader="none" w:pos="161"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Meets regularly with our independent auditors and in executive session to facilitate a full and candid discussion of risk and other issues</w:t>
      </w:r>
    </w:p>
    <w:p>
      <w:pPr>
        <w:spacing w:after="0" w:line="1008" w:lineRule="exact"/>
        <w:rPr>
          <w:sz w:val="20"/>
          <w:szCs w:val="20"/>
          <w:color w:val="auto"/>
        </w:rPr>
      </w:pPr>
    </w:p>
    <w:p>
      <w:pPr>
        <w:sectPr>
          <w:pgSz w:w="11900" w:h="16838" w:orient="portrait"/>
          <w:cols w:equalWidth="0" w:num="4">
            <w:col w:w="3120" w:space="143"/>
            <w:col w:w="2217" w:space="51"/>
            <w:col w:w="2189" w:space="79"/>
            <w:col w:w="3221"/>
          </w:cols>
          <w:pgMar w:left="440" w:top="263" w:right="439" w:bottom="1440" w:gutter="0" w:footer="0" w:header="0"/>
          <w:type w:val="continuous"/>
        </w:sectPr>
      </w:pPr>
    </w:p>
    <w:p>
      <w:pPr>
        <w:spacing w:after="0" w:line="223" w:lineRule="exact"/>
        <w:rPr>
          <w:sz w:val="20"/>
          <w:szCs w:val="20"/>
          <w:color w:val="auto"/>
        </w:rPr>
      </w:pPr>
    </w:p>
    <w:p>
      <w:pPr>
        <w:ind w:left="920" w:right="1000"/>
        <w:spacing w:after="0" w:line="244" w:lineRule="auto"/>
        <w:rPr>
          <w:sz w:val="20"/>
          <w:szCs w:val="20"/>
          <w:color w:val="auto"/>
        </w:rPr>
      </w:pPr>
      <w:r>
        <w:rPr>
          <w:rFonts w:ascii="Arial" w:cs="Arial" w:eastAsia="Arial" w:hAnsi="Arial"/>
          <w:sz w:val="18"/>
          <w:szCs w:val="18"/>
          <w:color w:val="auto"/>
        </w:rPr>
        <w:t>Following a review of the Company’s current risk management systems and processes, the Board has concluded that the current allocation of oversight responsibilities between the Board and its committees is adequate, provided that the committees continue to coordinate their risk oversight responsibilities, share information appropriately with the other Board members, and provide timely and adequate reports to the full Board. The Board continually evaluates its risk oversight role.</w:t>
      </w:r>
    </w:p>
    <w:p>
      <w:pPr>
        <w:spacing w:after="0" w:line="1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Code of Conduct</w:t>
      </w:r>
    </w:p>
    <w:p>
      <w:pPr>
        <w:spacing w:after="0" w:line="171" w:lineRule="exact"/>
        <w:rPr>
          <w:sz w:val="20"/>
          <w:szCs w:val="20"/>
          <w:color w:val="auto"/>
        </w:rPr>
      </w:pPr>
    </w:p>
    <w:p>
      <w:pPr>
        <w:ind w:left="920" w:right="920"/>
        <w:spacing w:after="0"/>
        <w:rPr>
          <w:sz w:val="20"/>
          <w:szCs w:val="20"/>
          <w:color w:val="auto"/>
        </w:rPr>
      </w:pPr>
      <w:r>
        <w:rPr>
          <w:rFonts w:ascii="Arial" w:cs="Arial" w:eastAsia="Arial" w:hAnsi="Arial"/>
          <w:sz w:val="18"/>
          <w:szCs w:val="18"/>
          <w:color w:val="auto"/>
        </w:rPr>
        <w:t xml:space="preserve">The Company has adopted a Code of Conduct that applies to all directors, officers, and employees of the Company and any subsidiary of the Company and is available on the Company’s website,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by selecting “Investors” and then “Sustainability and Governance.” In addition, we have adopted policies and procedures for reporting and investigating suspected violations of the Code of Conduct. The Company intends to satisfy any future disclosure requirement under Item 5.05 of Form 8-K regarding an amendment to or waiver from application of or provisions of the Code of Conduct, that applies to the CEO or the CFO, by posting such information on our website, </w:t>
      </w:r>
      <w:r>
        <w:rPr>
          <w:rFonts w:ascii="Arial" w:cs="Arial" w:eastAsia="Arial" w:hAnsi="Arial"/>
          <w:sz w:val="18"/>
          <w:szCs w:val="18"/>
          <w:i w:val="1"/>
          <w:iCs w:val="1"/>
          <w:color w:val="auto"/>
        </w:rPr>
        <w:t>www.itron.com</w:t>
      </w:r>
      <w:r>
        <w:rPr>
          <w:rFonts w:ascii="Arial" w:cs="Arial" w:eastAsia="Arial" w:hAnsi="Arial"/>
          <w:sz w:val="18"/>
          <w:szCs w:val="18"/>
          <w:color w:val="auto"/>
        </w:rPr>
        <w: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-17-</w:t>
            </w:r>
          </w:p>
        </w:tc>
      </w:tr>
      <w:tr>
        <w:trPr>
          <w:trHeight w:val="233"/>
        </w:trPr>
        <w:tc>
          <w:tcPr>
            <w:tcW w:w="3160" w:type="dxa"/>
            <w:vAlign w:val="bottom"/>
            <w:tcBorders>
              <w:bottom w:val="single" w:sz="8" w:color="auto"/>
            </w:tcBorders>
          </w:tcPr>
          <w:p>
            <w:pPr>
              <w:spacing w:after="0"/>
              <w:rPr>
                <w:sz w:val="20"/>
                <w:szCs w:val="20"/>
                <w:color w:val="auto"/>
              </w:rPr>
            </w:pPr>
          </w:p>
        </w:tc>
        <w:tc>
          <w:tcPr>
            <w:tcW w:w="786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263" w:right="439" w:bottom="1440" w:gutter="0" w:footer="0" w:header="0"/>
          <w:type w:val="continuous"/>
        </w:sectPr>
      </w:pPr>
    </w:p>
    <w:bookmarkStart w:id="21" w:name="page22"/>
    <w:bookmarkEnd w:id="21"/>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Anti-Hedging Policy</w:t>
      </w:r>
    </w:p>
    <w:p>
      <w:pPr>
        <w:spacing w:after="0" w:line="185" w:lineRule="exact"/>
        <w:rPr>
          <w:sz w:val="20"/>
          <w:szCs w:val="20"/>
          <w:color w:val="auto"/>
        </w:rPr>
      </w:pPr>
    </w:p>
    <w:p>
      <w:pPr>
        <w:ind w:left="920" w:right="1120"/>
        <w:spacing w:after="0" w:line="247" w:lineRule="auto"/>
        <w:rPr>
          <w:sz w:val="20"/>
          <w:szCs w:val="20"/>
          <w:color w:val="auto"/>
        </w:rPr>
      </w:pPr>
      <w:r>
        <w:rPr>
          <w:rFonts w:ascii="Arial" w:cs="Arial" w:eastAsia="Arial" w:hAnsi="Arial"/>
          <w:sz w:val="18"/>
          <w:szCs w:val="18"/>
          <w:color w:val="auto"/>
        </w:rPr>
        <w:t xml:space="preserve">The Company has adopted an Anti-Hedging Policy that prohibits our directors, officers, and employees from entering into transactions involving our securities that are designed to hedge or offset any decrease in the market value of Itron securities.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COMPENSATION – Compensation Discussion and Analysis – Anti-Hedging Policy</w:t>
      </w:r>
      <w:r>
        <w:rPr>
          <w:rFonts w:ascii="Arial" w:cs="Arial" w:eastAsia="Arial" w:hAnsi="Arial"/>
          <w:sz w:val="18"/>
          <w:szCs w:val="18"/>
          <w:color w:val="auto"/>
        </w:rPr>
        <w:t>” in this proxy statement for more information on this policy.</w:t>
      </w:r>
    </w:p>
    <w:p>
      <w:pPr>
        <w:spacing w:after="0" w:line="17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Director Term Limit and Retirement Guidelines</w:t>
      </w:r>
    </w:p>
    <w:p>
      <w:pPr>
        <w:spacing w:after="0" w:line="185" w:lineRule="exact"/>
        <w:rPr>
          <w:sz w:val="20"/>
          <w:szCs w:val="20"/>
          <w:color w:val="auto"/>
        </w:rPr>
      </w:pPr>
    </w:p>
    <w:p>
      <w:pPr>
        <w:ind w:left="920" w:right="1000"/>
        <w:spacing w:after="0" w:line="244" w:lineRule="auto"/>
        <w:rPr>
          <w:sz w:val="20"/>
          <w:szCs w:val="20"/>
          <w:color w:val="auto"/>
        </w:rPr>
      </w:pPr>
      <w:r>
        <w:rPr>
          <w:rFonts w:ascii="Arial" w:cs="Arial" w:eastAsia="Arial" w:hAnsi="Arial"/>
          <w:sz w:val="18"/>
          <w:szCs w:val="18"/>
          <w:color w:val="auto"/>
        </w:rPr>
        <w:t>In 2022, the Board amended our Governance Principles to include a term limit provision to encourage Board refreshment. Non-executive directors will not be eligible to stand for re-election after serving as a director for five full terms on the Board, with limited exceptions. Additionally, the Board amended the retirement policy under which directors may not be nominated or appointed after age 75, unless the Board determines that it would be in the best interests of the Company’s shareholders to extend the director’s period of eligible service.</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Incentive Repayment (Clawback) Policy</w:t>
      </w:r>
    </w:p>
    <w:p>
      <w:pPr>
        <w:spacing w:after="0" w:line="185" w:lineRule="exact"/>
        <w:rPr>
          <w:sz w:val="20"/>
          <w:szCs w:val="20"/>
          <w:color w:val="auto"/>
        </w:rPr>
      </w:pPr>
    </w:p>
    <w:p>
      <w:pPr>
        <w:ind w:left="920" w:right="1000"/>
        <w:spacing w:after="0"/>
        <w:rPr>
          <w:sz w:val="20"/>
          <w:szCs w:val="20"/>
          <w:color w:val="auto"/>
        </w:rPr>
      </w:pPr>
      <w:r>
        <w:rPr>
          <w:rFonts w:ascii="Arial" w:cs="Arial" w:eastAsia="Arial" w:hAnsi="Arial"/>
          <w:sz w:val="18"/>
          <w:szCs w:val="18"/>
          <w:color w:val="auto"/>
        </w:rPr>
        <w:t>The Company has adopted a repayment or “clawback” policy, which provides that if a bonus or equity award (Award) is paid that is conditioned on meeting certain financial metrics, and subsequently, there is a required financial restatement, which, had the correct information been known at the time, would have resulted in a lower Award, then the Board has the right to demand repayment of the excess amount of the Award, net of taxes, from an executive officer who has received an Award. If the Board (or its delegated committee) determines that fraud has resulted in a material financial restatement, it is required that the Board demand repayment from the executive officer engaged in the fraud of the full Award, net of taxes. The Company intends to adopt a revised Clawback Policy in compliance with final rules from Nasdaq when they become effective.</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Director Nominations by Shareholders</w:t>
      </w:r>
    </w:p>
    <w:p>
      <w:pPr>
        <w:spacing w:after="0" w:line="185" w:lineRule="exact"/>
        <w:rPr>
          <w:sz w:val="20"/>
          <w:szCs w:val="20"/>
          <w:color w:val="auto"/>
        </w:rPr>
      </w:pPr>
    </w:p>
    <w:p>
      <w:pPr>
        <w:ind w:left="920" w:right="960"/>
        <w:spacing w:after="0"/>
        <w:rPr>
          <w:sz w:val="20"/>
          <w:szCs w:val="20"/>
          <w:color w:val="auto"/>
        </w:rPr>
      </w:pPr>
      <w:r>
        <w:rPr>
          <w:rFonts w:ascii="Arial" w:cs="Arial" w:eastAsia="Arial" w:hAnsi="Arial"/>
          <w:sz w:val="18"/>
          <w:szCs w:val="18"/>
          <w:color w:val="auto"/>
        </w:rPr>
        <w:t>In accordance with the Company’s Amended and Restated Bylaws, in order to nominate a director for election to the Board at an annual meeting of shareholders, a shareholder must deliver written notice of such nomination to the Corporate Secretary of the Company at the Company’s executive offices no fewer than 90 days nor more than 120 days prior to the date of the annual meeting (or if less than 60 days’ notice or prior public disclosure of the date of such annual meeting is given or made to the shareholders, not later than the tenth day following the day on which notice of the date of the annual meeting was mailed or public disclosure was made). The notice of a shareholder’s intention to nominate a director must include:</w:t>
      </w:r>
    </w:p>
    <w:p>
      <w:pPr>
        <w:spacing w:after="0" w:line="104" w:lineRule="exact"/>
        <w:rPr>
          <w:sz w:val="20"/>
          <w:szCs w:val="20"/>
          <w:color w:val="auto"/>
        </w:rPr>
      </w:pPr>
    </w:p>
    <w:p>
      <w:pPr>
        <w:ind w:left="1620" w:hanging="346"/>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name and address of the shareholder;</w:t>
      </w:r>
    </w:p>
    <w:p>
      <w:pPr>
        <w:spacing w:after="0" w:line="144" w:lineRule="exact"/>
        <w:rPr>
          <w:rFonts w:ascii="Arial" w:cs="Arial" w:eastAsia="Arial" w:hAnsi="Arial"/>
          <w:sz w:val="18"/>
          <w:szCs w:val="18"/>
          <w:color w:val="auto"/>
        </w:rPr>
      </w:pPr>
    </w:p>
    <w:p>
      <w:pPr>
        <w:ind w:left="1620" w:hanging="346"/>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representation that the shareholder is entitled to vote at the meeting at which directors will be elected;</w:t>
      </w:r>
    </w:p>
    <w:p>
      <w:pPr>
        <w:spacing w:after="0" w:line="144" w:lineRule="exact"/>
        <w:rPr>
          <w:rFonts w:ascii="Arial" w:cs="Arial" w:eastAsia="Arial" w:hAnsi="Arial"/>
          <w:sz w:val="18"/>
          <w:szCs w:val="18"/>
          <w:color w:val="auto"/>
        </w:rPr>
      </w:pPr>
    </w:p>
    <w:p>
      <w:pPr>
        <w:ind w:left="1620" w:hanging="346"/>
        <w:spacing w:after="0"/>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statement of the number of shares of the Company that are beneficially owned by the shareholder; and</w:t>
      </w:r>
    </w:p>
    <w:p>
      <w:pPr>
        <w:spacing w:after="0" w:line="117" w:lineRule="exact"/>
        <w:rPr>
          <w:rFonts w:ascii="Arial" w:cs="Arial" w:eastAsia="Arial" w:hAnsi="Arial"/>
          <w:sz w:val="18"/>
          <w:szCs w:val="18"/>
          <w:color w:val="auto"/>
        </w:rPr>
      </w:pPr>
    </w:p>
    <w:p>
      <w:pPr>
        <w:ind w:left="1620" w:right="1100" w:hanging="346"/>
        <w:spacing w:after="0" w:line="271"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representation that the shareholder intends to appear in person or by proxy at the meeting to nominate the person or persons specified in the notice;</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the following information with respect to the person nominated by the shareholder:</w:t>
      </w:r>
    </w:p>
    <w:p>
      <w:pPr>
        <w:spacing w:after="0" w:line="131" w:lineRule="exact"/>
        <w:rPr>
          <w:sz w:val="20"/>
          <w:szCs w:val="20"/>
          <w:color w:val="auto"/>
        </w:rPr>
      </w:pPr>
    </w:p>
    <w:p>
      <w:pPr>
        <w:ind w:left="1620" w:hanging="346"/>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name and address;</w:t>
      </w:r>
    </w:p>
    <w:p>
      <w:pPr>
        <w:spacing w:after="0" w:line="144" w:lineRule="exact"/>
        <w:rPr>
          <w:rFonts w:ascii="Arial" w:cs="Arial" w:eastAsia="Arial" w:hAnsi="Arial"/>
          <w:sz w:val="18"/>
          <w:szCs w:val="18"/>
          <w:color w:val="auto"/>
        </w:rPr>
      </w:pPr>
    </w:p>
    <w:p>
      <w:pPr>
        <w:ind w:left="1620" w:right="1340" w:hanging="346"/>
        <w:spacing w:after="0" w:line="271"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information regarding such nominee as would be required in a proxy statement filed pursuant to applicable SEC rules;</w:t>
      </w:r>
    </w:p>
    <w:p>
      <w:pPr>
        <w:spacing w:after="0" w:line="86" w:lineRule="exact"/>
        <w:rPr>
          <w:rFonts w:ascii="Arial" w:cs="Arial" w:eastAsia="Arial" w:hAnsi="Arial"/>
          <w:sz w:val="18"/>
          <w:szCs w:val="18"/>
          <w:color w:val="auto"/>
        </w:rPr>
      </w:pPr>
    </w:p>
    <w:p>
      <w:pPr>
        <w:ind w:left="1620" w:right="1080" w:hanging="346"/>
        <w:spacing w:after="0" w:line="271" w:lineRule="auto"/>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description of any arrangements or understandings between the shareholder and the nominee and any other persons (including their names), pursuant to which the nomination is made; and</w:t>
      </w:r>
    </w:p>
    <w:p>
      <w:pPr>
        <w:spacing w:after="0" w:line="72" w:lineRule="exact"/>
        <w:rPr>
          <w:rFonts w:ascii="Arial" w:cs="Arial" w:eastAsia="Arial" w:hAnsi="Arial"/>
          <w:sz w:val="18"/>
          <w:szCs w:val="18"/>
          <w:color w:val="auto"/>
        </w:rPr>
      </w:pPr>
    </w:p>
    <w:p>
      <w:pPr>
        <w:ind w:left="1620" w:hanging="346"/>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consent of such nominee to serve as a director, if elected.</w:t>
      </w:r>
    </w:p>
    <w:p>
      <w:pPr>
        <w:spacing w:after="0" w:line="185" w:lineRule="exact"/>
        <w:rPr>
          <w:sz w:val="20"/>
          <w:szCs w:val="20"/>
          <w:color w:val="auto"/>
        </w:rPr>
      </w:pPr>
    </w:p>
    <w:p>
      <w:pPr>
        <w:ind w:left="920" w:right="1140"/>
        <w:spacing w:after="0" w:line="271" w:lineRule="auto"/>
        <w:rPr>
          <w:sz w:val="20"/>
          <w:szCs w:val="20"/>
          <w:color w:val="auto"/>
        </w:rPr>
      </w:pPr>
      <w:r>
        <w:rPr>
          <w:rFonts w:ascii="Arial" w:cs="Arial" w:eastAsia="Arial" w:hAnsi="Arial"/>
          <w:sz w:val="18"/>
          <w:szCs w:val="18"/>
          <w:color w:val="auto"/>
        </w:rPr>
        <w:t>Any notice of director nomination submitted to Itron must include the additional information required by Rule 14a-19(b) under the Exchange Act.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-18-</w:t>
            </w:r>
          </w:p>
        </w:tc>
      </w:tr>
      <w:tr>
        <w:trPr>
          <w:trHeight w:val="219"/>
        </w:trPr>
        <w:tc>
          <w:tcPr>
            <w:tcW w:w="316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22" w:name="page23"/>
    <w:bookmarkEnd w:id="22"/>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right="980"/>
        <w:spacing w:after="0" w:line="239" w:lineRule="auto"/>
        <w:rPr>
          <w:sz w:val="20"/>
          <w:szCs w:val="20"/>
          <w:color w:val="auto"/>
        </w:rPr>
      </w:pPr>
      <w:r>
        <w:rPr>
          <w:rFonts w:ascii="Arial" w:cs="Arial" w:eastAsia="Arial" w:hAnsi="Arial"/>
          <w:sz w:val="18"/>
          <w:szCs w:val="18"/>
          <w:color w:val="auto"/>
        </w:rPr>
        <w:t>Other directors and senior management of the Company may also recommend director nominees for consideration by the Nominating and Corporate Governance Committee. The Nominating and Corporate Governance Committee evaluates director nominees, including nominees that are submitted to the Company by a shareholder, taking into consideration the qualification criteria set forth under “</w:t>
      </w:r>
      <w:r>
        <w:rPr>
          <w:rFonts w:ascii="Arial" w:cs="Arial" w:eastAsia="Arial" w:hAnsi="Arial"/>
          <w:sz w:val="18"/>
          <w:szCs w:val="18"/>
          <w:i w:val="1"/>
          <w:iCs w:val="1"/>
          <w:color w:val="auto"/>
        </w:rPr>
        <w:t>ELECTION OF DIRECTORS – Director and Director</w:t>
      </w:r>
      <w:r>
        <w:rPr>
          <w:rFonts w:ascii="Arial" w:cs="Arial" w:eastAsia="Arial" w:hAnsi="Arial"/>
          <w:sz w:val="18"/>
          <w:szCs w:val="18"/>
          <w:color w:val="auto"/>
        </w:rPr>
        <w:t xml:space="preserve"> </w:t>
      </w:r>
      <w:r>
        <w:rPr>
          <w:rFonts w:ascii="Arial" w:cs="Arial" w:eastAsia="Arial" w:hAnsi="Arial"/>
          <w:sz w:val="18"/>
          <w:szCs w:val="18"/>
          <w:i w:val="1"/>
          <w:iCs w:val="1"/>
          <w:color w:val="auto"/>
        </w:rPr>
        <w:t>Nominee Qualifications</w:t>
      </w:r>
      <w:r>
        <w:rPr>
          <w:rFonts w:ascii="Arial" w:cs="Arial" w:eastAsia="Arial" w:hAnsi="Arial"/>
          <w:sz w:val="18"/>
          <w:szCs w:val="18"/>
          <w:color w:val="auto"/>
        </w:rPr>
        <w:t>” in this proxy statement. In the event of a shareholder recommendation, the Nominating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Corporate Governance Committee screens and evaluates the person recommended in the same manner as other candidates. In addition, the Nominating and Corporate Governance Committee determines if the proposed director nominee will have sufficient time available to effectively carry out his or her Board duties and responsibilities. The Nominating and Corporate Governance Committee may then recommend the director candidate to the Board for its consideration, if deemed appropriate.</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Shareholder Communications with the Board</w:t>
      </w:r>
    </w:p>
    <w:p>
      <w:pPr>
        <w:spacing w:after="0" w:line="185" w:lineRule="exact"/>
        <w:rPr>
          <w:sz w:val="20"/>
          <w:szCs w:val="20"/>
          <w:color w:val="auto"/>
        </w:rPr>
      </w:pPr>
    </w:p>
    <w:p>
      <w:pPr>
        <w:ind w:left="920" w:right="960"/>
        <w:spacing w:after="0"/>
        <w:rPr>
          <w:sz w:val="20"/>
          <w:szCs w:val="20"/>
          <w:color w:val="auto"/>
        </w:rPr>
      </w:pPr>
      <w:r>
        <w:rPr>
          <w:rFonts w:ascii="Arial" w:cs="Arial" w:eastAsia="Arial" w:hAnsi="Arial"/>
          <w:sz w:val="18"/>
          <w:szCs w:val="18"/>
          <w:color w:val="auto"/>
        </w:rPr>
        <w:t xml:space="preserve">The Company’s Board provides a process whereby shareholders may contact the Board or any committee as a group or any committee Chair or individual director, by email addressed to </w:t>
      </w:r>
      <w:r>
        <w:rPr>
          <w:rFonts w:ascii="Arial" w:cs="Arial" w:eastAsia="Arial" w:hAnsi="Arial"/>
          <w:sz w:val="18"/>
          <w:szCs w:val="18"/>
          <w:i w:val="1"/>
          <w:iCs w:val="1"/>
          <w:color w:val="auto"/>
        </w:rPr>
        <w:t>boardofdirectors@itron.com</w:t>
      </w:r>
      <w:r>
        <w:rPr>
          <w:rFonts w:ascii="Arial" w:cs="Arial" w:eastAsia="Arial" w:hAnsi="Arial"/>
          <w:sz w:val="18"/>
          <w:szCs w:val="18"/>
          <w:color w:val="auto"/>
        </w:rPr>
        <w:t xml:space="preserve">. Shareholders should clearly specify in each communication the name of the director to whom the communication is addressed. Shareholders may also write to the Board or any committee as a group or any committee Chair or individual director by sending the communication to: Itron, Inc., Attn: Corporate Secretary, 2111 N. Molter Road, Liberty Lake, WA 99019. Communications may also be submitted through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by selecting “Investors,” “Sustainability and Governance,” and then “Contact the Board.”</w:t>
      </w:r>
    </w:p>
    <w:p>
      <w:pPr>
        <w:spacing w:after="0" w:line="144" w:lineRule="exact"/>
        <w:rPr>
          <w:sz w:val="20"/>
          <w:szCs w:val="20"/>
          <w:color w:val="auto"/>
        </w:rPr>
      </w:pPr>
    </w:p>
    <w:p>
      <w:pPr>
        <w:ind w:left="920" w:right="1380"/>
        <w:spacing w:after="0" w:line="244" w:lineRule="auto"/>
        <w:rPr>
          <w:sz w:val="20"/>
          <w:szCs w:val="20"/>
          <w:color w:val="auto"/>
        </w:rPr>
      </w:pPr>
      <w:r>
        <w:rPr>
          <w:rFonts w:ascii="Arial" w:cs="Arial" w:eastAsia="Arial" w:hAnsi="Arial"/>
          <w:sz w:val="18"/>
          <w:szCs w:val="18"/>
          <w:color w:val="auto"/>
        </w:rPr>
        <w:t xml:space="preserve">Shareholder communications are delivered directly to the Corporate Secretary of the Company, who then determines whether to forward such communications to the specified director addressees. You can access a description of the process that the Corporate Secretary uses for determining whether to forward shareholders’ communications to directors at our website,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“Investors,” “Sustainability and Governance,” and then “Contact the Board.”</w:t>
      </w:r>
    </w:p>
    <w:p>
      <w:pPr>
        <w:spacing w:after="0" w:line="136" w:lineRule="exact"/>
        <w:rPr>
          <w:sz w:val="20"/>
          <w:szCs w:val="20"/>
          <w:color w:val="auto"/>
        </w:rPr>
      </w:pPr>
    </w:p>
    <w:p>
      <w:pPr>
        <w:ind w:left="920" w:right="1060"/>
        <w:spacing w:after="0" w:line="244" w:lineRule="auto"/>
        <w:rPr>
          <w:sz w:val="20"/>
          <w:szCs w:val="20"/>
          <w:color w:val="auto"/>
        </w:rPr>
      </w:pPr>
      <w:r>
        <w:rPr>
          <w:rFonts w:ascii="Arial" w:cs="Arial" w:eastAsia="Arial" w:hAnsi="Arial"/>
          <w:sz w:val="18"/>
          <w:szCs w:val="18"/>
          <w:color w:val="auto"/>
        </w:rPr>
        <w:t>Shareholders wishing to submit proposals for inclusion in the proxy statement relating to the 2024 annual shareholders meeting should follow the procedures specified under “</w:t>
      </w:r>
      <w:r>
        <w:rPr>
          <w:rFonts w:ascii="Arial" w:cs="Arial" w:eastAsia="Arial" w:hAnsi="Arial"/>
          <w:sz w:val="18"/>
          <w:szCs w:val="18"/>
          <w:i w:val="1"/>
          <w:iCs w:val="1"/>
          <w:color w:val="auto"/>
        </w:rPr>
        <w:t>SHAREHOLDER PROPOSALS FOR THE</w:t>
      </w:r>
      <w:r>
        <w:rPr>
          <w:rFonts w:ascii="Arial" w:cs="Arial" w:eastAsia="Arial" w:hAnsi="Arial"/>
          <w:sz w:val="18"/>
          <w:szCs w:val="18"/>
          <w:color w:val="auto"/>
        </w:rPr>
        <w:t xml:space="preserve"> </w:t>
      </w:r>
      <w:r>
        <w:rPr>
          <w:rFonts w:ascii="Arial" w:cs="Arial" w:eastAsia="Arial" w:hAnsi="Arial"/>
          <w:sz w:val="18"/>
          <w:szCs w:val="18"/>
          <w:i w:val="1"/>
          <w:iCs w:val="1"/>
          <w:color w:val="auto"/>
        </w:rPr>
        <w:t>2024 ANNUAL MEETING</w:t>
      </w:r>
      <w:r>
        <w:rPr>
          <w:rFonts w:ascii="Arial" w:cs="Arial" w:eastAsia="Arial" w:hAnsi="Arial"/>
          <w:sz w:val="18"/>
          <w:szCs w:val="18"/>
          <w:color w:val="auto"/>
        </w:rPr>
        <w:t>” in this proxy statement. Shareholders wishing to nominate directors should follow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specified under “</w:t>
      </w:r>
      <w:r>
        <w:rPr>
          <w:rFonts w:ascii="Arial" w:cs="Arial" w:eastAsia="Arial" w:hAnsi="Arial"/>
          <w:sz w:val="18"/>
          <w:szCs w:val="18"/>
          <w:i w:val="1"/>
          <w:iCs w:val="1"/>
          <w:color w:val="auto"/>
        </w:rPr>
        <w:t>CORPORATE GOVERNANCE</w:t>
      </w:r>
      <w:r>
        <w:rPr>
          <w:rFonts w:ascii="Arial" w:cs="Arial" w:eastAsia="Arial" w:hAnsi="Arial"/>
          <w:sz w:val="18"/>
          <w:szCs w:val="18"/>
          <w:color w:val="auto"/>
        </w:rPr>
        <w:t xml:space="preserve"> – </w:t>
      </w:r>
      <w:r>
        <w:rPr>
          <w:rFonts w:ascii="Arial" w:cs="Arial" w:eastAsia="Arial" w:hAnsi="Arial"/>
          <w:sz w:val="18"/>
          <w:szCs w:val="18"/>
          <w:i w:val="1"/>
          <w:iCs w:val="1"/>
          <w:color w:val="auto"/>
        </w:rPr>
        <w:t>Director Nominations by Shareholders</w:t>
      </w:r>
      <w:r>
        <w:rPr>
          <w:rFonts w:ascii="Arial" w:cs="Arial" w:eastAsia="Arial" w:hAnsi="Arial"/>
          <w:sz w:val="18"/>
          <w:szCs w:val="18"/>
          <w:color w:val="auto"/>
        </w:rPr>
        <w:t>” in this proxy statement.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-19-</w:t>
            </w:r>
          </w:p>
        </w:tc>
      </w:tr>
      <w:tr>
        <w:trPr>
          <w:trHeight w:val="233"/>
        </w:trPr>
        <w:tc>
          <w:tcPr>
            <w:tcW w:w="3160" w:type="dxa"/>
            <w:vAlign w:val="bottom"/>
            <w:tcBorders>
              <w:bottom w:val="single" w:sz="8" w:color="auto"/>
            </w:tcBorders>
          </w:tcPr>
          <w:p>
            <w:pPr>
              <w:spacing w:after="0"/>
              <w:rPr>
                <w:sz w:val="20"/>
                <w:szCs w:val="20"/>
                <w:color w:val="auto"/>
              </w:rPr>
            </w:pPr>
          </w:p>
        </w:tc>
        <w:tc>
          <w:tcPr>
            <w:tcW w:w="786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263" w:right="439" w:bottom="1440" w:gutter="0" w:footer="0" w:header="0"/>
        </w:sectPr>
      </w:pPr>
    </w:p>
    <w:bookmarkStart w:id="23" w:name="page24"/>
    <w:bookmarkEnd w:id="23"/>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PROPOSAL 2 – ADVISORY APPROVAL OF EXECUTIVE COMPENSATION (Say-on-Pay)</w:t>
      </w:r>
    </w:p>
    <w:p>
      <w:pPr>
        <w:spacing w:after="0" w:line="185" w:lineRule="exact"/>
        <w:rPr>
          <w:sz w:val="20"/>
          <w:szCs w:val="20"/>
          <w:color w:val="auto"/>
        </w:rPr>
      </w:pPr>
    </w:p>
    <w:p>
      <w:pPr>
        <w:ind w:left="920" w:right="960"/>
        <w:spacing w:after="0"/>
        <w:rPr>
          <w:sz w:val="20"/>
          <w:szCs w:val="20"/>
          <w:color w:val="auto"/>
        </w:rPr>
      </w:pPr>
      <w:r>
        <w:rPr>
          <w:rFonts w:ascii="Arial" w:cs="Arial" w:eastAsia="Arial" w:hAnsi="Arial"/>
          <w:sz w:val="18"/>
          <w:szCs w:val="18"/>
          <w:color w:val="auto"/>
        </w:rPr>
        <w:t>We are asking our shareholders to approve a non-binding advisory resolution on the Company’s executive compensation programs for our named executive officers (NEOs) (commonly known as “say-on-pay”) as we have described them in this proxy statement. Although this advisory vote is non-binding, the Board and the Compensation Committee will take into account the outcome of the vote when considering future compensation decisions for our executives. As discussed in the Compensation Discussion and Analysis (CD&amp;A) section of this proxy statement, we believe our compensation programs are reasonable, competitive and strongly focused on pay-for-performance principles that will result in the creation of long-term shareholder value. Some of the features of our compensation programs that illustrate our philosophy are:</w:t>
      </w:r>
    </w:p>
    <w:p>
      <w:pPr>
        <w:spacing w:after="0" w:line="140" w:lineRule="exact"/>
        <w:rPr>
          <w:sz w:val="20"/>
          <w:szCs w:val="20"/>
          <w:color w:val="auto"/>
        </w:rPr>
      </w:pPr>
    </w:p>
    <w:p>
      <w:pPr>
        <w:ind w:left="1620" w:right="980" w:hanging="346"/>
        <w:spacing w:after="0" w:line="253" w:lineRule="auto"/>
        <w:tabs>
          <w:tab w:leader="none" w:pos="1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significant portion of an NEO’s compensation is at-risk or performance-based and subject to the Company’s operating and financial performance. We consider annual cash-based incentives, equity long-term incentives, and stock options to be performance-based, because each of these three elements is valuable to the executive only if performance goals are achieved and/or our share price improves. In fiscal year 2022, the executive compensation package (base salary and short- and long-term incentives at target) included 83% of at-risk compensation for the CEO and an average of 70% of at-risk compensation for the other NEOs. Our long-term incentive plan (LTIP) for equity awards granted under our Amended and Restated 2010 Stock Incentive Plan (A&amp;R 2010 Plan) or Second Amended and Restated 2010 Stock Incentive Plan (Second A&amp;R 2010 Plan), as applicable, has three-year performance periods, with one-year averages determined each year for measurement purposes, to encourage NEOs to make decisions that align our long-term goals with shareholder interests and to discourage excessive risk taking.</w:t>
      </w:r>
    </w:p>
    <w:p>
      <w:pPr>
        <w:spacing w:after="0" w:line="136" w:lineRule="exact"/>
        <w:rPr>
          <w:rFonts w:ascii="Arial" w:cs="Arial" w:eastAsia="Arial" w:hAnsi="Arial"/>
          <w:sz w:val="17"/>
          <w:szCs w:val="17"/>
          <w:color w:val="auto"/>
        </w:rPr>
      </w:pPr>
    </w:p>
    <w:p>
      <w:pPr>
        <w:ind w:left="1620" w:right="1040" w:hanging="346"/>
        <w:spacing w:after="0" w:line="301" w:lineRule="auto"/>
        <w:tabs>
          <w:tab w:leader="none" w:pos="1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Stock ownership guidelines require executive officers who are NEOs to acquire and hold certain amounts of Itron stock to further strengthen alignment of management’s interest with those of our shareholders.</w:t>
      </w:r>
    </w:p>
    <w:p>
      <w:pPr>
        <w:spacing w:after="0" w:line="103" w:lineRule="exact"/>
        <w:rPr>
          <w:rFonts w:ascii="Arial" w:cs="Arial" w:eastAsia="Arial" w:hAnsi="Arial"/>
          <w:sz w:val="17"/>
          <w:szCs w:val="17"/>
          <w:color w:val="auto"/>
        </w:rPr>
      </w:pPr>
    </w:p>
    <w:p>
      <w:pPr>
        <w:ind w:left="1620" w:right="1080" w:hanging="346"/>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established an Incentive Repayment (Clawback) Policy that covers awards under all of our incentive programs, and provides that if a bonus or equity award is paid that is conditional on meeting certain financial metrics, and subsequently, there is a required material financial restatement, which, had the correct information been known at the time, would have resulted in a lower award, then the Board (or its delegated committee) has the right to demand repayment of the excess amount of the award, net of taxes. If the Board (or its delegated committee) determines that fraud has resulted in a material financial restatement, the Board is required to demand repayment of the full award, net of taxes.</w:t>
      </w:r>
    </w:p>
    <w:p>
      <w:pPr>
        <w:spacing w:after="0" w:line="144" w:lineRule="exact"/>
        <w:rPr>
          <w:rFonts w:ascii="Arial" w:cs="Arial" w:eastAsia="Arial" w:hAnsi="Arial"/>
          <w:sz w:val="18"/>
          <w:szCs w:val="18"/>
          <w:color w:val="auto"/>
        </w:rPr>
      </w:pPr>
    </w:p>
    <w:p>
      <w:pPr>
        <w:ind w:left="1620" w:hanging="346"/>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maintain our long-standing commitment to strong corporate governance by continuing our policies of</w:t>
      </w:r>
    </w:p>
    <w:p>
      <w:pPr>
        <w:spacing w:after="0" w:line="13" w:lineRule="exact"/>
        <w:rPr>
          <w:rFonts w:ascii="Arial" w:cs="Arial" w:eastAsia="Arial" w:hAnsi="Arial"/>
          <w:sz w:val="18"/>
          <w:szCs w:val="18"/>
          <w:color w:val="auto"/>
        </w:rPr>
      </w:pPr>
    </w:p>
    <w:p>
      <w:pPr>
        <w:ind w:left="1620" w:right="1120"/>
        <w:spacing w:after="0" w:line="242" w:lineRule="auto"/>
        <w:rPr>
          <w:rFonts w:ascii="Arial" w:cs="Arial" w:eastAsia="Arial" w:hAnsi="Arial"/>
          <w:sz w:val="18"/>
          <w:szCs w:val="18"/>
          <w:color w:val="auto"/>
        </w:rPr>
      </w:pPr>
      <w:r>
        <w:rPr>
          <w:rFonts w:ascii="Arial" w:cs="Arial" w:eastAsia="Arial" w:hAnsi="Arial"/>
          <w:sz w:val="18"/>
          <w:szCs w:val="18"/>
          <w:color w:val="auto"/>
        </w:rPr>
        <w:t>(i) separate Board Chair and CEO roles, (ii) majority voting for directors, (iii) all independent Board members (except our CEO) and all independent committee members, (iv) executive sessions of independent directors, and (v) prohibition on hedging or pledging of Itron stock by our executive officers.</w:t>
      </w:r>
    </w:p>
    <w:p>
      <w:pPr>
        <w:spacing w:after="0" w:line="138" w:lineRule="exact"/>
        <w:rPr>
          <w:rFonts w:ascii="Arial" w:cs="Arial" w:eastAsia="Arial" w:hAnsi="Arial"/>
          <w:sz w:val="18"/>
          <w:szCs w:val="18"/>
          <w:color w:val="auto"/>
        </w:rPr>
      </w:pPr>
    </w:p>
    <w:p>
      <w:pPr>
        <w:ind w:left="1620" w:right="960" w:hanging="346"/>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compensation of our NEOs varies depending upon the achievement of pre-established performance goals determined by the Compensation Committee (or the independent members of the Board, for the CEO), which are intended to serve as incentives for our NEOs. When performance does not meet the pre-established target goals then the amount of compensation paid to our executives is correspondingly reduced or eliminated. Conversely, when the Company’s operating and financial performance meets or exceeds the pre-established performance metrics, then the amount of compensation paid to our executives increases.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The 2022 Executive Compensation Program in Detail</w:t>
      </w:r>
      <w:r>
        <w:rPr>
          <w:rFonts w:ascii="Arial" w:cs="Arial" w:eastAsia="Arial" w:hAnsi="Arial"/>
          <w:sz w:val="18"/>
          <w:szCs w:val="18"/>
          <w:color w:val="auto"/>
        </w:rPr>
        <w:t>” in the CD&amp;A.</w:t>
      </w:r>
    </w:p>
    <w:p>
      <w:pPr>
        <w:spacing w:after="0" w:line="158" w:lineRule="exact"/>
        <w:rPr>
          <w:sz w:val="20"/>
          <w:szCs w:val="20"/>
          <w:color w:val="auto"/>
        </w:rPr>
      </w:pPr>
    </w:p>
    <w:p>
      <w:pPr>
        <w:ind w:left="920" w:right="1120"/>
        <w:spacing w:after="0" w:line="244" w:lineRule="auto"/>
        <w:rPr>
          <w:sz w:val="20"/>
          <w:szCs w:val="20"/>
          <w:color w:val="auto"/>
        </w:rPr>
      </w:pPr>
      <w:r>
        <w:rPr>
          <w:rFonts w:ascii="Arial" w:cs="Arial" w:eastAsia="Arial" w:hAnsi="Arial"/>
          <w:sz w:val="18"/>
          <w:szCs w:val="18"/>
          <w:color w:val="auto"/>
        </w:rPr>
        <w:t>We believe our executive compensation policies have enabled us to retain and attract exceptional senior executives whose talent and experience have helped Itron become a leader in our industry. Our Compensation Committee (and for the CEO compensation, also the independent members of the Board), which provides overall direction for our compensation programs, believes the fiscal year 2022 compensation paid to our NEOs is reasonable and appropriate and adequately reflects the Company’s overall performance in 2022.</w:t>
      </w:r>
    </w:p>
    <w:p>
      <w:pPr>
        <w:spacing w:after="0" w:line="136" w:lineRule="exact"/>
        <w:rPr>
          <w:sz w:val="20"/>
          <w:szCs w:val="20"/>
          <w:color w:val="auto"/>
        </w:rPr>
      </w:pPr>
    </w:p>
    <w:p>
      <w:pPr>
        <w:ind w:left="920" w:right="1100"/>
        <w:spacing w:after="0" w:line="271" w:lineRule="auto"/>
        <w:rPr>
          <w:sz w:val="20"/>
          <w:szCs w:val="20"/>
          <w:color w:val="auto"/>
        </w:rPr>
      </w:pPr>
      <w:r>
        <w:rPr>
          <w:rFonts w:ascii="Arial" w:cs="Arial" w:eastAsia="Arial" w:hAnsi="Arial"/>
          <w:sz w:val="18"/>
          <w:szCs w:val="18"/>
          <w:color w:val="auto"/>
        </w:rPr>
        <w:t>Shareholders are encouraged to read the full details of our executive compensation programs as described in the “</w:t>
      </w:r>
      <w:r>
        <w:rPr>
          <w:rFonts w:ascii="Arial" w:cs="Arial" w:eastAsia="Arial" w:hAnsi="Arial"/>
          <w:sz w:val="18"/>
          <w:szCs w:val="18"/>
          <w:i w:val="1"/>
          <w:iCs w:val="1"/>
          <w:color w:val="auto"/>
        </w:rPr>
        <w:t>EXECUTIVE COMPENSATION</w:t>
      </w:r>
      <w:r>
        <w:rPr>
          <w:rFonts w:ascii="Arial" w:cs="Arial" w:eastAsia="Arial" w:hAnsi="Arial"/>
          <w:sz w:val="18"/>
          <w:szCs w:val="18"/>
          <w:color w:val="auto"/>
        </w:rPr>
        <w:t>” section of this proxy statement.</w:t>
      </w:r>
    </w:p>
    <w:p>
      <w:pPr>
        <w:spacing w:after="0" w:line="113" w:lineRule="exact"/>
        <w:rPr>
          <w:sz w:val="20"/>
          <w:szCs w:val="20"/>
          <w:color w:val="auto"/>
        </w:rPr>
      </w:pPr>
    </w:p>
    <w:p>
      <w:pPr>
        <w:ind w:left="920" w:right="1160"/>
        <w:spacing w:after="0" w:line="301" w:lineRule="auto"/>
        <w:rPr>
          <w:sz w:val="20"/>
          <w:szCs w:val="20"/>
          <w:color w:val="auto"/>
        </w:rPr>
      </w:pPr>
      <w:r>
        <w:rPr>
          <w:rFonts w:ascii="Arial" w:cs="Arial" w:eastAsia="Arial" w:hAnsi="Arial"/>
          <w:sz w:val="17"/>
          <w:szCs w:val="17"/>
          <w:color w:val="auto"/>
        </w:rPr>
        <w:t>Our shareholders approved a proposal by the Board at the May 12, 2017 annual meeting of shareholders to hold our advisory vote on executive compensation annually, and the Board has adopted a policy consistent with this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-20-</w:t>
            </w:r>
          </w:p>
        </w:tc>
      </w:tr>
      <w:tr>
        <w:trPr>
          <w:trHeight w:val="233"/>
        </w:trPr>
        <w:tc>
          <w:tcPr>
            <w:tcW w:w="3160" w:type="dxa"/>
            <w:vAlign w:val="bottom"/>
            <w:tcBorders>
              <w:bottom w:val="single" w:sz="8" w:color="auto"/>
            </w:tcBorders>
          </w:tcPr>
          <w:p>
            <w:pPr>
              <w:spacing w:after="0"/>
              <w:rPr>
                <w:sz w:val="20"/>
                <w:szCs w:val="20"/>
                <w:color w:val="auto"/>
              </w:rPr>
            </w:pPr>
          </w:p>
        </w:tc>
        <w:tc>
          <w:tcPr>
            <w:tcW w:w="786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263" w:right="439" w:bottom="1440" w:gutter="0" w:footer="0" w:header="0"/>
        </w:sectPr>
      </w:pPr>
    </w:p>
    <w:bookmarkStart w:id="24" w:name="page25"/>
    <w:bookmarkEnd w:id="24"/>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right="1620"/>
        <w:spacing w:after="0" w:line="253" w:lineRule="auto"/>
        <w:rPr>
          <w:sz w:val="20"/>
          <w:szCs w:val="20"/>
          <w:color w:val="auto"/>
        </w:rPr>
      </w:pPr>
      <w:r>
        <w:rPr>
          <w:rFonts w:ascii="Arial" w:cs="Arial" w:eastAsia="Arial" w:hAnsi="Arial"/>
          <w:sz w:val="18"/>
          <w:szCs w:val="18"/>
          <w:color w:val="auto"/>
        </w:rPr>
        <w:t>determination. Unless the Board modifies this policy, including as a result of votes cast in connection with Proposal No. 3 in this proxy statement, the next say-on-pay vote will be held at our 2024 annual meeting of shareholders.</w:t>
      </w:r>
    </w:p>
    <w:p>
      <w:pPr>
        <w:spacing w:after="0" w:line="2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the reasons provided above, we recommend that the shareholders vote in favor of the following resolution:</w:t>
      </w:r>
    </w:p>
    <w:p>
      <w:pPr>
        <w:spacing w:after="0" w:line="185" w:lineRule="exact"/>
        <w:rPr>
          <w:sz w:val="20"/>
          <w:szCs w:val="20"/>
          <w:color w:val="auto"/>
        </w:rPr>
      </w:pPr>
    </w:p>
    <w:p>
      <w:pPr>
        <w:ind w:left="1280" w:right="1080"/>
        <w:spacing w:after="0" w:line="266" w:lineRule="auto"/>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the shareholders approve, on a non-binding advisory basis, the compensation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named executive officers, as disclosed in the Compensation Discussion and Analysis section of the Company’s proxy statement for the Annual Meeting, which disclosure includes the Executive Compensation Tables, and the accompanying footnotes and narrative disclosures within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19050</wp:posOffset>
            </wp:positionV>
            <wp:extent cx="248285" cy="5918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8285" cy="591820"/>
                    </a:xfrm>
                    <a:prstGeom prst="rect">
                      <a:avLst/>
                    </a:prstGeom>
                    <a:noFill/>
                  </pic:spPr>
                </pic:pic>
              </a:graphicData>
            </a:graphic>
          </wp:anchor>
        </w:drawing>
      </w:r>
    </w:p>
    <w:p>
      <w:pPr>
        <w:spacing w:after="0" w:line="207"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The Board recommends that shareholders vote</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“FOR” the approval of the compensation paid to</w:t>
      </w:r>
    </w:p>
    <w:p>
      <w:pPr>
        <w:ind w:left="3840"/>
        <w:spacing w:after="0"/>
        <w:rPr>
          <w:sz w:val="20"/>
          <w:szCs w:val="20"/>
          <w:color w:val="auto"/>
        </w:rPr>
      </w:pPr>
      <w:r>
        <w:rPr>
          <w:rFonts w:ascii="Arial" w:cs="Arial" w:eastAsia="Arial" w:hAnsi="Arial"/>
          <w:sz w:val="18"/>
          <w:szCs w:val="18"/>
          <w:b w:val="1"/>
          <w:bCs w:val="1"/>
          <w:color w:val="auto"/>
        </w:rPr>
        <w:t>our named executive officers in fiscal year 2022.</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-21-</w:t>
            </w:r>
          </w:p>
        </w:tc>
      </w:tr>
      <w:tr>
        <w:trPr>
          <w:trHeight w:val="219"/>
        </w:trPr>
        <w:tc>
          <w:tcPr>
            <w:tcW w:w="316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25" w:name="page26"/>
    <w:bookmarkEnd w:id="25"/>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right="1660"/>
        <w:spacing w:after="0" w:line="281" w:lineRule="auto"/>
        <w:rPr>
          <w:sz w:val="20"/>
          <w:szCs w:val="20"/>
          <w:color w:val="auto"/>
        </w:rPr>
      </w:pPr>
      <w:r>
        <w:rPr>
          <w:rFonts w:ascii="Arial" w:cs="Arial" w:eastAsia="Arial" w:hAnsi="Arial"/>
          <w:sz w:val="18"/>
          <w:szCs w:val="18"/>
          <w:b w:val="1"/>
          <w:bCs w:val="1"/>
          <w:color w:val="auto"/>
        </w:rPr>
        <w:t>PROPOSAL 3 – ADVISORY VOTE ON FREQUENCY OF FUTURE ADVISORY VOTES ON EXECUTIVE COMPENSATION (Say-on-Frequency)</w:t>
      </w:r>
    </w:p>
    <w:p>
      <w:pPr>
        <w:spacing w:after="0" w:line="109" w:lineRule="exact"/>
        <w:rPr>
          <w:sz w:val="20"/>
          <w:szCs w:val="20"/>
          <w:color w:val="auto"/>
        </w:rPr>
      </w:pPr>
    </w:p>
    <w:p>
      <w:pPr>
        <w:ind w:left="920" w:right="1160"/>
        <w:spacing w:after="0" w:line="244" w:lineRule="auto"/>
        <w:rPr>
          <w:sz w:val="20"/>
          <w:szCs w:val="20"/>
          <w:color w:val="auto"/>
        </w:rPr>
      </w:pPr>
      <w:r>
        <w:rPr>
          <w:rFonts w:ascii="Arial" w:cs="Arial" w:eastAsia="Arial" w:hAnsi="Arial"/>
          <w:sz w:val="18"/>
          <w:szCs w:val="18"/>
          <w:color w:val="auto"/>
        </w:rPr>
        <w:t>In addition to the non-binding advisory vote on say-on-pay, Section 14A of the Exchange Act also enables our shareholders to express their preference for having a say-on-pay vote every one, two, or three years, or a shareholder may abstain from the vote. This non-binding frequency vote is required at least once every six years and is commonly referred to as “say-when-on-pay.” In 2017, the majority of our shareholders voted in favor of holding the say-on-pay vote annually.</w:t>
      </w:r>
    </w:p>
    <w:p>
      <w:pPr>
        <w:spacing w:after="0" w:line="136" w:lineRule="exact"/>
        <w:rPr>
          <w:sz w:val="20"/>
          <w:szCs w:val="20"/>
          <w:color w:val="auto"/>
        </w:rPr>
      </w:pPr>
    </w:p>
    <w:p>
      <w:pPr>
        <w:ind w:left="920" w:right="1220"/>
        <w:spacing w:after="0"/>
        <w:rPr>
          <w:sz w:val="20"/>
          <w:szCs w:val="20"/>
          <w:color w:val="auto"/>
        </w:rPr>
      </w:pPr>
      <w:r>
        <w:rPr>
          <w:rFonts w:ascii="Arial" w:cs="Arial" w:eastAsia="Arial" w:hAnsi="Arial"/>
          <w:sz w:val="18"/>
          <w:szCs w:val="18"/>
          <w:color w:val="auto"/>
        </w:rPr>
        <w:t>The Board has considered the frequency of the say-on-pay vote and after considering the benefits and consequences of each option, the Board recommends that we continue to submit the say-on-pay vote to our shareholders annually. We believe an annual say-on-pay vote provides the Board and our Compensation Committee with more frequent input from shareholders on our compensation philosophy, policies and programs, and it correlates the say-on-pay vote with the most recent executive compensation information presented in our proxy statement for our annual meeting. Setting a one-year period for holding this vote provides a clear, simple means for the Company to obtain information on our shareholder sentiment about our executive compensation programs.</w:t>
      </w:r>
    </w:p>
    <w:p>
      <w:pPr>
        <w:spacing w:after="0" w:line="140" w:lineRule="exact"/>
        <w:rPr>
          <w:sz w:val="20"/>
          <w:szCs w:val="20"/>
          <w:color w:val="auto"/>
        </w:rPr>
      </w:pPr>
    </w:p>
    <w:p>
      <w:pPr>
        <w:ind w:left="920" w:right="1040"/>
        <w:spacing w:after="0" w:line="247" w:lineRule="auto"/>
        <w:rPr>
          <w:sz w:val="20"/>
          <w:szCs w:val="20"/>
          <w:color w:val="auto"/>
        </w:rPr>
      </w:pPr>
      <w:r>
        <w:rPr>
          <w:rFonts w:ascii="Arial" w:cs="Arial" w:eastAsia="Arial" w:hAnsi="Arial"/>
          <w:sz w:val="18"/>
          <w:szCs w:val="18"/>
          <w:color w:val="auto"/>
        </w:rPr>
        <w:t>We request your vote to determine whether the say-on-pay vote to approve the compensation of our NEOs should occur every one, two, or three years. You will be able to cast your vote on your preferred voting frequency by choosing one of the following options set forth in the following resolution and in your voting instructions or proxy card:</w:t>
      </w:r>
    </w:p>
    <w:p>
      <w:pPr>
        <w:spacing w:after="0" w:line="147" w:lineRule="exact"/>
        <w:rPr>
          <w:sz w:val="20"/>
          <w:szCs w:val="20"/>
          <w:color w:val="auto"/>
        </w:rPr>
      </w:pPr>
    </w:p>
    <w:p>
      <w:pPr>
        <w:jc w:val="both"/>
        <w:ind w:left="1280" w:right="1000"/>
        <w:spacing w:after="0" w:line="253"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Company’s shareholders determine, on a non-binding advisory basis, that the frequency</w:t>
      </w:r>
      <w:r>
        <w:rPr>
          <w:rFonts w:ascii="Arial" w:cs="Arial" w:eastAsia="Arial" w:hAnsi="Arial"/>
          <w:sz w:val="18"/>
          <w:szCs w:val="18"/>
          <w:b w:val="1"/>
          <w:bCs w:val="1"/>
          <w:color w:val="auto"/>
        </w:rPr>
        <w:t xml:space="preserve"> </w:t>
      </w:r>
      <w:r>
        <w:rPr>
          <w:rFonts w:ascii="Arial" w:cs="Arial" w:eastAsia="Arial" w:hAnsi="Arial"/>
          <w:sz w:val="18"/>
          <w:szCs w:val="18"/>
          <w:color w:val="auto"/>
        </w:rPr>
        <w:t>with which the shareholders of the Company will have a non-binding advisory vote on the compensation of the Company’s named executive officers set forth in the Company’s proxy statement is:</w:t>
      </w:r>
    </w:p>
    <w:p>
      <w:pPr>
        <w:spacing w:after="0" w:line="155"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Choice 1 – every year;</w:t>
      </w:r>
    </w:p>
    <w:p>
      <w:pPr>
        <w:spacing w:after="0" w:line="13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Choice 2 – every two years;</w:t>
      </w:r>
    </w:p>
    <w:p>
      <w:pPr>
        <w:spacing w:after="0" w:line="13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Choice 3 – every three years; or</w:t>
      </w:r>
    </w:p>
    <w:p>
      <w:pPr>
        <w:spacing w:after="0" w:line="131"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Choice 4 – abstain from voting.</w:t>
      </w:r>
    </w:p>
    <w:p>
      <w:pPr>
        <w:spacing w:after="0" w:line="266" w:lineRule="exact"/>
        <w:rPr>
          <w:sz w:val="20"/>
          <w:szCs w:val="20"/>
          <w:color w:val="auto"/>
        </w:rPr>
      </w:pPr>
    </w:p>
    <w:p>
      <w:pPr>
        <w:ind w:left="920" w:right="1120"/>
        <w:spacing w:after="0" w:line="264" w:lineRule="auto"/>
        <w:rPr>
          <w:sz w:val="20"/>
          <w:szCs w:val="20"/>
          <w:color w:val="auto"/>
        </w:rPr>
      </w:pPr>
      <w:r>
        <w:rPr>
          <w:rFonts w:ascii="Arial" w:cs="Arial" w:eastAsia="Arial" w:hAnsi="Arial"/>
          <w:sz w:val="17"/>
          <w:szCs w:val="17"/>
          <w:color w:val="auto"/>
        </w:rPr>
        <w:t xml:space="preserve">This advisory vote on say-when-on-pay is not binding on the Company or its Board; however, the Board will take into account the results of the vote when determining the frequency of future say-on-pay votes. The frequency choice which receives the highest number of votes will be deemed the choice of the shareholders. </w:t>
      </w:r>
      <w:r>
        <w:rPr>
          <w:rFonts w:ascii="Arial" w:cs="Arial" w:eastAsia="Arial" w:hAnsi="Arial"/>
          <w:sz w:val="17"/>
          <w:szCs w:val="17"/>
          <w:b w:val="1"/>
          <w:bCs w:val="1"/>
          <w:color w:val="auto"/>
        </w:rPr>
        <w:t>Shareholders</w:t>
      </w:r>
      <w:r>
        <w:rPr>
          <w:rFonts w:ascii="Arial" w:cs="Arial" w:eastAsia="Arial" w:hAnsi="Arial"/>
          <w:sz w:val="17"/>
          <w:szCs w:val="17"/>
          <w:color w:val="auto"/>
        </w:rPr>
        <w:t xml:space="preserve"> </w:t>
      </w:r>
      <w:r>
        <w:rPr>
          <w:rFonts w:ascii="Arial" w:cs="Arial" w:eastAsia="Arial" w:hAnsi="Arial"/>
          <w:sz w:val="17"/>
          <w:szCs w:val="17"/>
          <w:b w:val="1"/>
          <w:bCs w:val="1"/>
          <w:color w:val="auto"/>
        </w:rPr>
        <w:t>are not voting to approve or disapprove the Board’s recommendation. Instead, shareholders vote by choosing among the four choices set forth above and provided in the voting instructions or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15240</wp:posOffset>
            </wp:positionV>
            <wp:extent cx="248285" cy="5911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8285" cy="591185"/>
                    </a:xfrm>
                    <a:prstGeom prst="rect">
                      <a:avLst/>
                    </a:prstGeom>
                    <a:noFill/>
                  </pic:spPr>
                </pic:pic>
              </a:graphicData>
            </a:graphic>
          </wp:anchor>
        </w:drawing>
      </w:r>
    </w:p>
    <w:p>
      <w:pPr>
        <w:spacing w:after="0" w:line="20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The Board recommends that shareholders</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vote to hold the advisory vote on executive</w:t>
      </w:r>
    </w:p>
    <w:p>
      <w:pPr>
        <w:ind w:left="3840"/>
        <w:spacing w:after="0"/>
        <w:rPr>
          <w:sz w:val="20"/>
          <w:szCs w:val="20"/>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b w:val="1"/>
          <w:bCs w:val="1"/>
          <w:i w:val="1"/>
          <w:iCs w:val="1"/>
          <w:u w:val="single" w:color="auto"/>
          <w:color w:val="auto"/>
        </w:rPr>
        <w:t>every year</w:t>
      </w:r>
      <w:r>
        <w:rPr>
          <w:rFonts w:ascii="Arial" w:cs="Arial" w:eastAsia="Arial" w:hAnsi="Arial"/>
          <w:sz w:val="18"/>
          <w:szCs w:val="18"/>
          <w:b w:val="1"/>
          <w:bCs w:val="1"/>
          <w:i w:val="1"/>
          <w:iCs w:val="1"/>
          <w:color w:val="auto"/>
        </w:rPr>
        <w:t>.</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-22-</w:t>
            </w:r>
          </w:p>
        </w:tc>
      </w:tr>
      <w:tr>
        <w:trPr>
          <w:trHeight w:val="219"/>
        </w:trPr>
        <w:tc>
          <w:tcPr>
            <w:tcW w:w="316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26" w:name="page27"/>
    <w:bookmarkEnd w:id="26"/>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EXECUTIVE COMPENSATION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Compensation Discussion and Analysis</w:t>
      </w:r>
    </w:p>
    <w:p>
      <w:pPr>
        <w:spacing w:after="0" w:line="185" w:lineRule="exact"/>
        <w:rPr>
          <w:sz w:val="20"/>
          <w:szCs w:val="20"/>
          <w:color w:val="auto"/>
        </w:rPr>
      </w:pPr>
    </w:p>
    <w:p>
      <w:pPr>
        <w:ind w:left="920" w:right="1060"/>
        <w:spacing w:after="0" w:line="247" w:lineRule="auto"/>
        <w:rPr>
          <w:sz w:val="20"/>
          <w:szCs w:val="20"/>
          <w:color w:val="auto"/>
        </w:rPr>
      </w:pPr>
      <w:r>
        <w:rPr>
          <w:rFonts w:ascii="Arial" w:cs="Arial" w:eastAsia="Arial" w:hAnsi="Arial"/>
          <w:sz w:val="18"/>
          <w:szCs w:val="18"/>
          <w:color w:val="auto"/>
        </w:rPr>
        <w:t>This Compensation Discussion and Analysis (CD&amp;A) explains our executive compensation program for our NEOs listed below. The CD&amp;A also describes the process followed by the Compensation Committee of the Board (referred to as the Compensation Committee or the Committee in this CD&amp;A) for making pay decisions, as well as its rationale for specific decisions related to 2022.</w:t>
      </w:r>
    </w:p>
    <w:p>
      <w:pPr>
        <w:spacing w:after="0" w:line="93" w:lineRule="exact"/>
        <w:rPr>
          <w:sz w:val="20"/>
          <w:szCs w:val="20"/>
          <w:color w:val="auto"/>
        </w:rPr>
      </w:pPr>
    </w:p>
    <w:tbl>
      <w:tblPr>
        <w:tblLayout w:type="fixed"/>
        <w:tblInd w:w="980" w:type="dxa"/>
        <w:tblCellMar>
          <w:top w:w="0" w:type="dxa"/>
          <w:left w:w="0" w:type="dxa"/>
          <w:bottom w:w="0" w:type="dxa"/>
          <w:right w:w="0" w:type="dxa"/>
        </w:tblCellMar>
      </w:tblPr>
      <w:tr>
        <w:trPr>
          <w:trHeight w:val="247"/>
        </w:trPr>
        <w:tc>
          <w:tcPr>
            <w:tcW w:w="194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7100" w:type="dxa"/>
            <w:vAlign w:val="bottom"/>
          </w:tcPr>
          <w:p>
            <w:pPr>
              <w:spacing w:after="0"/>
              <w:rPr>
                <w:sz w:val="20"/>
                <w:szCs w:val="20"/>
                <w:color w:val="auto"/>
              </w:rPr>
            </w:pPr>
            <w:r>
              <w:rPr>
                <w:rFonts w:ascii="Arial" w:cs="Arial" w:eastAsia="Arial" w:hAnsi="Arial"/>
                <w:sz w:val="18"/>
                <w:szCs w:val="18"/>
                <w:b w:val="1"/>
                <w:bCs w:val="1"/>
                <w:color w:val="auto"/>
              </w:rPr>
              <w:t>Title</w:t>
            </w:r>
          </w:p>
        </w:tc>
      </w:tr>
      <w:tr>
        <w:trPr>
          <w:trHeight w:val="42"/>
        </w:trPr>
        <w:tc>
          <w:tcPr>
            <w:tcW w:w="17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7100" w:type="dxa"/>
            <w:vAlign w:val="bottom"/>
            <w:tcBorders>
              <w:bottom w:val="single" w:sz="8" w:color="auto"/>
            </w:tcBorders>
          </w:tcPr>
          <w:p>
            <w:pPr>
              <w:spacing w:after="0"/>
              <w:rPr>
                <w:sz w:val="3"/>
                <w:szCs w:val="3"/>
                <w:color w:val="auto"/>
              </w:rPr>
            </w:pPr>
          </w:p>
        </w:tc>
      </w:tr>
      <w:tr>
        <w:trPr>
          <w:trHeight w:val="281"/>
        </w:trPr>
        <w:tc>
          <w:tcPr>
            <w:tcW w:w="1940" w:type="dxa"/>
            <w:vAlign w:val="bottom"/>
            <w:gridSpan w:val="2"/>
          </w:tcPr>
          <w:p>
            <w:pPr>
              <w:ind w:left="40"/>
              <w:spacing w:after="0"/>
              <w:rPr>
                <w:sz w:val="20"/>
                <w:szCs w:val="20"/>
                <w:color w:val="auto"/>
              </w:rPr>
            </w:pPr>
            <w:r>
              <w:rPr>
                <w:rFonts w:ascii="Arial" w:cs="Arial" w:eastAsia="Arial" w:hAnsi="Arial"/>
                <w:sz w:val="18"/>
                <w:szCs w:val="18"/>
                <w:color w:val="auto"/>
              </w:rPr>
              <w:t>Thomas L. Deitrich</w:t>
            </w:r>
          </w:p>
        </w:tc>
        <w:tc>
          <w:tcPr>
            <w:tcW w:w="7100" w:type="dxa"/>
            <w:vAlign w:val="bottom"/>
          </w:tcPr>
          <w:p>
            <w:pPr>
              <w:spacing w:after="0"/>
              <w:rPr>
                <w:sz w:val="20"/>
                <w:szCs w:val="20"/>
                <w:color w:val="auto"/>
              </w:rPr>
            </w:pPr>
            <w:r>
              <w:rPr>
                <w:rFonts w:ascii="Arial" w:cs="Arial" w:eastAsia="Arial" w:hAnsi="Arial"/>
                <w:sz w:val="18"/>
                <w:szCs w:val="18"/>
                <w:color w:val="auto"/>
              </w:rPr>
              <w:t>President and CEO</w:t>
            </w:r>
          </w:p>
        </w:tc>
      </w:tr>
      <w:tr>
        <w:trPr>
          <w:trHeight w:val="338"/>
        </w:trPr>
        <w:tc>
          <w:tcPr>
            <w:tcW w:w="1940" w:type="dxa"/>
            <w:vAlign w:val="bottom"/>
            <w:gridSpan w:val="2"/>
          </w:tcPr>
          <w:p>
            <w:pPr>
              <w:ind w:left="40"/>
              <w:spacing w:after="0"/>
              <w:rPr>
                <w:sz w:val="20"/>
                <w:szCs w:val="20"/>
                <w:color w:val="auto"/>
              </w:rPr>
            </w:pPr>
            <w:r>
              <w:rPr>
                <w:rFonts w:ascii="Arial" w:cs="Arial" w:eastAsia="Arial" w:hAnsi="Arial"/>
                <w:sz w:val="18"/>
                <w:szCs w:val="18"/>
                <w:color w:val="auto"/>
              </w:rPr>
              <w:t>Joan S. Hooper</w:t>
            </w:r>
          </w:p>
        </w:tc>
        <w:tc>
          <w:tcPr>
            <w:tcW w:w="7100" w:type="dxa"/>
            <w:vAlign w:val="bottom"/>
          </w:tcPr>
          <w:p>
            <w:pPr>
              <w:spacing w:after="0"/>
              <w:rPr>
                <w:sz w:val="20"/>
                <w:szCs w:val="20"/>
                <w:color w:val="auto"/>
              </w:rPr>
            </w:pPr>
            <w:r>
              <w:rPr>
                <w:rFonts w:ascii="Arial" w:cs="Arial" w:eastAsia="Arial" w:hAnsi="Arial"/>
                <w:sz w:val="18"/>
                <w:szCs w:val="18"/>
                <w:color w:val="auto"/>
              </w:rPr>
              <w:t>Senior Vice President and CFO</w:t>
            </w:r>
          </w:p>
        </w:tc>
      </w:tr>
      <w:tr>
        <w:trPr>
          <w:trHeight w:val="338"/>
        </w:trPr>
        <w:tc>
          <w:tcPr>
            <w:tcW w:w="1940" w:type="dxa"/>
            <w:vAlign w:val="bottom"/>
            <w:gridSpan w:val="2"/>
          </w:tcPr>
          <w:p>
            <w:pPr>
              <w:ind w:left="40"/>
              <w:spacing w:after="0"/>
              <w:rPr>
                <w:sz w:val="20"/>
                <w:szCs w:val="20"/>
                <w:color w:val="auto"/>
              </w:rPr>
            </w:pPr>
            <w:r>
              <w:rPr>
                <w:rFonts w:ascii="Arial" w:cs="Arial" w:eastAsia="Arial" w:hAnsi="Arial"/>
                <w:sz w:val="18"/>
                <w:szCs w:val="18"/>
                <w:color w:val="auto"/>
              </w:rPr>
              <w:t>Michel C. Cadieux</w:t>
            </w:r>
          </w:p>
        </w:tc>
        <w:tc>
          <w:tcPr>
            <w:tcW w:w="7100" w:type="dxa"/>
            <w:vAlign w:val="bottom"/>
          </w:tcPr>
          <w:p>
            <w:pPr>
              <w:spacing w:after="0"/>
              <w:rPr>
                <w:sz w:val="20"/>
                <w:szCs w:val="20"/>
                <w:color w:val="auto"/>
              </w:rPr>
            </w:pPr>
            <w:r>
              <w:rPr>
                <w:rFonts w:ascii="Arial" w:cs="Arial" w:eastAsia="Arial" w:hAnsi="Arial"/>
                <w:sz w:val="18"/>
                <w:szCs w:val="18"/>
                <w:color w:val="auto"/>
              </w:rPr>
              <w:t>Senior Vice President, Human Resources</w:t>
            </w:r>
          </w:p>
        </w:tc>
      </w:tr>
      <w:tr>
        <w:trPr>
          <w:trHeight w:val="338"/>
        </w:trPr>
        <w:tc>
          <w:tcPr>
            <w:tcW w:w="1940" w:type="dxa"/>
            <w:vAlign w:val="bottom"/>
            <w:gridSpan w:val="2"/>
          </w:tcPr>
          <w:p>
            <w:pPr>
              <w:ind w:left="40"/>
              <w:spacing w:after="0"/>
              <w:rPr>
                <w:sz w:val="20"/>
                <w:szCs w:val="20"/>
                <w:color w:val="auto"/>
              </w:rPr>
            </w:pPr>
            <w:r>
              <w:rPr>
                <w:rFonts w:ascii="Arial" w:cs="Arial" w:eastAsia="Arial" w:hAnsi="Arial"/>
                <w:sz w:val="18"/>
                <w:szCs w:val="18"/>
                <w:color w:val="auto"/>
              </w:rPr>
              <w:t>Donald L. Reeves</w:t>
            </w:r>
          </w:p>
        </w:tc>
        <w:tc>
          <w:tcPr>
            <w:tcW w:w="7100" w:type="dxa"/>
            <w:vAlign w:val="bottom"/>
          </w:tcPr>
          <w:p>
            <w:pPr>
              <w:spacing w:after="0"/>
              <w:rPr>
                <w:sz w:val="20"/>
                <w:szCs w:val="20"/>
                <w:color w:val="auto"/>
              </w:rPr>
            </w:pPr>
            <w:r>
              <w:rPr>
                <w:rFonts w:ascii="Arial" w:cs="Arial" w:eastAsia="Arial" w:hAnsi="Arial"/>
                <w:sz w:val="18"/>
                <w:szCs w:val="18"/>
                <w:color w:val="auto"/>
              </w:rPr>
              <w:t>Senior Vice President, Outcomes</w:t>
            </w:r>
          </w:p>
        </w:tc>
      </w:tr>
      <w:tr>
        <w:trPr>
          <w:trHeight w:val="338"/>
        </w:trPr>
        <w:tc>
          <w:tcPr>
            <w:tcW w:w="1940" w:type="dxa"/>
            <w:vAlign w:val="bottom"/>
            <w:gridSpan w:val="2"/>
          </w:tcPr>
          <w:p>
            <w:pPr>
              <w:ind w:left="40"/>
              <w:spacing w:after="0"/>
              <w:rPr>
                <w:sz w:val="20"/>
                <w:szCs w:val="20"/>
                <w:color w:val="auto"/>
              </w:rPr>
            </w:pPr>
            <w:r>
              <w:rPr>
                <w:rFonts w:ascii="Arial" w:cs="Arial" w:eastAsia="Arial" w:hAnsi="Arial"/>
                <w:sz w:val="18"/>
                <w:szCs w:val="18"/>
                <w:color w:val="auto"/>
              </w:rPr>
              <w:t>John F. Marcolini</w:t>
            </w:r>
          </w:p>
        </w:tc>
        <w:tc>
          <w:tcPr>
            <w:tcW w:w="7100" w:type="dxa"/>
            <w:vAlign w:val="bottom"/>
          </w:tcPr>
          <w:p>
            <w:pPr>
              <w:spacing w:after="0"/>
              <w:rPr>
                <w:sz w:val="20"/>
                <w:szCs w:val="20"/>
                <w:color w:val="auto"/>
              </w:rPr>
            </w:pPr>
            <w:r>
              <w:rPr>
                <w:rFonts w:ascii="Arial" w:cs="Arial" w:eastAsia="Arial" w:hAnsi="Arial"/>
                <w:sz w:val="18"/>
                <w:szCs w:val="18"/>
                <w:color w:val="auto"/>
              </w:rPr>
              <w:t>Senior Vice President, Networked Solutions</w:t>
            </w:r>
          </w:p>
        </w:tc>
      </w:tr>
    </w:tbl>
    <w:p>
      <w:pPr>
        <w:spacing w:after="0" w:line="28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Executive Summary</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Business Performance</w:t>
      </w:r>
    </w:p>
    <w:p>
      <w:pPr>
        <w:spacing w:after="0" w:line="171" w:lineRule="exact"/>
        <w:rPr>
          <w:sz w:val="20"/>
          <w:szCs w:val="20"/>
          <w:color w:val="auto"/>
        </w:rPr>
      </w:pPr>
    </w:p>
    <w:p>
      <w:pPr>
        <w:ind w:left="920" w:right="940"/>
        <w:spacing w:after="0" w:line="244" w:lineRule="auto"/>
        <w:rPr>
          <w:sz w:val="20"/>
          <w:szCs w:val="20"/>
          <w:color w:val="auto"/>
        </w:rPr>
      </w:pPr>
      <w:r>
        <w:rPr>
          <w:rFonts w:ascii="Arial" w:cs="Arial" w:eastAsia="Arial" w:hAnsi="Arial"/>
          <w:sz w:val="18"/>
          <w:szCs w:val="18"/>
          <w:color w:val="auto"/>
        </w:rPr>
        <w:t>Strong market demand for Itron’s solutions continued in 2022 as we grew our distributed intelligence footprint, deployed for our customers, by approximately 53% to 5.8 million endpoints, and ended the year with greater than 93 million endpoints under Itron’s management. Robust bookings in 2022 totaled $2.5 billion that drove total backlog ending the year, comprised primarily of business in our Networked Solutions and Outcomes segments, to a new record of $4.6 billion.</w:t>
      </w:r>
    </w:p>
    <w:p>
      <w:pPr>
        <w:spacing w:after="0" w:line="149" w:lineRule="exact"/>
        <w:rPr>
          <w:sz w:val="20"/>
          <w:szCs w:val="20"/>
          <w:color w:val="auto"/>
        </w:rPr>
      </w:pPr>
    </w:p>
    <w:p>
      <w:pPr>
        <w:ind w:left="920" w:right="1240"/>
        <w:spacing w:after="0" w:line="247" w:lineRule="auto"/>
        <w:rPr>
          <w:sz w:val="20"/>
          <w:szCs w:val="20"/>
          <w:color w:val="auto"/>
        </w:rPr>
      </w:pPr>
      <w:r>
        <w:rPr>
          <w:rFonts w:ascii="Arial" w:cs="Arial" w:eastAsia="Arial" w:hAnsi="Arial"/>
          <w:sz w:val="18"/>
          <w:szCs w:val="18"/>
          <w:color w:val="auto"/>
        </w:rPr>
        <w:t>A volatile and constrained supply environment, as well as inflationary pressures, impacted our financial performance. We continued to work closely with our suppliers on maximizing allocations and delivery schedules while maintaining close engagement with our customers on project timing. No material cancellation of backlog occurred. We also focused on price/cost actions to protect margins both near and long-term.</w:t>
      </w:r>
    </w:p>
    <w:p>
      <w:pPr>
        <w:spacing w:after="0" w:line="133" w:lineRule="exact"/>
        <w:rPr>
          <w:sz w:val="20"/>
          <w:szCs w:val="20"/>
          <w:color w:val="auto"/>
        </w:rPr>
      </w:pPr>
    </w:p>
    <w:p>
      <w:pPr>
        <w:ind w:left="920" w:right="920"/>
        <w:spacing w:after="0" w:line="247" w:lineRule="auto"/>
        <w:rPr>
          <w:sz w:val="20"/>
          <w:szCs w:val="20"/>
          <w:color w:val="auto"/>
        </w:rPr>
      </w:pPr>
      <w:r>
        <w:rPr>
          <w:rFonts w:ascii="Arial" w:cs="Arial" w:eastAsia="Arial" w:hAnsi="Arial"/>
          <w:sz w:val="18"/>
          <w:szCs w:val="18"/>
          <w:color w:val="auto"/>
        </w:rPr>
        <w:t>Itron is positioned well for the future as a result of our progress in 2022. We continued to find ways to be more innovative, introduce new products to the market, and improve our operational footprint with our asset light strategy, as we completed the sale of certain non-communicating gas devices. Ultimately, we remained steadfast in driving long-term value for all our stakeholders.</w:t>
      </w:r>
    </w:p>
    <w:p>
      <w:pPr>
        <w:spacing w:after="0" w:line="138" w:lineRule="exact"/>
        <w:rPr>
          <w:sz w:val="20"/>
          <w:szCs w:val="20"/>
          <w:color w:val="auto"/>
        </w:rPr>
      </w:pPr>
    </w:p>
    <w:p>
      <w:pPr>
        <w:ind w:left="920" w:right="1140"/>
        <w:spacing w:after="0" w:line="197" w:lineRule="auto"/>
        <w:rPr>
          <w:sz w:val="20"/>
          <w:szCs w:val="20"/>
          <w:color w:val="auto"/>
        </w:rPr>
      </w:pPr>
      <w:r>
        <w:rPr>
          <w:rFonts w:ascii="Arial" w:cs="Arial" w:eastAsia="Arial" w:hAnsi="Arial"/>
          <w:sz w:val="18"/>
          <w:szCs w:val="18"/>
          <w:color w:val="auto"/>
        </w:rPr>
        <w:t>Itron’s 2022 revenue, non-GAAP earnings per diluted share</w:t>
      </w:r>
      <w:r>
        <w:rPr>
          <w:rFonts w:ascii="Arial" w:cs="Arial" w:eastAsia="Arial" w:hAnsi="Arial"/>
          <w:sz w:val="29"/>
          <w:szCs w:val="29"/>
          <w:color w:val="auto"/>
          <w:vertAlign w:val="superscript"/>
        </w:rPr>
        <w:t>(1)(2)</w:t>
      </w:r>
      <w:r>
        <w:rPr>
          <w:rFonts w:ascii="Arial" w:cs="Arial" w:eastAsia="Arial" w:hAnsi="Arial"/>
          <w:sz w:val="18"/>
          <w:szCs w:val="18"/>
          <w:color w:val="auto"/>
        </w:rPr>
        <w:t xml:space="preserve"> (non-GAAP diluted EPS), adjusted earnings before interest, tax, depreciation and amortization (Adjusted EBITDA)</w:t>
      </w:r>
      <w:r>
        <w:rPr>
          <w:rFonts w:ascii="Arial" w:cs="Arial" w:eastAsia="Arial" w:hAnsi="Arial"/>
          <w:sz w:val="29"/>
          <w:szCs w:val="29"/>
          <w:color w:val="auto"/>
          <w:vertAlign w:val="superscript"/>
        </w:rPr>
        <w:t>(1)(3)</w:t>
      </w:r>
      <w:r>
        <w:rPr>
          <w:rFonts w:ascii="Arial" w:cs="Arial" w:eastAsia="Arial" w:hAnsi="Arial"/>
          <w:sz w:val="18"/>
          <w:szCs w:val="18"/>
          <w:color w:val="auto"/>
        </w:rPr>
        <w:t>, and free cash flow</w:t>
      </w:r>
      <w:r>
        <w:rPr>
          <w:rFonts w:ascii="Arial" w:cs="Arial" w:eastAsia="Arial" w:hAnsi="Arial"/>
          <w:sz w:val="29"/>
          <w:szCs w:val="29"/>
          <w:color w:val="auto"/>
          <w:vertAlign w:val="superscript"/>
        </w:rPr>
        <w:t>(1)(4)</w:t>
      </w:r>
      <w:r>
        <w:rPr>
          <w:rFonts w:ascii="Arial" w:cs="Arial" w:eastAsia="Arial" w:hAnsi="Arial"/>
          <w:sz w:val="18"/>
          <w:szCs w:val="18"/>
          <w:color w:val="auto"/>
        </w:rPr>
        <w:t xml:space="preserve"> are as follows (compared with 2021):</w:t>
      </w:r>
    </w:p>
    <w:p>
      <w:pPr>
        <w:spacing w:after="0" w:line="156" w:lineRule="exact"/>
        <w:rPr>
          <w:sz w:val="20"/>
          <w:szCs w:val="20"/>
          <w:color w:val="auto"/>
        </w:rPr>
      </w:pPr>
    </w:p>
    <w:p>
      <w:pPr>
        <w:ind w:left="1620" w:hanging="346"/>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Revenue of approximately $1.8 billion decreased 9%;</w:t>
      </w:r>
    </w:p>
    <w:p>
      <w:pPr>
        <w:spacing w:after="0" w:line="171" w:lineRule="exact"/>
        <w:rPr>
          <w:rFonts w:ascii="Arial" w:cs="Arial" w:eastAsia="Arial" w:hAnsi="Arial"/>
          <w:sz w:val="18"/>
          <w:szCs w:val="18"/>
          <w:color w:val="auto"/>
        </w:rPr>
      </w:pPr>
    </w:p>
    <w:p>
      <w:pPr>
        <w:ind w:left="1620" w:hanging="346"/>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Adjusted EBITDA of approximately $95 million decreased approximately 17%;</w:t>
      </w:r>
    </w:p>
    <w:p>
      <w:pPr>
        <w:spacing w:after="0" w:line="171" w:lineRule="exact"/>
        <w:rPr>
          <w:rFonts w:ascii="Arial" w:cs="Arial" w:eastAsia="Arial" w:hAnsi="Arial"/>
          <w:sz w:val="18"/>
          <w:szCs w:val="18"/>
          <w:color w:val="auto"/>
        </w:rPr>
      </w:pPr>
    </w:p>
    <w:p>
      <w:pPr>
        <w:ind w:left="1620" w:hanging="346"/>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Non-GAAP diluted EPS of $1.13 decreased approximately 35%; and</w:t>
      </w:r>
    </w:p>
    <w:p>
      <w:pPr>
        <w:spacing w:after="0" w:line="184" w:lineRule="exact"/>
        <w:rPr>
          <w:rFonts w:ascii="Arial" w:cs="Arial" w:eastAsia="Arial" w:hAnsi="Arial"/>
          <w:sz w:val="18"/>
          <w:szCs w:val="18"/>
          <w:color w:val="auto"/>
        </w:rPr>
      </w:pPr>
    </w:p>
    <w:p>
      <w:pPr>
        <w:ind w:left="1620" w:hanging="346"/>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Free cash flow of approximately $5 million decreased approximately 96%.</w:t>
      </w:r>
    </w:p>
    <w:p>
      <w:pPr>
        <w:spacing w:after="0" w:line="315" w:lineRule="exact"/>
        <w:rPr>
          <w:rFonts w:ascii="Arial" w:cs="Arial" w:eastAsia="Arial" w:hAnsi="Arial"/>
          <w:sz w:val="18"/>
          <w:szCs w:val="18"/>
          <w:color w:val="auto"/>
        </w:rPr>
      </w:pPr>
    </w:p>
    <w:p>
      <w:pPr>
        <w:ind w:left="1260" w:right="1020" w:hanging="346"/>
        <w:spacing w:after="0" w:line="285" w:lineRule="auto"/>
        <w:tabs>
          <w:tab w:leader="none" w:pos="1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 schedule reconciling Adjusted EBITDA to net income (loss), non-GAAP diluted EPS to net income (loss), and free cash flow to net cash provided by operating activities, is available on pages 43-46 of our 2022 Annual Report on Form 10-K.</w:t>
      </w:r>
    </w:p>
    <w:p>
      <w:pPr>
        <w:spacing w:after="0" w:line="9" w:lineRule="exact"/>
        <w:rPr>
          <w:rFonts w:ascii="Arial" w:cs="Arial" w:eastAsia="Arial" w:hAnsi="Arial"/>
          <w:sz w:val="14"/>
          <w:szCs w:val="14"/>
          <w:color w:val="auto"/>
        </w:rPr>
      </w:pPr>
    </w:p>
    <w:p>
      <w:pPr>
        <w:ind w:left="1260" w:right="1320" w:hanging="346"/>
        <w:spacing w:after="0" w:line="285" w:lineRule="auto"/>
        <w:tabs>
          <w:tab w:leader="none" w:pos="1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define non-GAAP diluted EPS as non-GAAP net income divided by the weighted average shares, on a diluted basis, outstanding during each period.</w:t>
      </w:r>
    </w:p>
    <w:p>
      <w:pPr>
        <w:spacing w:after="0" w:line="9" w:lineRule="exact"/>
        <w:rPr>
          <w:rFonts w:ascii="Arial" w:cs="Arial" w:eastAsia="Arial" w:hAnsi="Arial"/>
          <w:sz w:val="14"/>
          <w:szCs w:val="14"/>
          <w:color w:val="auto"/>
        </w:rPr>
      </w:pPr>
    </w:p>
    <w:p>
      <w:pPr>
        <w:ind w:left="1260" w:right="1080" w:hanging="346"/>
        <w:spacing w:after="0" w:line="263" w:lineRule="auto"/>
        <w:tabs>
          <w:tab w:leader="none" w:pos="1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define Adjusted EBITDA as net income (loss) (a) minus interest income, (b) plus interest expense, debt extinguishment, depreciation and amortization, restructuring, loss on sale of businesses, strategic initiative expenses, software project impairment, Russian currency translation write-off, goodwill impairment, acquisition, and integration, and (c) excluding income tax provision or benefit.</w:t>
      </w:r>
    </w:p>
    <w:p>
      <w:pPr>
        <w:spacing w:after="0" w:line="37" w:lineRule="exact"/>
        <w:rPr>
          <w:rFonts w:ascii="Arial" w:cs="Arial" w:eastAsia="Arial" w:hAnsi="Arial"/>
          <w:sz w:val="14"/>
          <w:szCs w:val="14"/>
          <w:color w:val="auto"/>
        </w:rPr>
      </w:pPr>
    </w:p>
    <w:p>
      <w:pPr>
        <w:ind w:left="1260" w:hanging="346"/>
        <w:spacing w:after="0"/>
        <w:tabs>
          <w:tab w:leader="none" w:pos="1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define free cash flow as net cash provided by operating activities less cash used for acquisitions of property, plant and equipment.</w:t>
      </w:r>
    </w:p>
    <w:p>
      <w:pPr>
        <w:spacing w:after="0" w:line="15" w:lineRule="exact"/>
        <w:rPr>
          <w:rFonts w:ascii="Arial" w:cs="Arial" w:eastAsia="Arial" w:hAnsi="Arial"/>
          <w:sz w:val="14"/>
          <w:szCs w:val="14"/>
          <w:color w:val="auto"/>
        </w:rPr>
      </w:pPr>
    </w:p>
    <w:p>
      <w:pPr>
        <w:ind w:left="1260" w:right="1080"/>
        <w:spacing w:after="0" w:line="264" w:lineRule="auto"/>
        <w:rPr>
          <w:rFonts w:ascii="Arial" w:cs="Arial" w:eastAsia="Arial" w:hAnsi="Arial"/>
          <w:sz w:val="14"/>
          <w:szCs w:val="14"/>
          <w:color w:val="auto"/>
        </w:rPr>
      </w:pPr>
      <w:r>
        <w:rPr>
          <w:rFonts w:ascii="Arial" w:cs="Arial" w:eastAsia="Arial" w:hAnsi="Arial"/>
          <w:sz w:val="14"/>
          <w:szCs w:val="14"/>
          <w:color w:val="auto"/>
        </w:rPr>
        <w:t>A schedule reconciling free cash flow to net cash provided by operating activities, is available on pages 43-46 of our 2022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-1247140</wp:posOffset>
            </wp:positionV>
            <wp:extent cx="8229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-23-</w:t>
            </w:r>
          </w:p>
        </w:tc>
      </w:tr>
      <w:tr>
        <w:trPr>
          <w:trHeight w:val="219"/>
        </w:trPr>
        <w:tc>
          <w:tcPr>
            <w:tcW w:w="316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27" w:name="page28"/>
    <w:bookmarkEnd w:id="27"/>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Compensation Highlights</w:t>
      </w:r>
    </w:p>
    <w:p>
      <w:pPr>
        <w:spacing w:after="0" w:line="185" w:lineRule="exact"/>
        <w:rPr>
          <w:sz w:val="20"/>
          <w:szCs w:val="20"/>
          <w:color w:val="auto"/>
        </w:rPr>
      </w:pPr>
    </w:p>
    <w:p>
      <w:pPr>
        <w:ind w:left="920" w:right="1080"/>
        <w:spacing w:after="0" w:line="261" w:lineRule="auto"/>
        <w:rPr>
          <w:sz w:val="20"/>
          <w:szCs w:val="20"/>
          <w:color w:val="auto"/>
        </w:rPr>
      </w:pPr>
      <w:r>
        <w:rPr>
          <w:rFonts w:ascii="Arial" w:cs="Arial" w:eastAsia="Arial" w:hAnsi="Arial"/>
          <w:sz w:val="17"/>
          <w:szCs w:val="17"/>
          <w:color w:val="auto"/>
        </w:rPr>
        <w:t>Our executive compensation program has three primary elements: base salary, annual cash incentives (as part of our Itron Incentive Plan (IIP)), and long-term equity incentives (as part of our LTIP). Each of these compensation elements serves a specific purpose in our compensation strategy. Base salary is an essential component to any market-competitive compensation program. Annual incentives reward the achievement of short-term goals, while long-term incentives drive our NEOs to focus on long-term sustainable shareholder value creation.</w:t>
      </w:r>
    </w:p>
    <w:p>
      <w:pPr>
        <w:spacing w:after="0" w:line="125" w:lineRule="exact"/>
        <w:rPr>
          <w:sz w:val="20"/>
          <w:szCs w:val="20"/>
          <w:color w:val="auto"/>
        </w:rPr>
      </w:pPr>
    </w:p>
    <w:p>
      <w:pPr>
        <w:ind w:left="920" w:right="1000"/>
        <w:spacing w:after="0" w:line="271" w:lineRule="auto"/>
        <w:rPr>
          <w:sz w:val="20"/>
          <w:szCs w:val="20"/>
          <w:color w:val="auto"/>
        </w:rPr>
      </w:pPr>
      <w:r>
        <w:rPr>
          <w:rFonts w:ascii="Arial" w:cs="Arial" w:eastAsia="Arial" w:hAnsi="Arial"/>
          <w:sz w:val="18"/>
          <w:szCs w:val="18"/>
          <w:color w:val="auto"/>
        </w:rPr>
        <w:t>Based on our performance and consistent with the design of our program, the Compensation Committee made the following executive compensation decisions for fiscal year 2022:</w:t>
      </w:r>
    </w:p>
    <w:p>
      <w:pPr>
        <w:spacing w:after="0" w:line="113" w:lineRule="exact"/>
        <w:rPr>
          <w:sz w:val="20"/>
          <w:szCs w:val="20"/>
          <w:color w:val="auto"/>
        </w:rPr>
      </w:pPr>
    </w:p>
    <w:p>
      <w:pPr>
        <w:jc w:val="both"/>
        <w:ind w:left="1620" w:right="1180" w:hanging="346"/>
        <w:spacing w:after="0" w:line="253" w:lineRule="auto"/>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Salary: Approved base salary increases for Mr. Deitrich, Ms. Hooper and Mr. Marcolini of 3.75%, 1.92% and 6.94%, respectively. None of the other NEOs received base salary adjustments in 2022. See “</w:t>
      </w:r>
      <w:r>
        <w:rPr>
          <w:rFonts w:ascii="Arial" w:cs="Arial" w:eastAsia="Arial" w:hAnsi="Arial"/>
          <w:sz w:val="18"/>
          <w:szCs w:val="18"/>
          <w:i w:val="1"/>
          <w:iCs w:val="1"/>
          <w:color w:val="auto"/>
        </w:rPr>
        <w:t>Base</w:t>
      </w:r>
      <w:r>
        <w:rPr>
          <w:rFonts w:ascii="Arial" w:cs="Arial" w:eastAsia="Arial" w:hAnsi="Arial"/>
          <w:sz w:val="18"/>
          <w:szCs w:val="18"/>
          <w:color w:val="auto"/>
        </w:rPr>
        <w:t xml:space="preserve"> </w:t>
      </w:r>
      <w:r>
        <w:rPr>
          <w:rFonts w:ascii="Arial" w:cs="Arial" w:eastAsia="Arial" w:hAnsi="Arial"/>
          <w:sz w:val="18"/>
          <w:szCs w:val="18"/>
          <w:i w:val="1"/>
          <w:iCs w:val="1"/>
          <w:color w:val="auto"/>
        </w:rPr>
        <w:t>Salary</w:t>
      </w:r>
      <w:r>
        <w:rPr>
          <w:rFonts w:ascii="Arial" w:cs="Arial" w:eastAsia="Arial" w:hAnsi="Arial"/>
          <w:sz w:val="18"/>
          <w:szCs w:val="18"/>
          <w:color w:val="auto"/>
        </w:rPr>
        <w:t>” in this CD&amp;A for details.</w:t>
      </w:r>
    </w:p>
    <w:p>
      <w:pPr>
        <w:spacing w:after="0" w:line="141" w:lineRule="exact"/>
        <w:rPr>
          <w:rFonts w:ascii="Arial" w:cs="Arial" w:eastAsia="Arial" w:hAnsi="Arial"/>
          <w:sz w:val="18"/>
          <w:szCs w:val="18"/>
          <w:color w:val="auto"/>
        </w:rPr>
      </w:pPr>
    </w:p>
    <w:p>
      <w:pPr>
        <w:ind w:left="1620" w:hanging="346"/>
        <w:spacing w:after="0"/>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IIP:</w:t>
      </w:r>
    </w:p>
    <w:p>
      <w:pPr>
        <w:spacing w:after="0" w:line="171" w:lineRule="exact"/>
        <w:rPr>
          <w:rFonts w:ascii="Arial" w:cs="Arial" w:eastAsia="Arial" w:hAnsi="Arial"/>
          <w:sz w:val="18"/>
          <w:szCs w:val="18"/>
          <w:color w:val="auto"/>
        </w:rPr>
      </w:pPr>
    </w:p>
    <w:p>
      <w:pPr>
        <w:ind w:left="1980" w:right="1300" w:hanging="346"/>
        <w:spacing w:after="0" w:line="230" w:lineRule="auto"/>
        <w:tabs>
          <w:tab w:leader="none" w:pos="1980" w:val="left"/>
        </w:tabs>
        <w:numPr>
          <w:ilvl w:val="1"/>
          <w:numId w:val="26"/>
        </w:numPr>
        <w:rPr>
          <w:rFonts w:ascii="Arial" w:cs="Arial" w:eastAsia="Arial" w:hAnsi="Arial"/>
          <w:sz w:val="22"/>
          <w:szCs w:val="22"/>
          <w:color w:val="auto"/>
          <w:vertAlign w:val="superscript"/>
        </w:rPr>
      </w:pPr>
      <w:r>
        <w:rPr>
          <w:rFonts w:ascii="Arial" w:cs="Arial" w:eastAsia="Arial" w:hAnsi="Arial"/>
          <w:sz w:val="18"/>
          <w:szCs w:val="18"/>
          <w:color w:val="auto"/>
        </w:rPr>
        <w:t>Approved IIP financial targets based on preliminary projections for 2022, including certain assumptions regarding the impact and timing of ongoing supply chain disruptions on installations;</w:t>
      </w:r>
    </w:p>
    <w:p>
      <w:pPr>
        <w:spacing w:after="0" w:line="139" w:lineRule="exact"/>
        <w:rPr>
          <w:rFonts w:ascii="Arial" w:cs="Arial" w:eastAsia="Arial" w:hAnsi="Arial"/>
          <w:sz w:val="22"/>
          <w:szCs w:val="22"/>
          <w:color w:val="auto"/>
          <w:vertAlign w:val="superscript"/>
        </w:rPr>
      </w:pPr>
    </w:p>
    <w:p>
      <w:pPr>
        <w:ind w:left="1980" w:right="1020" w:hanging="346"/>
        <w:spacing w:after="0" w:line="230" w:lineRule="auto"/>
        <w:tabs>
          <w:tab w:leader="none" w:pos="1980" w:val="left"/>
        </w:tabs>
        <w:numPr>
          <w:ilvl w:val="1"/>
          <w:numId w:val="26"/>
        </w:numPr>
        <w:rPr>
          <w:rFonts w:ascii="Arial" w:cs="Arial" w:eastAsia="Arial" w:hAnsi="Arial"/>
          <w:sz w:val="22"/>
          <w:szCs w:val="22"/>
          <w:color w:val="auto"/>
          <w:vertAlign w:val="superscript"/>
        </w:rPr>
      </w:pPr>
      <w:r>
        <w:rPr>
          <w:rFonts w:ascii="Arial" w:cs="Arial" w:eastAsia="Arial" w:hAnsi="Arial"/>
          <w:sz w:val="18"/>
          <w:szCs w:val="18"/>
          <w:color w:val="auto"/>
        </w:rPr>
        <w:t>Set the maximum IIP payout at 150% of target instead of the maximum of 200% allowed by the IIP to ensure affordability; and</w:t>
      </w:r>
    </w:p>
    <w:p>
      <w:pPr>
        <w:spacing w:after="0" w:line="153" w:lineRule="exact"/>
        <w:rPr>
          <w:rFonts w:ascii="Arial" w:cs="Arial" w:eastAsia="Arial" w:hAnsi="Arial"/>
          <w:sz w:val="22"/>
          <w:szCs w:val="22"/>
          <w:color w:val="auto"/>
          <w:vertAlign w:val="superscript"/>
        </w:rPr>
      </w:pPr>
    </w:p>
    <w:p>
      <w:pPr>
        <w:ind w:left="1980" w:right="1160" w:hanging="346"/>
        <w:spacing w:after="0" w:line="230" w:lineRule="auto"/>
        <w:tabs>
          <w:tab w:leader="none" w:pos="1980" w:val="left"/>
        </w:tabs>
        <w:numPr>
          <w:ilvl w:val="1"/>
          <w:numId w:val="26"/>
        </w:numPr>
        <w:rPr>
          <w:rFonts w:ascii="Arial" w:cs="Arial" w:eastAsia="Arial" w:hAnsi="Arial"/>
          <w:sz w:val="22"/>
          <w:szCs w:val="22"/>
          <w:color w:val="auto"/>
          <w:vertAlign w:val="superscript"/>
        </w:rPr>
      </w:pPr>
      <w:r>
        <w:rPr>
          <w:rFonts w:ascii="Arial" w:cs="Arial" w:eastAsia="Arial" w:hAnsi="Arial"/>
          <w:sz w:val="18"/>
          <w:szCs w:val="18"/>
          <w:color w:val="auto"/>
        </w:rPr>
        <w:t>Continued to prioritize profitability improvement over revenue growth, by keeping the mix of metrics the same as 2021:</w:t>
      </w:r>
    </w:p>
    <w:p>
      <w:pPr>
        <w:spacing w:after="0" w:line="31" w:lineRule="exact"/>
        <w:rPr>
          <w:sz w:val="20"/>
          <w:szCs w:val="20"/>
          <w:color w:val="auto"/>
        </w:rPr>
      </w:pPr>
    </w:p>
    <w:tbl>
      <w:tblPr>
        <w:tblLayout w:type="fixed"/>
        <w:tblInd w:w="2010" w:type="dxa"/>
        <w:tblCellMar>
          <w:top w:w="0" w:type="dxa"/>
          <w:left w:w="0" w:type="dxa"/>
          <w:bottom w:w="0" w:type="dxa"/>
          <w:right w:w="0" w:type="dxa"/>
        </w:tblCellMar>
      </w:tblPr>
      <w:tr>
        <w:trPr>
          <w:trHeight w:val="278"/>
        </w:trPr>
        <w:tc>
          <w:tcPr>
            <w:tcW w:w="3420" w:type="dxa"/>
            <w:vAlign w:val="bottom"/>
            <w:tcBorders>
              <w:top w:val="single" w:sz="8" w:color="auto"/>
              <w:left w:val="single" w:sz="8" w:color="auto"/>
              <w:right w:val="single" w:sz="8" w:color="auto"/>
            </w:tcBorders>
          </w:tcPr>
          <w:p>
            <w:pPr>
              <w:spacing w:after="0"/>
              <w:rPr>
                <w:sz w:val="24"/>
                <w:szCs w:val="24"/>
                <w:color w:val="auto"/>
              </w:rPr>
            </w:pPr>
          </w:p>
        </w:tc>
        <w:tc>
          <w:tcPr>
            <w:tcW w:w="3200" w:type="dxa"/>
            <w:vAlign w:val="bottom"/>
            <w:tcBorders>
              <w:top w:val="single" w:sz="8" w:color="auto"/>
              <w:right w:val="single" w:sz="8" w:color="auto"/>
            </w:tcBorders>
          </w:tcPr>
          <w:p>
            <w:pPr>
              <w:spacing w:after="0"/>
              <w:rPr>
                <w:sz w:val="24"/>
                <w:szCs w:val="24"/>
                <w:color w:val="auto"/>
              </w:rPr>
            </w:pP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2022 IIP</w:t>
            </w:r>
          </w:p>
        </w:tc>
      </w:tr>
      <w:tr>
        <w:trPr>
          <w:trHeight w:val="247"/>
        </w:trPr>
        <w:tc>
          <w:tcPr>
            <w:tcW w:w="3420" w:type="dxa"/>
            <w:vAlign w:val="bottom"/>
            <w:tcBorders>
              <w:left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color w:val="auto"/>
              </w:rPr>
              <w:t>Performance Objectives</w:t>
            </w:r>
          </w:p>
        </w:tc>
        <w:tc>
          <w:tcPr>
            <w:tcW w:w="320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Performance Metrics &amp; Weightings</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Weighting</w:t>
            </w:r>
          </w:p>
        </w:tc>
      </w:tr>
      <w:tr>
        <w:trPr>
          <w:trHeight w:val="42"/>
        </w:trPr>
        <w:tc>
          <w:tcPr>
            <w:tcW w:w="3420" w:type="dxa"/>
            <w:vAlign w:val="bottom"/>
            <w:tcBorders>
              <w:left w:val="single" w:sz="8" w:color="auto"/>
              <w:bottom w:val="single" w:sz="8" w:color="auto"/>
              <w:right w:val="single" w:sz="8" w:color="auto"/>
            </w:tcBorders>
          </w:tcPr>
          <w:p>
            <w:pPr>
              <w:spacing w:after="0"/>
              <w:rPr>
                <w:sz w:val="3"/>
                <w:szCs w:val="3"/>
                <w:color w:val="auto"/>
              </w:rPr>
            </w:pPr>
          </w:p>
        </w:tc>
        <w:tc>
          <w:tcPr>
            <w:tcW w:w="32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r>
      <w:tr>
        <w:trPr>
          <w:trHeight w:val="281"/>
        </w:trPr>
        <w:tc>
          <w:tcPr>
            <w:tcW w:w="34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Financial (100%)</w:t>
            </w:r>
          </w:p>
        </w:tc>
        <w:tc>
          <w:tcPr>
            <w:tcW w:w="3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Adjusted EBITDA</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60%</w:t>
            </w:r>
          </w:p>
        </w:tc>
      </w:tr>
      <w:tr>
        <w:trPr>
          <w:trHeight w:val="50"/>
        </w:trPr>
        <w:tc>
          <w:tcPr>
            <w:tcW w:w="3420" w:type="dxa"/>
            <w:vAlign w:val="bottom"/>
            <w:tcBorders>
              <w:left w:val="single" w:sz="8" w:color="auto"/>
              <w:right w:val="single" w:sz="8" w:color="auto"/>
            </w:tcBorders>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r>
      <w:tr>
        <w:trPr>
          <w:trHeight w:val="281"/>
        </w:trPr>
        <w:tc>
          <w:tcPr>
            <w:tcW w:w="3420" w:type="dxa"/>
            <w:vAlign w:val="bottom"/>
            <w:tcBorders>
              <w:left w:val="single" w:sz="8" w:color="auto"/>
              <w:right w:val="single" w:sz="8" w:color="auto"/>
            </w:tcBorders>
          </w:tcPr>
          <w:p>
            <w:pPr>
              <w:spacing w:after="0"/>
              <w:rPr>
                <w:sz w:val="24"/>
                <w:szCs w:val="24"/>
                <w:color w:val="auto"/>
              </w:rPr>
            </w:pPr>
          </w:p>
        </w:tc>
        <w:tc>
          <w:tcPr>
            <w:tcW w:w="3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Revenue</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30%</w:t>
            </w:r>
          </w:p>
        </w:tc>
      </w:tr>
      <w:tr>
        <w:trPr>
          <w:trHeight w:val="50"/>
        </w:trPr>
        <w:tc>
          <w:tcPr>
            <w:tcW w:w="3420" w:type="dxa"/>
            <w:vAlign w:val="bottom"/>
            <w:tcBorders>
              <w:left w:val="single" w:sz="8" w:color="auto"/>
              <w:right w:val="single" w:sz="8" w:color="auto"/>
            </w:tcBorders>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r>
      <w:tr>
        <w:trPr>
          <w:trHeight w:val="281"/>
        </w:trPr>
        <w:tc>
          <w:tcPr>
            <w:tcW w:w="3420" w:type="dxa"/>
            <w:vAlign w:val="bottom"/>
            <w:tcBorders>
              <w:left w:val="single" w:sz="8" w:color="auto"/>
              <w:right w:val="single" w:sz="8" w:color="auto"/>
            </w:tcBorders>
          </w:tcPr>
          <w:p>
            <w:pPr>
              <w:spacing w:after="0"/>
              <w:rPr>
                <w:sz w:val="24"/>
                <w:szCs w:val="24"/>
                <w:color w:val="auto"/>
              </w:rPr>
            </w:pPr>
          </w:p>
        </w:tc>
        <w:tc>
          <w:tcPr>
            <w:tcW w:w="3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Free Cash Flow</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10%</w:t>
            </w:r>
          </w:p>
        </w:tc>
      </w:tr>
      <w:tr>
        <w:trPr>
          <w:trHeight w:val="50"/>
        </w:trPr>
        <w:tc>
          <w:tcPr>
            <w:tcW w:w="3420" w:type="dxa"/>
            <w:vAlign w:val="bottom"/>
            <w:tcBorders>
              <w:left w:val="single" w:sz="8" w:color="auto"/>
              <w:bottom w:val="single" w:sz="8" w:color="auto"/>
              <w:right w:val="single" w:sz="8" w:color="auto"/>
            </w:tcBorders>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r>
      <w:tr>
        <w:trPr>
          <w:trHeight w:val="286"/>
        </w:trPr>
        <w:tc>
          <w:tcPr>
            <w:tcW w:w="34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Total</w:t>
            </w:r>
          </w:p>
        </w:tc>
        <w:tc>
          <w:tcPr>
            <w:tcW w:w="320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100%</w:t>
            </w:r>
          </w:p>
        </w:tc>
      </w:tr>
    </w:tbl>
    <w:p>
      <w:pPr>
        <w:spacing w:after="0" w:line="211" w:lineRule="exact"/>
        <w:rPr>
          <w:sz w:val="20"/>
          <w:szCs w:val="20"/>
          <w:color w:val="auto"/>
        </w:rPr>
      </w:pPr>
    </w:p>
    <w:p>
      <w:pPr>
        <w:ind w:left="2000" w:right="1040"/>
        <w:spacing w:after="0" w:line="253" w:lineRule="auto"/>
        <w:rPr>
          <w:sz w:val="20"/>
          <w:szCs w:val="20"/>
          <w:color w:val="auto"/>
        </w:rPr>
      </w:pPr>
      <w:r>
        <w:rPr>
          <w:rFonts w:ascii="Arial" w:cs="Arial" w:eastAsia="Arial" w:hAnsi="Arial"/>
          <w:sz w:val="18"/>
          <w:szCs w:val="18"/>
          <w:color w:val="auto"/>
        </w:rPr>
        <w:t>Adjusted EBITDA focuses on profitable growth, while continuing to provide strong accountability for returns. Revenue ensures we are delivering an appropriate level of top-line growth. Free cash flow is a strong indicator of profitability adjusted for non-cash expenses and capital investments.</w:t>
      </w:r>
    </w:p>
    <w:p>
      <w:pPr>
        <w:spacing w:after="0" w:line="142" w:lineRule="exact"/>
        <w:rPr>
          <w:sz w:val="20"/>
          <w:szCs w:val="20"/>
          <w:color w:val="auto"/>
        </w:rPr>
      </w:pPr>
    </w:p>
    <w:p>
      <w:pPr>
        <w:ind w:left="2000" w:right="1320"/>
        <w:spacing w:after="0" w:line="271" w:lineRule="auto"/>
        <w:rPr>
          <w:sz w:val="20"/>
          <w:szCs w:val="20"/>
          <w:color w:val="auto"/>
        </w:rPr>
      </w:pPr>
      <w:r>
        <w:rPr>
          <w:rFonts w:ascii="Arial" w:cs="Arial" w:eastAsia="Arial" w:hAnsi="Arial"/>
          <w:sz w:val="18"/>
          <w:szCs w:val="18"/>
          <w:color w:val="auto"/>
        </w:rPr>
        <w:t>The Compensation Committee retains discretion to further adjust the award upward or downward based on its assessment of Company and/or individual performance.</w:t>
      </w:r>
    </w:p>
    <w:p>
      <w:pPr>
        <w:spacing w:after="0" w:line="113" w:lineRule="exact"/>
        <w:rPr>
          <w:sz w:val="20"/>
          <w:szCs w:val="20"/>
          <w:color w:val="auto"/>
        </w:rPr>
      </w:pPr>
    </w:p>
    <w:p>
      <w:pPr>
        <w:ind w:left="1620" w:right="1060" w:hanging="346"/>
        <w:spacing w:after="0"/>
        <w:tabs>
          <w:tab w:leader="none" w:pos="1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LTIP: To continue to strengthen alignment with shareholders, the Compensation Committee decided to place a heavier emphasis on performance-based equity for the CEO by changing the annual LTI award mix for his award to 62.5% performance-based restricted stock units (PRSUs) and 37.5% time-vested restricted stock units (RSUs). The annual LTIP awards for all other NEOs continue to be comprised of 50% PRSUs and 50% RSUs. In addition, for the 2022 portion of the 2020-2022 performance cycle of the PRSUs, the Compensation Committee determined to widen the performance range and lower the payout threshold from 50% of target to 0% of target.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Long-Term Incentives</w:t>
      </w:r>
      <w:r>
        <w:rPr>
          <w:rFonts w:ascii="Arial" w:cs="Arial" w:eastAsia="Arial" w:hAnsi="Arial"/>
          <w:sz w:val="18"/>
          <w:szCs w:val="18"/>
          <w:color w:val="auto"/>
        </w:rPr>
        <w:t>” in this CD&amp;A for details.</w:t>
      </w:r>
    </w:p>
    <w:p>
      <w:pPr>
        <w:spacing w:after="0" w:line="268"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The Impact of Continued Supply Chain Disruptions and Other Factors on Compensation Decisions.</w:t>
      </w:r>
    </w:p>
    <w:p>
      <w:pPr>
        <w:spacing w:after="0" w:line="169" w:lineRule="exact"/>
        <w:rPr>
          <w:sz w:val="20"/>
          <w:szCs w:val="20"/>
          <w:color w:val="auto"/>
        </w:rPr>
      </w:pPr>
    </w:p>
    <w:p>
      <w:pPr>
        <w:ind w:left="920" w:right="1000"/>
        <w:spacing w:after="0" w:line="257" w:lineRule="auto"/>
        <w:rPr>
          <w:sz w:val="20"/>
          <w:szCs w:val="20"/>
          <w:color w:val="auto"/>
        </w:rPr>
      </w:pPr>
      <w:r>
        <w:rPr>
          <w:rFonts w:ascii="Arial" w:cs="Arial" w:eastAsia="Arial" w:hAnsi="Arial"/>
          <w:sz w:val="17"/>
          <w:szCs w:val="17"/>
          <w:color w:val="auto"/>
        </w:rPr>
        <w:t>Heading into 2022 with strong customer demand, a healthy book-to-bill ratio and record-setting backlogs, the Compensation Committee set goals for the incentive plans in early 2022 expecting improved operational results. However, inflationary pressures, semiconductor supply shortages, unanticipated supplier decommitments and component deliveries below expectations, continued to slow the conversion of backlog into revenue which resulted in lower-than-expected company results. As a result, 2022 Adjusted EBITDA and non-GAAP diluted EPS did not meet threshold performance levels for purposes of generating award payouts under the incentive plans. The Compensation Committee did not make any adjustments to the performance metrics or goals under the IIP, or for</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-24-</w:t>
            </w:r>
          </w:p>
        </w:tc>
      </w:tr>
      <w:tr>
        <w:trPr>
          <w:trHeight w:val="233"/>
        </w:trPr>
        <w:tc>
          <w:tcPr>
            <w:tcW w:w="3160" w:type="dxa"/>
            <w:vAlign w:val="bottom"/>
            <w:tcBorders>
              <w:bottom w:val="single" w:sz="8" w:color="auto"/>
            </w:tcBorders>
          </w:tcPr>
          <w:p>
            <w:pPr>
              <w:spacing w:after="0"/>
              <w:rPr>
                <w:sz w:val="20"/>
                <w:szCs w:val="20"/>
                <w:color w:val="auto"/>
              </w:rPr>
            </w:pPr>
          </w:p>
        </w:tc>
        <w:tc>
          <w:tcPr>
            <w:tcW w:w="786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263" w:right="439" w:bottom="1440" w:gutter="0" w:footer="0" w:header="0"/>
        </w:sectPr>
      </w:pPr>
    </w:p>
    <w:bookmarkStart w:id="28" w:name="page29"/>
    <w:bookmarkEnd w:id="28"/>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920" w:right="1120"/>
        <w:spacing w:after="0" w:line="253" w:lineRule="auto"/>
        <w:rPr>
          <w:sz w:val="20"/>
          <w:szCs w:val="20"/>
          <w:color w:val="auto"/>
        </w:rPr>
      </w:pPr>
      <w:r>
        <w:rPr>
          <w:rFonts w:ascii="Arial" w:cs="Arial" w:eastAsia="Arial" w:hAnsi="Arial"/>
          <w:sz w:val="18"/>
          <w:szCs w:val="18"/>
          <w:color w:val="auto"/>
        </w:rPr>
        <w:t>purposes of calculating earned PRSUs for 2022, despite its ability to do so. With this as the backdrop, and based on our performance results, the Compensation Committee made the following incentive plan payout decisions for fiscal 2022:</w:t>
      </w:r>
    </w:p>
    <w:p>
      <w:pPr>
        <w:spacing w:after="0" w:line="142" w:lineRule="exact"/>
        <w:rPr>
          <w:sz w:val="20"/>
          <w:szCs w:val="20"/>
          <w:color w:val="auto"/>
        </w:rPr>
      </w:pPr>
    </w:p>
    <w:p>
      <w:pPr>
        <w:ind w:left="1620" w:right="940" w:hanging="346"/>
        <w:spacing w:after="0" w:line="242"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IIP: 2022 Adjusted EBITDA did not meet adequate performance levels. As such, none of the NEOs received an IIP payout for 2022. However, retention and engagement of our critical workforce remain a top priority as we face strong competition for talent in an unpredictable and highly volatile business environment. As such, the Board approved a discretionary bonus pool to fund bonuses for all IIP-eligible employees, other than the NEOs (or any executive officers). </w:t>
      </w:r>
      <w:r>
        <w:rPr>
          <w:rFonts w:ascii="Arial" w:cs="Arial" w:eastAsia="Arial" w:hAnsi="Arial"/>
          <w:sz w:val="18"/>
          <w:szCs w:val="18"/>
          <w:i w:val="1"/>
          <w:iCs w:val="1"/>
          <w:color w:val="auto"/>
        </w:rPr>
        <w:t>See</w:t>
      </w:r>
      <w:r>
        <w:rPr>
          <w:rFonts w:ascii="Arial" w:cs="Arial" w:eastAsia="Arial" w:hAnsi="Arial"/>
          <w:sz w:val="18"/>
          <w:szCs w:val="18"/>
          <w:color w:val="auto"/>
        </w:rPr>
        <w:t xml:space="preserve"> “</w:t>
      </w:r>
      <w:r>
        <w:rPr>
          <w:rFonts w:ascii="Arial" w:cs="Arial" w:eastAsia="Arial" w:hAnsi="Arial"/>
          <w:sz w:val="18"/>
          <w:szCs w:val="18"/>
          <w:i w:val="1"/>
          <w:iCs w:val="1"/>
          <w:color w:val="auto"/>
        </w:rPr>
        <w:t>Annual Cash Incentives: The Itron</w:t>
      </w:r>
      <w:r>
        <w:rPr>
          <w:rFonts w:ascii="Arial" w:cs="Arial" w:eastAsia="Arial" w:hAnsi="Arial"/>
          <w:sz w:val="18"/>
          <w:szCs w:val="18"/>
          <w:color w:val="auto"/>
        </w:rPr>
        <w:t xml:space="preserve"> </w:t>
      </w:r>
      <w:r>
        <w:rPr>
          <w:rFonts w:ascii="Arial" w:cs="Arial" w:eastAsia="Arial" w:hAnsi="Arial"/>
          <w:sz w:val="18"/>
          <w:szCs w:val="18"/>
          <w:i w:val="1"/>
          <w:iCs w:val="1"/>
          <w:color w:val="auto"/>
        </w:rPr>
        <w:t>Incentive Plan (IIP)</w:t>
      </w:r>
      <w:r>
        <w:rPr>
          <w:rFonts w:ascii="Arial" w:cs="Arial" w:eastAsia="Arial" w:hAnsi="Arial"/>
          <w:sz w:val="18"/>
          <w:szCs w:val="18"/>
          <w:color w:val="auto"/>
        </w:rPr>
        <w:t>” in this CD&amp;A for details.</w:t>
      </w:r>
    </w:p>
    <w:p>
      <w:pPr>
        <w:spacing w:after="0" w:line="138" w:lineRule="exact"/>
        <w:rPr>
          <w:rFonts w:ascii="Arial" w:cs="Arial" w:eastAsia="Arial" w:hAnsi="Arial"/>
          <w:sz w:val="18"/>
          <w:szCs w:val="18"/>
          <w:color w:val="auto"/>
        </w:rPr>
      </w:pPr>
    </w:p>
    <w:p>
      <w:pPr>
        <w:jc w:val="both"/>
        <w:ind w:left="1620" w:right="1040" w:hanging="346"/>
        <w:spacing w:after="0" w:line="255" w:lineRule="auto"/>
        <w:tabs>
          <w:tab w:leader="none" w:pos="1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LTIP: Consistent with the terms of the LTIP, the NEOs earned 25.27% of their target PRSUs for the 2020-2022 performance cycle. This attainment is the combination of an average non-GAAP diluted EPS target attainment of 33.69% and a total shareholder return (TSR) multiplier of 0.75. </w:t>
      </w:r>
      <w:r>
        <w:rPr>
          <w:rFonts w:ascii="Arial" w:cs="Arial" w:eastAsia="Arial" w:hAnsi="Arial"/>
          <w:sz w:val="17"/>
          <w:szCs w:val="17"/>
          <w:i w:val="1"/>
          <w:iCs w:val="1"/>
          <w:color w:val="auto"/>
        </w:rPr>
        <w:t>See</w:t>
      </w:r>
      <w:r>
        <w:rPr>
          <w:rFonts w:ascii="Arial" w:cs="Arial" w:eastAsia="Arial" w:hAnsi="Arial"/>
          <w:sz w:val="17"/>
          <w:szCs w:val="17"/>
          <w:color w:val="auto"/>
        </w:rPr>
        <w:t xml:space="preserve"> “</w:t>
      </w:r>
      <w:r>
        <w:rPr>
          <w:rFonts w:ascii="Arial" w:cs="Arial" w:eastAsia="Arial" w:hAnsi="Arial"/>
          <w:sz w:val="17"/>
          <w:szCs w:val="17"/>
          <w:i w:val="1"/>
          <w:iCs w:val="1"/>
          <w:color w:val="auto"/>
        </w:rPr>
        <w:t>Long-Term Incentives</w:t>
      </w:r>
    </w:p>
    <w:p>
      <w:pPr>
        <w:spacing w:after="0" w:line="2" w:lineRule="exact"/>
        <w:rPr>
          <w:rFonts w:ascii="Arial" w:cs="Arial" w:eastAsia="Arial" w:hAnsi="Arial"/>
          <w:sz w:val="17"/>
          <w:szCs w:val="17"/>
          <w:color w:val="auto"/>
        </w:rPr>
      </w:pPr>
    </w:p>
    <w:p>
      <w:pPr>
        <w:ind w:left="1620"/>
        <w:spacing w:after="0"/>
        <w:rPr>
          <w:rFonts w:ascii="Arial" w:cs="Arial" w:eastAsia="Arial" w:hAnsi="Arial"/>
          <w:sz w:val="17"/>
          <w:szCs w:val="17"/>
          <w:color w:val="auto"/>
        </w:rPr>
      </w:pPr>
      <w:r>
        <w:rPr>
          <w:rFonts w:ascii="Arial" w:cs="Arial" w:eastAsia="Arial" w:hAnsi="Arial"/>
          <w:sz w:val="18"/>
          <w:szCs w:val="18"/>
          <w:i w:val="1"/>
          <w:iCs w:val="1"/>
          <w:color w:val="auto"/>
        </w:rPr>
        <w:t>— A Closer Look at PRSUs</w:t>
      </w:r>
      <w:r>
        <w:rPr>
          <w:rFonts w:ascii="Arial" w:cs="Arial" w:eastAsia="Arial" w:hAnsi="Arial"/>
          <w:sz w:val="18"/>
          <w:szCs w:val="18"/>
          <w:color w:val="auto"/>
        </w:rPr>
        <w:t>” in this CD&amp;A for details.</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Linking CEO Pay and Performance</w:t>
      </w:r>
    </w:p>
    <w:p>
      <w:pPr>
        <w:spacing w:after="0" w:line="171" w:lineRule="exact"/>
        <w:rPr>
          <w:sz w:val="20"/>
          <w:szCs w:val="20"/>
          <w:color w:val="auto"/>
        </w:rPr>
      </w:pPr>
    </w:p>
    <w:p>
      <w:pPr>
        <w:ind w:left="920" w:right="1280"/>
        <w:spacing w:after="0" w:line="253" w:lineRule="auto"/>
        <w:rPr>
          <w:sz w:val="20"/>
          <w:szCs w:val="20"/>
          <w:color w:val="auto"/>
        </w:rPr>
      </w:pPr>
      <w:r>
        <w:rPr>
          <w:rFonts w:ascii="Arial" w:cs="Arial" w:eastAsia="Arial" w:hAnsi="Arial"/>
          <w:sz w:val="18"/>
          <w:szCs w:val="18"/>
          <w:color w:val="auto"/>
        </w:rPr>
        <w:t>A key component of our executive compensation philosophy is the link between compensation and overall business results and shareholder value creation. We strive to clearly communicate this to our shareholders and believe that looking at realizable pay in the following different contexts can illustrate this point effectively:</w:t>
      </w:r>
    </w:p>
    <w:p>
      <w:pPr>
        <w:spacing w:after="0" w:line="128" w:lineRule="exact"/>
        <w:rPr>
          <w:sz w:val="20"/>
          <w:szCs w:val="20"/>
          <w:color w:val="auto"/>
        </w:rPr>
      </w:pPr>
    </w:p>
    <w:p>
      <w:pPr>
        <w:ind w:left="1620" w:hanging="346"/>
        <w:spacing w:after="0"/>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Realizable pay versus pay opportunity; and</w:t>
      </w:r>
    </w:p>
    <w:p>
      <w:pPr>
        <w:spacing w:after="0" w:line="184" w:lineRule="exact"/>
        <w:rPr>
          <w:rFonts w:ascii="Arial" w:cs="Arial" w:eastAsia="Arial" w:hAnsi="Arial"/>
          <w:sz w:val="18"/>
          <w:szCs w:val="18"/>
          <w:color w:val="auto"/>
        </w:rPr>
      </w:pPr>
    </w:p>
    <w:p>
      <w:pPr>
        <w:ind w:left="1620" w:hanging="346"/>
        <w:spacing w:after="0"/>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Realizable pay for performance relative to peers.</w:t>
      </w:r>
    </w:p>
    <w:p>
      <w:pPr>
        <w:spacing w:after="0" w:line="171" w:lineRule="exact"/>
        <w:rPr>
          <w:sz w:val="20"/>
          <w:szCs w:val="20"/>
          <w:color w:val="auto"/>
        </w:rPr>
      </w:pPr>
    </w:p>
    <w:p>
      <w:pPr>
        <w:ind w:left="920" w:right="920"/>
        <w:spacing w:after="0" w:line="244" w:lineRule="auto"/>
        <w:rPr>
          <w:sz w:val="20"/>
          <w:szCs w:val="20"/>
          <w:color w:val="auto"/>
        </w:rPr>
      </w:pPr>
      <w:r>
        <w:rPr>
          <w:rFonts w:ascii="Arial" w:cs="Arial" w:eastAsia="Arial" w:hAnsi="Arial"/>
          <w:sz w:val="18"/>
          <w:szCs w:val="18"/>
          <w:i w:val="1"/>
          <w:iCs w:val="1"/>
          <w:color w:val="auto"/>
        </w:rPr>
        <w:t xml:space="preserve">CEO Realizable Pay versus Pay Opportunity. </w:t>
      </w:r>
      <w:r>
        <w:rPr>
          <w:rFonts w:ascii="Arial" w:cs="Arial" w:eastAsia="Arial" w:hAnsi="Arial"/>
          <w:sz w:val="18"/>
          <w:szCs w:val="18"/>
          <w:color w:val="auto"/>
        </w:rPr>
        <w:t>Many of the required disclosures concerning CEO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discuss pay elements or opportunities that may be earned by the CEO. Realizable pay, on the other hand, more closely considers actual compensation earned (or earnable) based on performance. To illustrate the differences, we compared pay opportunity to realizable pay on a year-by-year basis over the past three years; for this purpose, we use the following definitions:</w:t>
      </w:r>
    </w:p>
    <w:p>
      <w:pPr>
        <w:spacing w:after="0" w:line="1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Pay opportunity </w:t>
      </w:r>
      <w:r>
        <w:rPr>
          <w:rFonts w:ascii="Arial" w:cs="Arial" w:eastAsia="Arial" w:hAnsi="Arial"/>
          <w:sz w:val="18"/>
          <w:szCs w:val="18"/>
          <w:color w:val="auto"/>
        </w:rPr>
        <w:t>represents:</w:t>
      </w:r>
    </w:p>
    <w:p>
      <w:pPr>
        <w:spacing w:after="0" w:line="171" w:lineRule="exact"/>
        <w:rPr>
          <w:sz w:val="20"/>
          <w:szCs w:val="20"/>
          <w:color w:val="auto"/>
        </w:rPr>
      </w:pPr>
    </w:p>
    <w:p>
      <w:pPr>
        <w:ind w:left="1620" w:hanging="346"/>
        <w:spacing w:after="0"/>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sum of base salary and target IIP opportunity for each fiscal year; and</w:t>
      </w:r>
    </w:p>
    <w:p>
      <w:pPr>
        <w:spacing w:after="0" w:line="171" w:lineRule="exact"/>
        <w:rPr>
          <w:rFonts w:ascii="Arial" w:cs="Arial" w:eastAsia="Arial" w:hAnsi="Arial"/>
          <w:sz w:val="18"/>
          <w:szCs w:val="18"/>
          <w:color w:val="auto"/>
        </w:rPr>
      </w:pPr>
    </w:p>
    <w:p>
      <w:pPr>
        <w:ind w:left="1620" w:hanging="346"/>
        <w:spacing w:after="0"/>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grant date fair value of stock options, RSUs and PRSUs granted in each fiscal year.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Realizable pay </w:t>
      </w:r>
      <w:r>
        <w:rPr>
          <w:rFonts w:ascii="Arial" w:cs="Arial" w:eastAsia="Arial" w:hAnsi="Arial"/>
          <w:sz w:val="18"/>
          <w:szCs w:val="18"/>
          <w:color w:val="auto"/>
        </w:rPr>
        <w:t>represents:</w:t>
      </w:r>
    </w:p>
    <w:p>
      <w:pPr>
        <w:spacing w:after="0" w:line="171" w:lineRule="exact"/>
        <w:rPr>
          <w:sz w:val="20"/>
          <w:szCs w:val="20"/>
          <w:color w:val="auto"/>
        </w:rPr>
      </w:pPr>
    </w:p>
    <w:p>
      <w:pPr>
        <w:ind w:left="1620" w:hanging="346"/>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sum of base salary and actual IIP paid for each fiscal year;</w:t>
      </w:r>
    </w:p>
    <w:p>
      <w:pPr>
        <w:spacing w:after="0" w:line="184" w:lineRule="exact"/>
        <w:rPr>
          <w:rFonts w:ascii="Arial" w:cs="Arial" w:eastAsia="Arial" w:hAnsi="Arial"/>
          <w:sz w:val="18"/>
          <w:szCs w:val="18"/>
          <w:color w:val="auto"/>
        </w:rPr>
      </w:pPr>
    </w:p>
    <w:p>
      <w:pPr>
        <w:ind w:left="1620" w:right="1080" w:hanging="346"/>
        <w:spacing w:after="0" w:line="271" w:lineRule="auto"/>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 the money” value of any stock options granted in each fiscal year, valued as of their vesting date, or if unvested, as of December 31, 2022;</w:t>
      </w:r>
    </w:p>
    <w:p>
      <w:pPr>
        <w:spacing w:after="0" w:line="113" w:lineRule="exact"/>
        <w:rPr>
          <w:rFonts w:ascii="Arial" w:cs="Arial" w:eastAsia="Arial" w:hAnsi="Arial"/>
          <w:sz w:val="18"/>
          <w:szCs w:val="18"/>
          <w:color w:val="auto"/>
        </w:rPr>
      </w:pPr>
    </w:p>
    <w:p>
      <w:pPr>
        <w:ind w:left="1620" w:right="1860" w:hanging="346"/>
        <w:spacing w:after="0" w:line="271" w:lineRule="auto"/>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value of RSUs granted in each fiscal year valued at their vesting date, or if unvested, as of December 31, 2022;</w:t>
      </w:r>
    </w:p>
    <w:p>
      <w:pPr>
        <w:spacing w:after="0" w:line="113" w:lineRule="exact"/>
        <w:rPr>
          <w:rFonts w:ascii="Arial" w:cs="Arial" w:eastAsia="Arial" w:hAnsi="Arial"/>
          <w:sz w:val="18"/>
          <w:szCs w:val="18"/>
          <w:color w:val="auto"/>
        </w:rPr>
      </w:pPr>
    </w:p>
    <w:p>
      <w:pPr>
        <w:ind w:left="1620" w:hanging="346"/>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of PRSUs actually earned based on performance, valued as of December 31, 2022; and</w:t>
      </w:r>
    </w:p>
    <w:p>
      <w:pPr>
        <w:spacing w:after="0" w:line="184" w:lineRule="exact"/>
        <w:rPr>
          <w:rFonts w:ascii="Arial" w:cs="Arial" w:eastAsia="Arial" w:hAnsi="Arial"/>
          <w:sz w:val="18"/>
          <w:szCs w:val="18"/>
          <w:color w:val="auto"/>
        </w:rPr>
      </w:pPr>
    </w:p>
    <w:p>
      <w:pPr>
        <w:ind w:left="1620" w:right="1220" w:hanging="346"/>
        <w:spacing w:after="0" w:line="271" w:lineRule="auto"/>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outstanding PRSUs (uncompleted performance cycles), the estimated number of PRSUs based on performance to date, valued as of December 31, 2022.</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-25-</w:t>
            </w:r>
          </w:p>
        </w:tc>
      </w:tr>
      <w:tr>
        <w:trPr>
          <w:trHeight w:val="219"/>
        </w:trPr>
        <w:tc>
          <w:tcPr>
            <w:tcW w:w="316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29" w:name="page30"/>
    <w:bookmarkEnd w:id="29"/>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right="1820"/>
        <w:spacing w:after="0" w:line="271" w:lineRule="auto"/>
        <w:rPr>
          <w:sz w:val="20"/>
          <w:szCs w:val="20"/>
          <w:color w:val="auto"/>
        </w:rPr>
      </w:pPr>
      <w:r>
        <w:rPr>
          <w:rFonts w:ascii="Arial" w:cs="Arial" w:eastAsia="Arial" w:hAnsi="Arial"/>
          <w:sz w:val="18"/>
          <w:szCs w:val="18"/>
          <w:color w:val="auto"/>
        </w:rPr>
        <w:t>The chart below illustrates Mr. Deitrich’s realizable pay compared to his pay opportunities, as well as the corresponding year-end stock price for the last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194945</wp:posOffset>
            </wp:positionV>
            <wp:extent cx="4337685" cy="2297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3768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w:t>
      </w:r>
    </w:p>
    <w:p>
      <w:pPr>
        <w:spacing w:after="0" w:line="171" w:lineRule="exact"/>
        <w:rPr>
          <w:sz w:val="20"/>
          <w:szCs w:val="20"/>
          <w:color w:val="auto"/>
        </w:rPr>
      </w:pPr>
    </w:p>
    <w:p>
      <w:pPr>
        <w:ind w:left="920" w:right="960"/>
        <w:spacing w:after="0"/>
        <w:rPr>
          <w:sz w:val="20"/>
          <w:szCs w:val="20"/>
          <w:color w:val="auto"/>
        </w:rPr>
      </w:pPr>
      <w:r>
        <w:rPr>
          <w:rFonts w:ascii="Arial" w:cs="Arial" w:eastAsia="Arial" w:hAnsi="Arial"/>
          <w:sz w:val="18"/>
          <w:szCs w:val="18"/>
          <w:i w:val="1"/>
          <w:iCs w:val="1"/>
          <w:color w:val="auto"/>
        </w:rPr>
        <w:t xml:space="preserve">CEO Realizable Pay for Performance Relative to Peer Group. </w:t>
      </w:r>
      <w:r>
        <w:rPr>
          <w:rFonts w:ascii="Arial" w:cs="Arial" w:eastAsia="Arial" w:hAnsi="Arial"/>
          <w:sz w:val="18"/>
          <w:szCs w:val="18"/>
          <w:color w:val="auto"/>
        </w:rPr>
        <w:t>To provide another perspective, it is also helpful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understand the degree of alignment between CEO realizable pay and performance relative to our peer companies. </w:t>
      </w:r>
      <w:r>
        <w:rPr>
          <w:rFonts w:ascii="Arial" w:cs="Arial" w:eastAsia="Arial" w:hAnsi="Arial"/>
          <w:sz w:val="18"/>
          <w:szCs w:val="18"/>
          <w:i w:val="1"/>
          <w:iCs w:val="1"/>
          <w:color w:val="auto"/>
        </w:rPr>
        <w:t xml:space="preserve">See </w:t>
      </w:r>
      <w:r>
        <w:rPr>
          <w:rFonts w:ascii="Arial" w:cs="Arial" w:eastAsia="Arial" w:hAnsi="Arial"/>
          <w:sz w:val="18"/>
          <w:szCs w:val="18"/>
          <w:color w:val="auto"/>
        </w:rPr>
        <w:t>“</w:t>
      </w:r>
      <w:r>
        <w:rPr>
          <w:rFonts w:ascii="Arial" w:cs="Arial" w:eastAsia="Arial" w:hAnsi="Arial"/>
          <w:sz w:val="18"/>
          <w:szCs w:val="18"/>
          <w:i w:val="1"/>
          <w:iCs w:val="1"/>
          <w:color w:val="auto"/>
        </w:rPr>
        <w:t>Our Decision-Making Process — The Role of Peer Companies</w:t>
      </w:r>
      <w:r>
        <w:rPr>
          <w:rFonts w:ascii="Arial" w:cs="Arial" w:eastAsia="Arial" w:hAnsi="Arial"/>
          <w:sz w:val="18"/>
          <w:szCs w:val="18"/>
          <w:color w:val="auto"/>
        </w:rPr>
        <w:t>” in this CD&amp;A for a list of the peer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To evaluate this alignment, we analyzed the relationship between realizable total direct compensation (TDC) for the CEO over 2019-2021 for the peer companies and for the Company, and TSR for the three years ended December 31, 2021. Note that this time period is different than used in the chart above since disclosed compensation information for our peer group companies was only available through 2021 at the time of the analysis.</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this purpose, realizable TDC is defined as the sum of:</w:t>
      </w:r>
    </w:p>
    <w:p>
      <w:pPr>
        <w:spacing w:after="0" w:line="171" w:lineRule="exact"/>
        <w:rPr>
          <w:sz w:val="20"/>
          <w:szCs w:val="20"/>
          <w:color w:val="auto"/>
        </w:rPr>
      </w:pPr>
    </w:p>
    <w:p>
      <w:pPr>
        <w:ind w:left="1620" w:hanging="346"/>
        <w:spacing w:after="0"/>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base salaries paid over the three-year period;</w:t>
      </w:r>
    </w:p>
    <w:p>
      <w:pPr>
        <w:spacing w:after="0" w:line="184" w:lineRule="exact"/>
        <w:rPr>
          <w:rFonts w:ascii="Arial" w:cs="Arial" w:eastAsia="Arial" w:hAnsi="Arial"/>
          <w:sz w:val="18"/>
          <w:szCs w:val="18"/>
          <w:color w:val="auto"/>
        </w:rPr>
      </w:pPr>
    </w:p>
    <w:p>
      <w:pPr>
        <w:ind w:left="1620" w:hanging="346"/>
        <w:spacing w:after="0"/>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Actual annual incentives (bonuses) paid over the three-year period;</w:t>
      </w:r>
    </w:p>
    <w:p>
      <w:pPr>
        <w:spacing w:after="0" w:line="171" w:lineRule="exact"/>
        <w:rPr>
          <w:rFonts w:ascii="Arial" w:cs="Arial" w:eastAsia="Arial" w:hAnsi="Arial"/>
          <w:sz w:val="18"/>
          <w:szCs w:val="18"/>
          <w:color w:val="auto"/>
        </w:rPr>
      </w:pPr>
    </w:p>
    <w:p>
      <w:pPr>
        <w:ind w:left="1620" w:hanging="346"/>
        <w:spacing w:after="0"/>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“In-the-money” value as of December 31, 2021 of any stock options granted over the three-year period;</w:t>
      </w:r>
    </w:p>
    <w:p>
      <w:pPr>
        <w:spacing w:after="0" w:line="171" w:lineRule="exact"/>
        <w:rPr>
          <w:rFonts w:ascii="Arial" w:cs="Arial" w:eastAsia="Arial" w:hAnsi="Arial"/>
          <w:sz w:val="18"/>
          <w:szCs w:val="18"/>
          <w:color w:val="auto"/>
        </w:rPr>
      </w:pPr>
    </w:p>
    <w:p>
      <w:pPr>
        <w:ind w:left="1620" w:right="1420" w:hanging="346"/>
        <w:spacing w:after="0" w:line="271"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value as of December 31, 2021 of any restricted shares granted (including vested and unvested shares) over the three-year period; and</w:t>
      </w:r>
    </w:p>
    <w:p>
      <w:pPr>
        <w:spacing w:after="0" w:line="126" w:lineRule="exact"/>
        <w:rPr>
          <w:rFonts w:ascii="Arial" w:cs="Arial" w:eastAsia="Arial" w:hAnsi="Arial"/>
          <w:sz w:val="18"/>
          <w:szCs w:val="18"/>
          <w:color w:val="auto"/>
        </w:rPr>
      </w:pPr>
    </w:p>
    <w:p>
      <w:pPr>
        <w:jc w:val="both"/>
        <w:ind w:left="1620" w:right="1120" w:hanging="346"/>
        <w:spacing w:after="0" w:line="253"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Cash-based long-term incentives awarded during the period, and the value as of December 31, 2021 of any performance shares granted over the three-year period (assuming target performance for cycles not completed).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-26-</w:t>
            </w:r>
          </w:p>
        </w:tc>
      </w:tr>
      <w:tr>
        <w:trPr>
          <w:trHeight w:val="219"/>
        </w:trPr>
        <w:tc>
          <w:tcPr>
            <w:tcW w:w="316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30" w:name="page31"/>
    <w:bookmarkEnd w:id="30"/>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right="1060"/>
        <w:spacing w:after="0" w:line="247" w:lineRule="auto"/>
        <w:rPr>
          <w:sz w:val="20"/>
          <w:szCs w:val="20"/>
          <w:color w:val="auto"/>
        </w:rPr>
      </w:pPr>
      <w:r>
        <w:rPr>
          <w:rFonts w:ascii="Arial" w:cs="Arial" w:eastAsia="Arial" w:hAnsi="Arial"/>
          <w:sz w:val="18"/>
          <w:szCs w:val="18"/>
          <w:color w:val="auto"/>
        </w:rPr>
        <w:t>The chart below illustrates the percentile ranking of our three-year TSR and Itron CEOs’ realizable TDC relative to our peer companies. As the chart indicates, during the three-year period our TSR performance was below the median of the peer companies and our CEOs’ realizable TDC was below the median. Itron CEO realizable TDC was within an “alignment corridor” representing a strong correlation between compensation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1506220</wp:posOffset>
            </wp:positionH>
            <wp:positionV relativeFrom="paragraph">
              <wp:posOffset>208280</wp:posOffset>
            </wp:positionV>
            <wp:extent cx="3977640" cy="28886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97764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Best Compensation Practices &amp; Policies</w:t>
      </w:r>
    </w:p>
    <w:p>
      <w:pPr>
        <w:spacing w:after="0" w:line="171" w:lineRule="exact"/>
        <w:rPr>
          <w:sz w:val="20"/>
          <w:szCs w:val="20"/>
          <w:color w:val="auto"/>
        </w:rPr>
      </w:pPr>
    </w:p>
    <w:p>
      <w:pPr>
        <w:ind w:left="920" w:right="1260"/>
        <w:spacing w:after="0" w:line="271" w:lineRule="auto"/>
        <w:rPr>
          <w:sz w:val="20"/>
          <w:szCs w:val="20"/>
          <w:color w:val="auto"/>
        </w:rPr>
      </w:pPr>
      <w:r>
        <w:rPr>
          <w:rFonts w:ascii="Arial" w:cs="Arial" w:eastAsia="Arial" w:hAnsi="Arial"/>
          <w:sz w:val="18"/>
          <w:szCs w:val="18"/>
          <w:color w:val="auto"/>
        </w:rPr>
        <w:t>We also believe the Company’s practices and policies promote sound compensation governance and are in the best interests of our shareholders and executives:</w:t>
      </w:r>
    </w:p>
    <w:p>
      <w:pPr>
        <w:spacing w:after="0" w:line="73" w:lineRule="exact"/>
        <w:rPr>
          <w:sz w:val="20"/>
          <w:szCs w:val="20"/>
          <w:color w:val="auto"/>
        </w:rPr>
      </w:pPr>
    </w:p>
    <w:tbl>
      <w:tblPr>
        <w:tblLayout w:type="fixed"/>
        <w:tblInd w:w="1000" w:type="dxa"/>
        <w:tblCellMar>
          <w:top w:w="0" w:type="dxa"/>
          <w:left w:w="0" w:type="dxa"/>
          <w:bottom w:w="0" w:type="dxa"/>
          <w:right w:w="0" w:type="dxa"/>
        </w:tblCellMar>
      </w:tblPr>
      <w:tr>
        <w:trPr>
          <w:trHeight w:val="247"/>
        </w:trPr>
        <w:tc>
          <w:tcPr>
            <w:tcW w:w="320" w:type="dxa"/>
            <w:vAlign w:val="bottom"/>
          </w:tcPr>
          <w:p>
            <w:pPr>
              <w:spacing w:after="0"/>
              <w:rPr>
                <w:sz w:val="21"/>
                <w:szCs w:val="21"/>
                <w:color w:val="auto"/>
              </w:rPr>
            </w:pPr>
          </w:p>
        </w:tc>
        <w:tc>
          <w:tcPr>
            <w:tcW w:w="4320" w:type="dxa"/>
            <w:vAlign w:val="bottom"/>
            <w:gridSpan w:val="2"/>
          </w:tcPr>
          <w:p>
            <w:pPr>
              <w:ind w:left="1360"/>
              <w:spacing w:after="0"/>
              <w:rPr>
                <w:sz w:val="20"/>
                <w:szCs w:val="20"/>
                <w:color w:val="auto"/>
              </w:rPr>
            </w:pPr>
            <w:r>
              <w:rPr>
                <w:rFonts w:ascii="Arial" w:cs="Arial" w:eastAsia="Arial" w:hAnsi="Arial"/>
                <w:sz w:val="18"/>
                <w:szCs w:val="18"/>
                <w:b w:val="1"/>
                <w:bCs w:val="1"/>
                <w:color w:val="auto"/>
              </w:rPr>
              <w:t>What We Do</w:t>
            </w:r>
          </w:p>
        </w:tc>
        <w:tc>
          <w:tcPr>
            <w:tcW w:w="280" w:type="dxa"/>
            <w:vAlign w:val="bottom"/>
          </w:tcPr>
          <w:p>
            <w:pPr>
              <w:spacing w:after="0"/>
              <w:rPr>
                <w:sz w:val="21"/>
                <w:szCs w:val="21"/>
                <w:color w:val="auto"/>
              </w:rPr>
            </w:pPr>
          </w:p>
        </w:tc>
        <w:tc>
          <w:tcPr>
            <w:tcW w:w="4100" w:type="dxa"/>
            <w:vAlign w:val="bottom"/>
          </w:tcPr>
          <w:p>
            <w:pPr>
              <w:ind w:left="1140"/>
              <w:spacing w:after="0"/>
              <w:rPr>
                <w:sz w:val="20"/>
                <w:szCs w:val="20"/>
                <w:color w:val="auto"/>
              </w:rPr>
            </w:pPr>
            <w:r>
              <w:rPr>
                <w:rFonts w:ascii="Arial" w:cs="Arial" w:eastAsia="Arial" w:hAnsi="Arial"/>
                <w:sz w:val="18"/>
                <w:szCs w:val="18"/>
                <w:b w:val="1"/>
                <w:bCs w:val="1"/>
                <w:color w:val="auto"/>
              </w:rPr>
              <w:t>What We Don’t Do</w:t>
            </w:r>
          </w:p>
        </w:tc>
      </w:tr>
      <w:tr>
        <w:trPr>
          <w:trHeight w:val="42"/>
        </w:trPr>
        <w:tc>
          <w:tcPr>
            <w:tcW w:w="4420" w:type="dxa"/>
            <w:vAlign w:val="bottom"/>
            <w:tcBorders>
              <w:bottom w:val="single" w:sz="8" w:color="auto"/>
            </w:tcBorders>
            <w:gridSpan w:val="2"/>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100" w:type="dxa"/>
            <w:vAlign w:val="bottom"/>
            <w:tcBorders>
              <w:bottom w:val="single" w:sz="8" w:color="auto"/>
            </w:tcBorders>
          </w:tcPr>
          <w:p>
            <w:pPr>
              <w:spacing w:after="0"/>
              <w:rPr>
                <w:sz w:val="3"/>
                <w:szCs w:val="3"/>
                <w:color w:val="auto"/>
              </w:rPr>
            </w:pPr>
          </w:p>
        </w:tc>
      </w:tr>
      <w:tr>
        <w:trPr>
          <w:trHeight w:val="297"/>
        </w:trPr>
        <w:tc>
          <w:tcPr>
            <w:tcW w:w="4640" w:type="dxa"/>
            <w:vAlign w:val="bottom"/>
            <w:gridSpan w:val="3"/>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Heavy emphasis on variable compensation</w:t>
            </w:r>
          </w:p>
        </w:tc>
        <w:tc>
          <w:tcPr>
            <w:tcW w:w="2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ind w:left="140"/>
              <w:spacing w:after="0"/>
              <w:rPr>
                <w:sz w:val="20"/>
                <w:szCs w:val="20"/>
                <w:color w:val="auto"/>
              </w:rPr>
            </w:pPr>
            <w:r>
              <w:rPr>
                <w:rFonts w:ascii="Arial" w:cs="Arial" w:eastAsia="Arial" w:hAnsi="Arial"/>
                <w:sz w:val="18"/>
                <w:szCs w:val="18"/>
                <w:color w:val="auto"/>
              </w:rPr>
              <w:t>No employment agreements</w:t>
            </w:r>
          </w:p>
        </w:tc>
      </w:tr>
      <w:tr>
        <w:trPr>
          <w:trHeight w:val="285"/>
        </w:trPr>
        <w:tc>
          <w:tcPr>
            <w:tcW w:w="4640" w:type="dxa"/>
            <w:vAlign w:val="bottom"/>
            <w:gridSpan w:val="3"/>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Significant portion of annual long-term incentives</w:t>
            </w:r>
          </w:p>
        </w:tc>
        <w:tc>
          <w:tcPr>
            <w:tcW w:w="438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“single trigger” change-in-control cash</w:t>
            </w:r>
          </w:p>
        </w:tc>
      </w:tr>
      <w:tr>
        <w:trPr>
          <w:trHeight w:val="239"/>
        </w:trPr>
        <w:tc>
          <w:tcPr>
            <w:tcW w:w="320" w:type="dxa"/>
            <w:vAlign w:val="bottom"/>
          </w:tcPr>
          <w:p>
            <w:pPr>
              <w:spacing w:after="0"/>
              <w:rPr>
                <w:sz w:val="20"/>
                <w:szCs w:val="20"/>
                <w:color w:val="auto"/>
              </w:rPr>
            </w:pPr>
          </w:p>
        </w:tc>
        <w:tc>
          <w:tcPr>
            <w:tcW w:w="4320" w:type="dxa"/>
            <w:vAlign w:val="bottom"/>
            <w:gridSpan w:val="2"/>
          </w:tcPr>
          <w:p>
            <w:pPr>
              <w:ind w:left="140"/>
              <w:spacing w:after="0"/>
              <w:rPr>
                <w:sz w:val="20"/>
                <w:szCs w:val="20"/>
                <w:color w:val="auto"/>
              </w:rPr>
            </w:pPr>
            <w:r>
              <w:rPr>
                <w:rFonts w:ascii="Arial" w:cs="Arial" w:eastAsia="Arial" w:hAnsi="Arial"/>
                <w:sz w:val="18"/>
                <w:szCs w:val="18"/>
                <w:color w:val="auto"/>
              </w:rPr>
              <w:t>are performance based</w:t>
            </w:r>
          </w:p>
        </w:tc>
        <w:tc>
          <w:tcPr>
            <w:tcW w:w="280" w:type="dxa"/>
            <w:vAlign w:val="bottom"/>
          </w:tcPr>
          <w:p>
            <w:pPr>
              <w:spacing w:after="0"/>
              <w:rPr>
                <w:sz w:val="20"/>
                <w:szCs w:val="20"/>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payments</w:t>
            </w:r>
          </w:p>
        </w:tc>
      </w:tr>
      <w:tr>
        <w:trPr>
          <w:trHeight w:val="301"/>
        </w:trPr>
        <w:tc>
          <w:tcPr>
            <w:tcW w:w="4640" w:type="dxa"/>
            <w:vAlign w:val="bottom"/>
            <w:gridSpan w:val="3"/>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Rigorous stock ownership guidelines</w:t>
            </w:r>
          </w:p>
        </w:tc>
        <w:tc>
          <w:tcPr>
            <w:tcW w:w="438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tax gross-ups in our change-in-control</w:t>
            </w:r>
          </w:p>
        </w:tc>
      </w:tr>
      <w:tr>
        <w:trPr>
          <w:trHeight w:val="239"/>
        </w:trPr>
        <w:tc>
          <w:tcPr>
            <w:tcW w:w="3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00" w:type="dxa"/>
            <w:vAlign w:val="bottom"/>
          </w:tcPr>
          <w:p>
            <w:pPr>
              <w:ind w:left="140"/>
              <w:spacing w:after="0"/>
              <w:rPr>
                <w:sz w:val="20"/>
                <w:szCs w:val="20"/>
                <w:color w:val="auto"/>
              </w:rPr>
            </w:pPr>
            <w:r>
              <w:rPr>
                <w:rFonts w:ascii="Arial" w:cs="Arial" w:eastAsia="Arial" w:hAnsi="Arial"/>
                <w:sz w:val="18"/>
                <w:szCs w:val="18"/>
                <w:color w:val="auto"/>
              </w:rPr>
              <w:t>agreements</w:t>
            </w:r>
          </w:p>
        </w:tc>
      </w:tr>
      <w:tr>
        <w:trPr>
          <w:trHeight w:val="354"/>
        </w:trPr>
        <w:tc>
          <w:tcPr>
            <w:tcW w:w="4640" w:type="dxa"/>
            <w:vAlign w:val="bottom"/>
            <w:gridSpan w:val="3"/>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Repayment (Clawback) Policy</w:t>
            </w:r>
          </w:p>
        </w:tc>
        <w:tc>
          <w:tcPr>
            <w:tcW w:w="438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option backdating or repricing</w:t>
            </w:r>
          </w:p>
        </w:tc>
      </w:tr>
      <w:tr>
        <w:trPr>
          <w:trHeight w:val="337"/>
        </w:trPr>
        <w:tc>
          <w:tcPr>
            <w:tcW w:w="3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gridSpan w:val="2"/>
          </w:tcPr>
          <w:p>
            <w:pPr>
              <w:ind w:left="140"/>
              <w:spacing w:after="0"/>
              <w:rPr>
                <w:sz w:val="20"/>
                <w:szCs w:val="20"/>
                <w:color w:val="auto"/>
              </w:rPr>
            </w:pPr>
            <w:r>
              <w:rPr>
                <w:rFonts w:ascii="Arial" w:cs="Arial" w:eastAsia="Arial" w:hAnsi="Arial"/>
                <w:sz w:val="18"/>
                <w:szCs w:val="18"/>
                <w:color w:val="auto"/>
              </w:rPr>
              <w:t>Independent compensation consultant</w:t>
            </w:r>
          </w:p>
        </w:tc>
        <w:tc>
          <w:tcPr>
            <w:tcW w:w="4380" w:type="dxa"/>
            <w:vAlign w:val="bottom"/>
            <w:gridSpan w:val="2"/>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hedging or pledging</w:t>
            </w:r>
          </w:p>
        </w:tc>
      </w:tr>
      <w:tr>
        <w:trPr>
          <w:trHeight w:val="338"/>
        </w:trPr>
        <w:tc>
          <w:tcPr>
            <w:tcW w:w="3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gridSpan w:val="2"/>
          </w:tcPr>
          <w:p>
            <w:pPr>
              <w:ind w:left="140"/>
              <w:spacing w:after="0"/>
              <w:rPr>
                <w:sz w:val="20"/>
                <w:szCs w:val="20"/>
                <w:color w:val="auto"/>
              </w:rPr>
            </w:pPr>
            <w:r>
              <w:rPr>
                <w:rFonts w:ascii="Arial" w:cs="Arial" w:eastAsia="Arial" w:hAnsi="Arial"/>
                <w:sz w:val="18"/>
                <w:szCs w:val="18"/>
                <w:color w:val="auto"/>
              </w:rPr>
              <w:t>Annual risk assessments</w:t>
            </w:r>
          </w:p>
        </w:tc>
        <w:tc>
          <w:tcPr>
            <w:tcW w:w="2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ind w:left="140"/>
              <w:spacing w:after="0"/>
              <w:rPr>
                <w:sz w:val="20"/>
                <w:szCs w:val="20"/>
                <w:color w:val="auto"/>
              </w:rPr>
            </w:pPr>
            <w:r>
              <w:rPr>
                <w:rFonts w:ascii="Arial" w:cs="Arial" w:eastAsia="Arial" w:hAnsi="Arial"/>
                <w:sz w:val="18"/>
                <w:szCs w:val="18"/>
                <w:color w:val="auto"/>
              </w:rPr>
              <w:t>No special perquisites</w:t>
            </w:r>
          </w:p>
        </w:tc>
      </w:tr>
    </w:tbl>
    <w:p>
      <w:pPr>
        <w:spacing w:after="0" w:line="272"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2022 Say-On-Pay &amp; Shareholder Engagement</w:t>
      </w:r>
    </w:p>
    <w:p>
      <w:pPr>
        <w:spacing w:after="0" w:line="185" w:lineRule="exact"/>
        <w:rPr>
          <w:sz w:val="20"/>
          <w:szCs w:val="20"/>
          <w:color w:val="auto"/>
        </w:rPr>
      </w:pPr>
    </w:p>
    <w:p>
      <w:pPr>
        <w:ind w:left="920" w:right="960"/>
        <w:spacing w:after="0" w:line="247" w:lineRule="auto"/>
        <w:rPr>
          <w:sz w:val="20"/>
          <w:szCs w:val="20"/>
          <w:color w:val="auto"/>
        </w:rPr>
      </w:pPr>
      <w:r>
        <w:rPr>
          <w:rFonts w:ascii="Arial" w:cs="Arial" w:eastAsia="Arial" w:hAnsi="Arial"/>
          <w:sz w:val="18"/>
          <w:szCs w:val="18"/>
          <w:color w:val="auto"/>
        </w:rPr>
        <w:t>Each year, we carefully consider the results of our shareholder say-on-pay vote from the preceding year. We also consider the feedback we receive from our major shareholders, which is solicited by the Board Chair, and the Chair of the Compensation Committee, and the Chair of the Nominating and Corporate Governance Committee, either in person or via telephone.</w:t>
      </w:r>
    </w:p>
    <w:p>
      <w:pPr>
        <w:spacing w:after="0" w:line="133" w:lineRule="exact"/>
        <w:rPr>
          <w:sz w:val="20"/>
          <w:szCs w:val="20"/>
          <w:color w:val="auto"/>
        </w:rPr>
      </w:pPr>
    </w:p>
    <w:p>
      <w:pPr>
        <w:ind w:left="920" w:right="960"/>
        <w:spacing w:after="0" w:line="242" w:lineRule="auto"/>
        <w:rPr>
          <w:sz w:val="20"/>
          <w:szCs w:val="20"/>
          <w:color w:val="auto"/>
        </w:rPr>
      </w:pPr>
      <w:r>
        <w:rPr>
          <w:rFonts w:ascii="Arial" w:cs="Arial" w:eastAsia="Arial" w:hAnsi="Arial"/>
          <w:sz w:val="18"/>
          <w:szCs w:val="18"/>
          <w:color w:val="auto"/>
        </w:rPr>
        <w:t>In 2022, approximately 91% of the votes cast supported our executive compensation decisions. The Board regularly conducts proactive outreach meetings with the Company’s largest shareholders. During 2022, the Company offered meetings to our top 100 shareholders representing approximately 83% of shares outstanding, to invite them to have discussions with our directors on topics including Company strategy and performance, governance, and executive compensation. We will continue to keep an open dialogue with our shareholders to help ensure that we have a regular pulse on investor perspectives.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-27-</w:t>
            </w:r>
          </w:p>
        </w:tc>
      </w:tr>
      <w:tr>
        <w:trPr>
          <w:trHeight w:val="219"/>
        </w:trPr>
        <w:tc>
          <w:tcPr>
            <w:tcW w:w="316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Guides Our Program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Compensation Philosophy &amp; Objectives</w:t>
      </w:r>
    </w:p>
    <w:p>
      <w:pPr>
        <w:spacing w:after="0" w:line="18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philosophy underlying our executive compensation program is to employ the best leaders in our industry to ensure we execute on our business goals, promote both short-and long-term profitable growth of the Company, and create long-term sustainable shareholder value, all grounded in the following guiding principles:</w:t>
      </w:r>
    </w:p>
    <w:p>
      <w:pPr>
        <w:spacing w:after="0" w:line="88" w:lineRule="exact"/>
        <w:rPr>
          <w:sz w:val="20"/>
          <w:szCs w:val="20"/>
          <w:color w:val="auto"/>
        </w:rPr>
      </w:pPr>
    </w:p>
    <w:p>
      <w:pPr>
        <w:ind w:left="2460" w:right="320" w:hanging="2339"/>
        <w:spacing w:after="0" w:line="253" w:lineRule="auto"/>
        <w:tabs>
          <w:tab w:leader="none" w:pos="2440" w:val="left"/>
        </w:tabs>
        <w:rPr>
          <w:sz w:val="20"/>
          <w:szCs w:val="20"/>
          <w:color w:val="auto"/>
        </w:rPr>
      </w:pPr>
      <w:r>
        <w:rPr>
          <w:rFonts w:ascii="Arial" w:cs="Arial" w:eastAsia="Arial" w:hAnsi="Arial"/>
          <w:sz w:val="18"/>
          <w:szCs w:val="18"/>
          <w:b w:val="1"/>
          <w:bCs w:val="1"/>
          <w:color w:val="auto"/>
        </w:rPr>
        <w:t>Pay for Performance</w:t>
      </w:r>
      <w:r>
        <w:rPr>
          <w:sz w:val="20"/>
          <w:szCs w:val="20"/>
          <w:color w:val="auto"/>
        </w:rPr>
        <w:tab/>
      </w:r>
      <w:r>
        <w:rPr>
          <w:rFonts w:ascii="Arial" w:cs="Arial" w:eastAsia="Arial" w:hAnsi="Arial"/>
          <w:sz w:val="18"/>
          <w:szCs w:val="18"/>
          <w:color w:val="auto"/>
        </w:rPr>
        <w:t>A significant portion of an executive’s total compensation should be variable (“at-risk”) and dependent upon the attainment of certain specific and measurable annual and long-term financial performance objectives.</w:t>
      </w:r>
    </w:p>
    <w:p>
      <w:pPr>
        <w:spacing w:after="0" w:line="263" w:lineRule="exact"/>
        <w:rPr>
          <w:sz w:val="20"/>
          <w:szCs w:val="20"/>
          <w:color w:val="auto"/>
        </w:rPr>
      </w:pPr>
    </w:p>
    <w:p>
      <w:pPr>
        <w:ind w:left="120"/>
        <w:spacing w:after="0"/>
        <w:tabs>
          <w:tab w:leader="none" w:pos="2440" w:val="left"/>
        </w:tabs>
        <w:rPr>
          <w:sz w:val="20"/>
          <w:szCs w:val="20"/>
          <w:color w:val="auto"/>
        </w:rPr>
      </w:pPr>
      <w:r>
        <w:rPr>
          <w:rFonts w:ascii="Arial" w:cs="Arial" w:eastAsia="Arial" w:hAnsi="Arial"/>
          <w:sz w:val="18"/>
          <w:szCs w:val="18"/>
          <w:b w:val="1"/>
          <w:bCs w:val="1"/>
          <w:color w:val="auto"/>
        </w:rPr>
        <w:t>Shareholder Alignment</w:t>
      </w:r>
      <w:r>
        <w:rPr>
          <w:sz w:val="20"/>
          <w:szCs w:val="20"/>
          <w:color w:val="auto"/>
        </w:rPr>
        <w:tab/>
      </w:r>
      <w:r>
        <w:rPr>
          <w:rFonts w:ascii="Arial" w:cs="Arial" w:eastAsia="Arial" w:hAnsi="Arial"/>
          <w:sz w:val="17"/>
          <w:szCs w:val="17"/>
          <w:color w:val="auto"/>
        </w:rPr>
        <w:t>Executives should be compensated through pay elements (base salaries and</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annual- and long-term incentives) designed to align executive compensation to the</w:t>
      </w:r>
    </w:p>
    <w:p>
      <w:pPr>
        <w:ind w:left="2460"/>
        <w:spacing w:after="0"/>
        <w:rPr>
          <w:sz w:val="20"/>
          <w:szCs w:val="20"/>
          <w:color w:val="auto"/>
        </w:rPr>
      </w:pPr>
      <w:r>
        <w:rPr>
          <w:rFonts w:ascii="Arial" w:cs="Arial" w:eastAsia="Arial" w:hAnsi="Arial"/>
          <w:sz w:val="18"/>
          <w:szCs w:val="18"/>
          <w:color w:val="auto"/>
        </w:rPr>
        <w:t>creation of long-term value for our shareholders.</w:t>
      </w:r>
    </w:p>
    <w:p>
      <w:pPr>
        <w:spacing w:after="0" w:line="288" w:lineRule="exact"/>
        <w:rPr>
          <w:sz w:val="20"/>
          <w:szCs w:val="20"/>
          <w:color w:val="auto"/>
        </w:rPr>
      </w:pPr>
    </w:p>
    <w:p>
      <w:pPr>
        <w:ind w:left="120"/>
        <w:spacing w:after="0"/>
        <w:tabs>
          <w:tab w:leader="none" w:pos="2440" w:val="left"/>
        </w:tabs>
        <w:rPr>
          <w:sz w:val="20"/>
          <w:szCs w:val="20"/>
          <w:color w:val="auto"/>
        </w:rPr>
      </w:pPr>
      <w:r>
        <w:rPr>
          <w:rFonts w:ascii="Arial" w:cs="Arial" w:eastAsia="Arial" w:hAnsi="Arial"/>
          <w:sz w:val="18"/>
          <w:szCs w:val="18"/>
          <w:b w:val="1"/>
          <w:bCs w:val="1"/>
          <w:color w:val="auto"/>
        </w:rPr>
        <w:t>Competitiveness</w:t>
      </w:r>
      <w:r>
        <w:rPr>
          <w:sz w:val="20"/>
          <w:szCs w:val="20"/>
          <w:color w:val="auto"/>
        </w:rPr>
        <w:tab/>
      </w:r>
      <w:r>
        <w:rPr>
          <w:rFonts w:ascii="Arial" w:cs="Arial" w:eastAsia="Arial" w:hAnsi="Arial"/>
          <w:sz w:val="18"/>
          <w:szCs w:val="18"/>
          <w:color w:val="auto"/>
        </w:rPr>
        <w:t>Target compensation should be set at the median of market to ensure that</w:t>
      </w:r>
    </w:p>
    <w:p>
      <w:pPr>
        <w:spacing w:after="0" w:line="14" w:lineRule="exact"/>
        <w:rPr>
          <w:sz w:val="20"/>
          <w:szCs w:val="20"/>
          <w:color w:val="auto"/>
        </w:rPr>
      </w:pPr>
    </w:p>
    <w:p>
      <w:pPr>
        <w:ind w:left="2460" w:right="260"/>
        <w:spacing w:after="0" w:line="242" w:lineRule="auto"/>
        <w:rPr>
          <w:sz w:val="20"/>
          <w:szCs w:val="20"/>
          <w:color w:val="auto"/>
        </w:rPr>
      </w:pPr>
      <w:r>
        <w:rPr>
          <w:rFonts w:ascii="Arial" w:cs="Arial" w:eastAsia="Arial" w:hAnsi="Arial"/>
          <w:sz w:val="18"/>
          <w:szCs w:val="18"/>
          <w:color w:val="auto"/>
        </w:rPr>
        <w:t>compensation is at a level that is competitive with that being offered to individuals holding comparable positions at other companies with which we compete for business and leadership talent.</w:t>
      </w:r>
    </w:p>
    <w:p>
      <w:pPr>
        <w:spacing w:after="0" w:line="274" w:lineRule="exact"/>
        <w:rPr>
          <w:sz w:val="20"/>
          <w:szCs w:val="20"/>
          <w:color w:val="auto"/>
        </w:rPr>
      </w:pPr>
    </w:p>
    <w:p>
      <w:pPr>
        <w:ind w:left="120"/>
        <w:spacing w:after="0"/>
        <w:tabs>
          <w:tab w:leader="none" w:pos="2440" w:val="left"/>
        </w:tabs>
        <w:rPr>
          <w:sz w:val="20"/>
          <w:szCs w:val="20"/>
          <w:color w:val="auto"/>
        </w:rPr>
      </w:pPr>
      <w:r>
        <w:rPr>
          <w:rFonts w:ascii="Arial" w:cs="Arial" w:eastAsia="Arial" w:hAnsi="Arial"/>
          <w:sz w:val="18"/>
          <w:szCs w:val="18"/>
          <w:b w:val="1"/>
          <w:bCs w:val="1"/>
          <w:color w:val="auto"/>
        </w:rPr>
        <w:t>Attraction and Retention</w:t>
      </w:r>
      <w:r>
        <w:rPr>
          <w:sz w:val="20"/>
          <w:szCs w:val="20"/>
          <w:color w:val="auto"/>
        </w:rPr>
        <w:tab/>
      </w:r>
      <w:r>
        <w:rPr>
          <w:rFonts w:ascii="Arial" w:cs="Arial" w:eastAsia="Arial" w:hAnsi="Arial"/>
          <w:sz w:val="17"/>
          <w:szCs w:val="17"/>
          <w:color w:val="auto"/>
        </w:rPr>
        <w:t>The executive compensation program should enable the Company to attract highly</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talented people with exceptional leadership capabilities and to retain high-caliber</w:t>
      </w:r>
    </w:p>
    <w:p>
      <w:pPr>
        <w:ind w:left="2460"/>
        <w:spacing w:after="0" w:line="234" w:lineRule="auto"/>
        <w:rPr>
          <w:sz w:val="20"/>
          <w:szCs w:val="20"/>
          <w:color w:val="auto"/>
        </w:rPr>
      </w:pPr>
      <w:r>
        <w:rPr>
          <w:rFonts w:ascii="Arial" w:cs="Arial" w:eastAsia="Arial" w:hAnsi="Arial"/>
          <w:sz w:val="18"/>
          <w:szCs w:val="18"/>
          <w:color w:val="auto"/>
        </w:rPr>
        <w:t>talent. When required, the Company may adjust individual elements of</w:t>
      </w:r>
    </w:p>
    <w:p>
      <w:pPr>
        <w:spacing w:after="0" w:line="1"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compensation to accomplish this goal.</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Principal Elements of Pay: Total Direct Compensation (TDC)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compensation philosophy is supported by the following principal pay elements:</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1720" w:type="dxa"/>
            <w:vAlign w:val="bottom"/>
            <w:tcBorders>
              <w:top w:val="single" w:sz="8" w:color="auto"/>
              <w:left w:val="single" w:sz="8" w:color="auto"/>
              <w:right w:val="single" w:sz="8" w:color="auto"/>
            </w:tcBorders>
            <w:shd w:val="clear" w:color="auto" w:fill="8C8C8C"/>
          </w:tcPr>
          <w:p>
            <w:pPr>
              <w:spacing w:after="0"/>
              <w:rPr>
                <w:sz w:val="24"/>
                <w:szCs w:val="24"/>
                <w:color w:val="auto"/>
              </w:rPr>
            </w:pPr>
          </w:p>
        </w:tc>
        <w:tc>
          <w:tcPr>
            <w:tcW w:w="1060" w:type="dxa"/>
            <w:vAlign w:val="bottom"/>
            <w:tcBorders>
              <w:top w:val="single" w:sz="8" w:color="auto"/>
              <w:right w:val="single" w:sz="8" w:color="auto"/>
            </w:tcBorders>
            <w:shd w:val="clear" w:color="auto" w:fill="8C8C8C"/>
          </w:tcPr>
          <w:p>
            <w:pPr>
              <w:ind w:left="80"/>
              <w:spacing w:after="0"/>
              <w:rPr>
                <w:sz w:val="20"/>
                <w:szCs w:val="20"/>
                <w:color w:val="auto"/>
              </w:rPr>
            </w:pPr>
            <w:r>
              <w:rPr>
                <w:rFonts w:ascii="Arial" w:cs="Arial" w:eastAsia="Arial" w:hAnsi="Arial"/>
                <w:sz w:val="18"/>
                <w:szCs w:val="18"/>
                <w:b w:val="1"/>
                <w:bCs w:val="1"/>
                <w:color w:val="FFFFFF"/>
              </w:rPr>
              <w:t>How It’s</w:t>
            </w:r>
          </w:p>
        </w:tc>
        <w:tc>
          <w:tcPr>
            <w:tcW w:w="3060" w:type="dxa"/>
            <w:vAlign w:val="bottom"/>
            <w:tcBorders>
              <w:top w:val="single" w:sz="8" w:color="auto"/>
              <w:right w:val="single" w:sz="8" w:color="auto"/>
            </w:tcBorders>
            <w:shd w:val="clear" w:color="auto" w:fill="8C8C8C"/>
          </w:tcPr>
          <w:p>
            <w:pPr>
              <w:spacing w:after="0"/>
              <w:rPr>
                <w:sz w:val="24"/>
                <w:szCs w:val="24"/>
                <w:color w:val="auto"/>
              </w:rPr>
            </w:pPr>
          </w:p>
        </w:tc>
        <w:tc>
          <w:tcPr>
            <w:tcW w:w="3340" w:type="dxa"/>
            <w:vAlign w:val="bottom"/>
            <w:tcBorders>
              <w:top w:val="single" w:sz="8" w:color="auto"/>
              <w:right w:val="single" w:sz="8" w:color="auto"/>
            </w:tcBorders>
            <w:shd w:val="clear" w:color="auto" w:fill="8C8C8C"/>
          </w:tcPr>
          <w:p>
            <w:pPr>
              <w:spacing w:after="0"/>
              <w:rPr>
                <w:sz w:val="24"/>
                <w:szCs w:val="24"/>
                <w:color w:val="auto"/>
              </w:rPr>
            </w:pPr>
          </w:p>
        </w:tc>
      </w:tr>
      <w:tr>
        <w:trPr>
          <w:trHeight w:val="294"/>
        </w:trPr>
        <w:tc>
          <w:tcPr>
            <w:tcW w:w="1720" w:type="dxa"/>
            <w:vAlign w:val="bottom"/>
            <w:tcBorders>
              <w:left w:val="single" w:sz="8" w:color="auto"/>
              <w:bottom w:val="single" w:sz="8" w:color="8C8C8C"/>
              <w:right w:val="single" w:sz="8" w:color="auto"/>
            </w:tcBorders>
            <w:shd w:val="clear" w:color="auto" w:fill="8C8C8C"/>
          </w:tcPr>
          <w:p>
            <w:pPr>
              <w:ind w:left="100"/>
              <w:spacing w:after="0"/>
              <w:rPr>
                <w:sz w:val="20"/>
                <w:szCs w:val="20"/>
                <w:color w:val="auto"/>
              </w:rPr>
            </w:pPr>
            <w:r>
              <w:rPr>
                <w:rFonts w:ascii="Arial" w:cs="Arial" w:eastAsia="Arial" w:hAnsi="Arial"/>
                <w:sz w:val="18"/>
                <w:szCs w:val="18"/>
                <w:b w:val="1"/>
                <w:bCs w:val="1"/>
                <w:color w:val="FFFFFF"/>
              </w:rPr>
              <w:t>Pay Element</w:t>
            </w:r>
          </w:p>
        </w:tc>
        <w:tc>
          <w:tcPr>
            <w:tcW w:w="1060" w:type="dxa"/>
            <w:vAlign w:val="bottom"/>
            <w:tcBorders>
              <w:bottom w:val="single" w:sz="8" w:color="8C8C8C"/>
              <w:right w:val="single" w:sz="8" w:color="auto"/>
            </w:tcBorders>
            <w:shd w:val="clear" w:color="auto" w:fill="8C8C8C"/>
          </w:tcPr>
          <w:p>
            <w:pPr>
              <w:ind w:left="80"/>
              <w:spacing w:after="0"/>
              <w:rPr>
                <w:sz w:val="20"/>
                <w:szCs w:val="20"/>
                <w:color w:val="auto"/>
              </w:rPr>
            </w:pPr>
            <w:r>
              <w:rPr>
                <w:rFonts w:ascii="Arial" w:cs="Arial" w:eastAsia="Arial" w:hAnsi="Arial"/>
                <w:sz w:val="18"/>
                <w:szCs w:val="18"/>
                <w:b w:val="1"/>
                <w:bCs w:val="1"/>
                <w:color w:val="FFFFFF"/>
              </w:rPr>
              <w:t>Paid</w:t>
            </w:r>
          </w:p>
        </w:tc>
        <w:tc>
          <w:tcPr>
            <w:tcW w:w="3060" w:type="dxa"/>
            <w:vAlign w:val="bottom"/>
            <w:tcBorders>
              <w:bottom w:val="single" w:sz="8" w:color="8C8C8C"/>
              <w:right w:val="single" w:sz="8" w:color="auto"/>
            </w:tcBorders>
            <w:shd w:val="clear" w:color="auto" w:fill="8C8C8C"/>
          </w:tcPr>
          <w:p>
            <w:pPr>
              <w:ind w:left="80"/>
              <w:spacing w:after="0"/>
              <w:rPr>
                <w:sz w:val="20"/>
                <w:szCs w:val="20"/>
                <w:color w:val="auto"/>
              </w:rPr>
            </w:pPr>
            <w:r>
              <w:rPr>
                <w:rFonts w:ascii="Arial" w:cs="Arial" w:eastAsia="Arial" w:hAnsi="Arial"/>
                <w:sz w:val="18"/>
                <w:szCs w:val="18"/>
                <w:b w:val="1"/>
                <w:bCs w:val="1"/>
                <w:color w:val="FFFFFF"/>
              </w:rPr>
              <w:t>What It Does</w:t>
            </w:r>
          </w:p>
        </w:tc>
        <w:tc>
          <w:tcPr>
            <w:tcW w:w="3340" w:type="dxa"/>
            <w:vAlign w:val="bottom"/>
            <w:tcBorders>
              <w:bottom w:val="single" w:sz="8" w:color="8C8C8C"/>
              <w:right w:val="single" w:sz="8" w:color="auto"/>
            </w:tcBorders>
            <w:shd w:val="clear" w:color="auto" w:fill="8C8C8C"/>
          </w:tcPr>
          <w:p>
            <w:pPr>
              <w:ind w:left="100"/>
              <w:spacing w:after="0"/>
              <w:rPr>
                <w:sz w:val="20"/>
                <w:szCs w:val="20"/>
                <w:color w:val="auto"/>
              </w:rPr>
            </w:pPr>
            <w:r>
              <w:rPr>
                <w:rFonts w:ascii="Arial" w:cs="Arial" w:eastAsia="Arial" w:hAnsi="Arial"/>
                <w:sz w:val="18"/>
                <w:szCs w:val="18"/>
                <w:b w:val="1"/>
                <w:bCs w:val="1"/>
                <w:color w:val="FFFFFF"/>
              </w:rPr>
              <w:t>How It Links to Performance</w:t>
            </w:r>
          </w:p>
        </w:tc>
      </w:tr>
      <w:tr>
        <w:trPr>
          <w:trHeight w:val="245"/>
        </w:trPr>
        <w:tc>
          <w:tcPr>
            <w:tcW w:w="1720" w:type="dxa"/>
            <w:vAlign w:val="bottom"/>
            <w:tcBorders>
              <w:top w:val="single" w:sz="8" w:color="auto"/>
              <w:left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8"/>
                <w:szCs w:val="18"/>
                <w:b w:val="1"/>
                <w:bCs w:val="1"/>
                <w:color w:val="auto"/>
              </w:rPr>
              <w:t>Base Salary</w:t>
            </w:r>
          </w:p>
        </w:tc>
        <w:tc>
          <w:tcPr>
            <w:tcW w:w="1060" w:type="dxa"/>
            <w:vAlign w:val="bottom"/>
            <w:tcBorders>
              <w:top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Cash</w:t>
            </w:r>
          </w:p>
        </w:tc>
        <w:tc>
          <w:tcPr>
            <w:tcW w:w="30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Provides a competitive fixed rate of</w:t>
            </w:r>
          </w:p>
        </w:tc>
        <w:tc>
          <w:tcPr>
            <w:tcW w:w="33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Based on job scope, level of</w:t>
            </w:r>
          </w:p>
        </w:tc>
      </w:tr>
      <w:tr>
        <w:trPr>
          <w:trHeight w:val="203"/>
        </w:trPr>
        <w:tc>
          <w:tcPr>
            <w:tcW w:w="1720" w:type="dxa"/>
            <w:vAlign w:val="bottom"/>
            <w:tcBorders>
              <w:left w:val="single" w:sz="8" w:color="auto"/>
              <w:right w:val="single" w:sz="8" w:color="auto"/>
            </w:tcBorders>
            <w:shd w:val="clear" w:color="auto" w:fill="D9D9D9"/>
          </w:tcPr>
          <w:p>
            <w:pPr>
              <w:spacing w:after="0"/>
              <w:rPr>
                <w:sz w:val="17"/>
                <w:szCs w:val="17"/>
                <w:color w:val="auto"/>
              </w:rPr>
            </w:pPr>
          </w:p>
        </w:tc>
        <w:tc>
          <w:tcPr>
            <w:tcW w:w="1060" w:type="dxa"/>
            <w:vAlign w:val="bottom"/>
            <w:tcBorders>
              <w:right w:val="single" w:sz="8" w:color="auto"/>
            </w:tcBorders>
            <w:shd w:val="clear" w:color="auto" w:fill="D9D9D9"/>
          </w:tcPr>
          <w:p>
            <w:pPr>
              <w:ind w:left="80"/>
              <w:spacing w:after="0" w:line="202" w:lineRule="exact"/>
              <w:rPr>
                <w:sz w:val="20"/>
                <w:szCs w:val="20"/>
                <w:color w:val="auto"/>
              </w:rPr>
            </w:pPr>
            <w:r>
              <w:rPr>
                <w:rFonts w:ascii="Arial" w:cs="Arial" w:eastAsia="Arial" w:hAnsi="Arial"/>
                <w:sz w:val="18"/>
                <w:szCs w:val="18"/>
                <w:b w:val="1"/>
                <w:bCs w:val="1"/>
                <w:color w:val="auto"/>
              </w:rPr>
              <w:t>(Fixed)</w:t>
            </w:r>
          </w:p>
        </w:tc>
        <w:tc>
          <w:tcPr>
            <w:tcW w:w="30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pay relative to similar positions in</w:t>
            </w:r>
          </w:p>
        </w:tc>
        <w:tc>
          <w:tcPr>
            <w:tcW w:w="33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responsibilities, individual performance,</w:t>
            </w:r>
          </w:p>
        </w:tc>
      </w:tr>
      <w:tr>
        <w:trPr>
          <w:trHeight w:val="203"/>
        </w:trPr>
        <w:tc>
          <w:tcPr>
            <w:tcW w:w="1720" w:type="dxa"/>
            <w:vAlign w:val="bottom"/>
            <w:tcBorders>
              <w:left w:val="single" w:sz="8" w:color="auto"/>
              <w:right w:val="single" w:sz="8" w:color="auto"/>
            </w:tcBorders>
            <w:shd w:val="clear" w:color="auto" w:fill="D9D9D9"/>
          </w:tcPr>
          <w:p>
            <w:pPr>
              <w:spacing w:after="0"/>
              <w:rPr>
                <w:sz w:val="17"/>
                <w:szCs w:val="17"/>
                <w:color w:val="auto"/>
              </w:rPr>
            </w:pPr>
          </w:p>
        </w:tc>
        <w:tc>
          <w:tcPr>
            <w:tcW w:w="1060" w:type="dxa"/>
            <w:vAlign w:val="bottom"/>
            <w:tcBorders>
              <w:right w:val="single" w:sz="8" w:color="auto"/>
            </w:tcBorders>
            <w:shd w:val="clear" w:color="auto" w:fill="D9D9D9"/>
          </w:tcPr>
          <w:p>
            <w:pPr>
              <w:spacing w:after="0"/>
              <w:rPr>
                <w:sz w:val="17"/>
                <w:szCs w:val="17"/>
                <w:color w:val="auto"/>
              </w:rPr>
            </w:pPr>
          </w:p>
        </w:tc>
        <w:tc>
          <w:tcPr>
            <w:tcW w:w="30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the market, and enables the</w:t>
            </w:r>
          </w:p>
        </w:tc>
        <w:tc>
          <w:tcPr>
            <w:tcW w:w="334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experience, and market levels</w:t>
            </w:r>
          </w:p>
        </w:tc>
      </w:tr>
      <w:tr>
        <w:trPr>
          <w:trHeight w:val="203"/>
        </w:trPr>
        <w:tc>
          <w:tcPr>
            <w:tcW w:w="1720" w:type="dxa"/>
            <w:vAlign w:val="bottom"/>
            <w:tcBorders>
              <w:left w:val="single" w:sz="8" w:color="auto"/>
              <w:right w:val="single" w:sz="8" w:color="auto"/>
            </w:tcBorders>
            <w:shd w:val="clear" w:color="auto" w:fill="D9D9D9"/>
          </w:tcPr>
          <w:p>
            <w:pPr>
              <w:spacing w:after="0"/>
              <w:rPr>
                <w:sz w:val="17"/>
                <w:szCs w:val="17"/>
                <w:color w:val="auto"/>
              </w:rPr>
            </w:pPr>
          </w:p>
        </w:tc>
        <w:tc>
          <w:tcPr>
            <w:tcW w:w="1060" w:type="dxa"/>
            <w:vAlign w:val="bottom"/>
            <w:tcBorders>
              <w:right w:val="single" w:sz="8" w:color="auto"/>
            </w:tcBorders>
            <w:shd w:val="clear" w:color="auto" w:fill="D9D9D9"/>
          </w:tcPr>
          <w:p>
            <w:pPr>
              <w:spacing w:after="0"/>
              <w:rPr>
                <w:sz w:val="17"/>
                <w:szCs w:val="17"/>
                <w:color w:val="auto"/>
              </w:rPr>
            </w:pPr>
          </w:p>
        </w:tc>
        <w:tc>
          <w:tcPr>
            <w:tcW w:w="30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Company to attract and retain</w:t>
            </w:r>
          </w:p>
        </w:tc>
        <w:tc>
          <w:tcPr>
            <w:tcW w:w="3340" w:type="dxa"/>
            <w:vAlign w:val="bottom"/>
            <w:tcBorders>
              <w:right w:val="single" w:sz="8" w:color="auto"/>
            </w:tcBorders>
          </w:tcPr>
          <w:p>
            <w:pPr>
              <w:spacing w:after="0"/>
              <w:rPr>
                <w:sz w:val="17"/>
                <w:szCs w:val="17"/>
                <w:color w:val="auto"/>
              </w:rPr>
            </w:pPr>
          </w:p>
        </w:tc>
      </w:tr>
      <w:tr>
        <w:trPr>
          <w:trHeight w:val="289"/>
        </w:trPr>
        <w:tc>
          <w:tcPr>
            <w:tcW w:w="1720" w:type="dxa"/>
            <w:vAlign w:val="bottom"/>
            <w:tcBorders>
              <w:left w:val="single" w:sz="8" w:color="auto"/>
              <w:bottom w:val="single" w:sz="8" w:color="D9D9D9"/>
              <w:right w:val="single" w:sz="8" w:color="auto"/>
            </w:tcBorders>
            <w:shd w:val="clear" w:color="auto" w:fill="D9D9D9"/>
          </w:tcPr>
          <w:p>
            <w:pPr>
              <w:spacing w:after="0"/>
              <w:rPr>
                <w:sz w:val="24"/>
                <w:szCs w:val="24"/>
                <w:color w:val="auto"/>
              </w:rPr>
            </w:pPr>
          </w:p>
        </w:tc>
        <w:tc>
          <w:tcPr>
            <w:tcW w:w="1060" w:type="dxa"/>
            <w:vAlign w:val="bottom"/>
            <w:tcBorders>
              <w:bottom w:val="single" w:sz="8" w:color="D9D9D9"/>
              <w:right w:val="single" w:sz="8" w:color="auto"/>
            </w:tcBorders>
            <w:shd w:val="clear" w:color="auto" w:fill="D9D9D9"/>
          </w:tcPr>
          <w:p>
            <w:pPr>
              <w:spacing w:after="0"/>
              <w:rPr>
                <w:sz w:val="24"/>
                <w:szCs w:val="24"/>
                <w:color w:val="auto"/>
              </w:rPr>
            </w:pPr>
          </w:p>
        </w:tc>
        <w:tc>
          <w:tcPr>
            <w:tcW w:w="3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critical executive talent</w:t>
            </w:r>
          </w:p>
        </w:tc>
        <w:tc>
          <w:tcPr>
            <w:tcW w:w="3340" w:type="dxa"/>
            <w:vAlign w:val="bottom"/>
            <w:tcBorders>
              <w:right w:val="single" w:sz="8" w:color="auto"/>
            </w:tcBorders>
          </w:tcPr>
          <w:p>
            <w:pPr>
              <w:spacing w:after="0"/>
              <w:rPr>
                <w:sz w:val="24"/>
                <w:szCs w:val="24"/>
                <w:color w:val="auto"/>
              </w:rPr>
            </w:pPr>
          </w:p>
        </w:tc>
      </w:tr>
      <w:tr>
        <w:trPr>
          <w:trHeight w:val="245"/>
        </w:trPr>
        <w:tc>
          <w:tcPr>
            <w:tcW w:w="1720" w:type="dxa"/>
            <w:vAlign w:val="bottom"/>
            <w:tcBorders>
              <w:top w:val="single" w:sz="8" w:color="auto"/>
              <w:left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8"/>
                <w:szCs w:val="18"/>
                <w:b w:val="1"/>
                <w:bCs w:val="1"/>
                <w:color w:val="auto"/>
              </w:rPr>
              <w:t>Annual Cash</w:t>
            </w:r>
          </w:p>
        </w:tc>
        <w:tc>
          <w:tcPr>
            <w:tcW w:w="1060" w:type="dxa"/>
            <w:vAlign w:val="bottom"/>
            <w:tcBorders>
              <w:top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Cash</w:t>
            </w:r>
          </w:p>
        </w:tc>
        <w:tc>
          <w:tcPr>
            <w:tcW w:w="30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Focuses executives on achieving</w:t>
            </w:r>
          </w:p>
        </w:tc>
        <w:tc>
          <w:tcPr>
            <w:tcW w:w="33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Financial metrics: Adjusted</w:t>
            </w:r>
          </w:p>
        </w:tc>
      </w:tr>
      <w:tr>
        <w:trPr>
          <w:trHeight w:val="203"/>
        </w:trPr>
        <w:tc>
          <w:tcPr>
            <w:tcW w:w="1720" w:type="dxa"/>
            <w:vAlign w:val="bottom"/>
            <w:tcBorders>
              <w:left w:val="single" w:sz="8" w:color="auto"/>
              <w:right w:val="single" w:sz="8" w:color="auto"/>
            </w:tcBorders>
            <w:shd w:val="clear" w:color="auto" w:fill="D9D9D9"/>
          </w:tcPr>
          <w:p>
            <w:pPr>
              <w:ind w:left="100"/>
              <w:spacing w:after="0" w:line="202" w:lineRule="exact"/>
              <w:rPr>
                <w:sz w:val="20"/>
                <w:szCs w:val="20"/>
                <w:color w:val="auto"/>
              </w:rPr>
            </w:pPr>
            <w:r>
              <w:rPr>
                <w:rFonts w:ascii="Arial" w:cs="Arial" w:eastAsia="Arial" w:hAnsi="Arial"/>
                <w:sz w:val="18"/>
                <w:szCs w:val="18"/>
                <w:b w:val="1"/>
                <w:bCs w:val="1"/>
                <w:color w:val="auto"/>
              </w:rPr>
              <w:t>Incentive (IIP)</w:t>
            </w:r>
          </w:p>
        </w:tc>
        <w:tc>
          <w:tcPr>
            <w:tcW w:w="1060" w:type="dxa"/>
            <w:vAlign w:val="bottom"/>
            <w:tcBorders>
              <w:right w:val="single" w:sz="8" w:color="auto"/>
            </w:tcBorders>
            <w:shd w:val="clear" w:color="auto" w:fill="D9D9D9"/>
          </w:tcPr>
          <w:p>
            <w:pPr>
              <w:ind w:left="80"/>
              <w:spacing w:after="0" w:line="202" w:lineRule="exact"/>
              <w:rPr>
                <w:sz w:val="20"/>
                <w:szCs w:val="20"/>
                <w:color w:val="auto"/>
              </w:rPr>
            </w:pPr>
            <w:r>
              <w:rPr>
                <w:rFonts w:ascii="Arial" w:cs="Arial" w:eastAsia="Arial" w:hAnsi="Arial"/>
                <w:sz w:val="18"/>
                <w:szCs w:val="18"/>
                <w:b w:val="1"/>
                <w:bCs w:val="1"/>
                <w:color w:val="auto"/>
              </w:rPr>
              <w:t>(Variable)</w:t>
            </w:r>
          </w:p>
        </w:tc>
        <w:tc>
          <w:tcPr>
            <w:tcW w:w="30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annual financial goals that drive</w:t>
            </w:r>
          </w:p>
        </w:tc>
        <w:tc>
          <w:tcPr>
            <w:tcW w:w="3340" w:type="dxa"/>
            <w:vAlign w:val="bottom"/>
            <w:tcBorders>
              <w:right w:val="single" w:sz="8" w:color="auto"/>
            </w:tcBorders>
          </w:tcPr>
          <w:p>
            <w:pPr>
              <w:ind w:left="420"/>
              <w:spacing w:after="0" w:line="202" w:lineRule="exact"/>
              <w:rPr>
                <w:sz w:val="20"/>
                <w:szCs w:val="20"/>
                <w:color w:val="auto"/>
              </w:rPr>
            </w:pPr>
            <w:r>
              <w:rPr>
                <w:rFonts w:ascii="Arial" w:cs="Arial" w:eastAsia="Arial" w:hAnsi="Arial"/>
                <w:sz w:val="18"/>
                <w:szCs w:val="18"/>
                <w:color w:val="auto"/>
              </w:rPr>
              <w:t>EBITDA, Revenue, and Free Cash</w:t>
            </w:r>
          </w:p>
        </w:tc>
      </w:tr>
      <w:tr>
        <w:trPr>
          <w:trHeight w:val="239"/>
        </w:trPr>
        <w:tc>
          <w:tcPr>
            <w:tcW w:w="1720" w:type="dxa"/>
            <w:vAlign w:val="bottom"/>
            <w:tcBorders>
              <w:left w:val="single" w:sz="8" w:color="auto"/>
              <w:right w:val="single" w:sz="8" w:color="auto"/>
            </w:tcBorders>
            <w:shd w:val="clear" w:color="auto" w:fill="D9D9D9"/>
          </w:tcPr>
          <w:p>
            <w:pPr>
              <w:spacing w:after="0"/>
              <w:rPr>
                <w:sz w:val="20"/>
                <w:szCs w:val="20"/>
                <w:color w:val="auto"/>
              </w:rPr>
            </w:pPr>
          </w:p>
        </w:tc>
        <w:tc>
          <w:tcPr>
            <w:tcW w:w="1060" w:type="dxa"/>
            <w:vAlign w:val="bottom"/>
            <w:tcBorders>
              <w:right w:val="single" w:sz="8" w:color="auto"/>
            </w:tcBorders>
            <w:shd w:val="clear" w:color="auto" w:fill="D9D9D9"/>
          </w:tcPr>
          <w:p>
            <w:pPr>
              <w:spacing w:after="0"/>
              <w:rPr>
                <w:sz w:val="20"/>
                <w:szCs w:val="20"/>
                <w:color w:val="auto"/>
              </w:rPr>
            </w:pPr>
          </w:p>
        </w:tc>
        <w:tc>
          <w:tcPr>
            <w:tcW w:w="3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long-term shareholder value</w:t>
            </w:r>
          </w:p>
        </w:tc>
        <w:tc>
          <w:tcPr>
            <w:tcW w:w="3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Flow</w:t>
            </w:r>
          </w:p>
        </w:tc>
      </w:tr>
      <w:tr>
        <w:trPr>
          <w:trHeight w:val="301"/>
        </w:trPr>
        <w:tc>
          <w:tcPr>
            <w:tcW w:w="1720" w:type="dxa"/>
            <w:vAlign w:val="bottom"/>
            <w:tcBorders>
              <w:left w:val="single" w:sz="8" w:color="auto"/>
              <w:right w:val="single" w:sz="8" w:color="auto"/>
            </w:tcBorders>
            <w:shd w:val="clear" w:color="auto" w:fill="D9D9D9"/>
          </w:tcPr>
          <w:p>
            <w:pPr>
              <w:spacing w:after="0"/>
              <w:rPr>
                <w:sz w:val="24"/>
                <w:szCs w:val="24"/>
                <w:color w:val="auto"/>
              </w:rPr>
            </w:pPr>
          </w:p>
        </w:tc>
        <w:tc>
          <w:tcPr>
            <w:tcW w:w="1060" w:type="dxa"/>
            <w:vAlign w:val="bottom"/>
            <w:tcBorders>
              <w:right w:val="single" w:sz="8" w:color="auto"/>
            </w:tcBorders>
            <w:shd w:val="clear" w:color="auto" w:fill="D9D9D9"/>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33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   Payouts: 0% to 200%* of target</w:t>
            </w:r>
          </w:p>
        </w:tc>
      </w:tr>
      <w:tr>
        <w:trPr>
          <w:trHeight w:val="203"/>
        </w:trPr>
        <w:tc>
          <w:tcPr>
            <w:tcW w:w="1720" w:type="dxa"/>
            <w:vAlign w:val="bottom"/>
            <w:tcBorders>
              <w:left w:val="single" w:sz="8" w:color="auto"/>
              <w:right w:val="single" w:sz="8" w:color="auto"/>
            </w:tcBorders>
            <w:shd w:val="clear" w:color="auto" w:fill="D9D9D9"/>
          </w:tcPr>
          <w:p>
            <w:pPr>
              <w:spacing w:after="0"/>
              <w:rPr>
                <w:sz w:val="17"/>
                <w:szCs w:val="17"/>
                <w:color w:val="auto"/>
              </w:rPr>
            </w:pPr>
          </w:p>
        </w:tc>
        <w:tc>
          <w:tcPr>
            <w:tcW w:w="1060" w:type="dxa"/>
            <w:vAlign w:val="bottom"/>
            <w:tcBorders>
              <w:right w:val="single" w:sz="8" w:color="auto"/>
            </w:tcBorders>
            <w:shd w:val="clear" w:color="auto" w:fill="D9D9D9"/>
          </w:tcPr>
          <w:p>
            <w:pPr>
              <w:spacing w:after="0"/>
              <w:rPr>
                <w:sz w:val="17"/>
                <w:szCs w:val="17"/>
                <w:color w:val="auto"/>
              </w:rPr>
            </w:pPr>
          </w:p>
        </w:tc>
        <w:tc>
          <w:tcPr>
            <w:tcW w:w="3060" w:type="dxa"/>
            <w:vAlign w:val="bottom"/>
            <w:tcBorders>
              <w:right w:val="single" w:sz="8" w:color="auto"/>
            </w:tcBorders>
          </w:tcPr>
          <w:p>
            <w:pPr>
              <w:spacing w:after="0"/>
              <w:rPr>
                <w:sz w:val="17"/>
                <w:szCs w:val="17"/>
                <w:color w:val="auto"/>
              </w:rPr>
            </w:pPr>
          </w:p>
        </w:tc>
        <w:tc>
          <w:tcPr>
            <w:tcW w:w="3340" w:type="dxa"/>
            <w:vAlign w:val="bottom"/>
            <w:tcBorders>
              <w:right w:val="single" w:sz="8" w:color="auto"/>
            </w:tcBorders>
          </w:tcPr>
          <w:p>
            <w:pPr>
              <w:ind w:left="420"/>
              <w:spacing w:after="0" w:line="202" w:lineRule="exact"/>
              <w:rPr>
                <w:sz w:val="20"/>
                <w:szCs w:val="20"/>
                <w:color w:val="auto"/>
              </w:rPr>
            </w:pPr>
            <w:r>
              <w:rPr>
                <w:rFonts w:ascii="Arial" w:cs="Arial" w:eastAsia="Arial" w:hAnsi="Arial"/>
                <w:sz w:val="18"/>
                <w:szCs w:val="18"/>
                <w:color w:val="auto"/>
              </w:rPr>
              <w:t>based on financial performance</w:t>
            </w:r>
          </w:p>
        </w:tc>
      </w:tr>
      <w:tr>
        <w:trPr>
          <w:trHeight w:val="203"/>
        </w:trPr>
        <w:tc>
          <w:tcPr>
            <w:tcW w:w="1720" w:type="dxa"/>
            <w:vAlign w:val="bottom"/>
            <w:tcBorders>
              <w:left w:val="single" w:sz="8" w:color="auto"/>
              <w:right w:val="single" w:sz="8" w:color="auto"/>
            </w:tcBorders>
            <w:shd w:val="clear" w:color="auto" w:fill="D9D9D9"/>
          </w:tcPr>
          <w:p>
            <w:pPr>
              <w:spacing w:after="0"/>
              <w:rPr>
                <w:sz w:val="17"/>
                <w:szCs w:val="17"/>
                <w:color w:val="auto"/>
              </w:rPr>
            </w:pPr>
          </w:p>
        </w:tc>
        <w:tc>
          <w:tcPr>
            <w:tcW w:w="1060" w:type="dxa"/>
            <w:vAlign w:val="bottom"/>
            <w:tcBorders>
              <w:right w:val="single" w:sz="8" w:color="auto"/>
            </w:tcBorders>
            <w:shd w:val="clear" w:color="auto" w:fill="D9D9D9"/>
          </w:tcPr>
          <w:p>
            <w:pPr>
              <w:spacing w:after="0"/>
              <w:rPr>
                <w:sz w:val="17"/>
                <w:szCs w:val="17"/>
                <w:color w:val="auto"/>
              </w:rPr>
            </w:pPr>
          </w:p>
        </w:tc>
        <w:tc>
          <w:tcPr>
            <w:tcW w:w="3060" w:type="dxa"/>
            <w:vAlign w:val="bottom"/>
            <w:tcBorders>
              <w:right w:val="single" w:sz="8" w:color="auto"/>
            </w:tcBorders>
          </w:tcPr>
          <w:p>
            <w:pPr>
              <w:spacing w:after="0"/>
              <w:rPr>
                <w:sz w:val="17"/>
                <w:szCs w:val="17"/>
                <w:color w:val="auto"/>
              </w:rPr>
            </w:pPr>
          </w:p>
        </w:tc>
        <w:tc>
          <w:tcPr>
            <w:tcW w:w="3340" w:type="dxa"/>
            <w:vAlign w:val="bottom"/>
            <w:tcBorders>
              <w:right w:val="single" w:sz="8" w:color="auto"/>
            </w:tcBorders>
          </w:tcPr>
          <w:p>
            <w:pPr>
              <w:ind w:left="420"/>
              <w:spacing w:after="0" w:line="202" w:lineRule="exact"/>
              <w:rPr>
                <w:sz w:val="20"/>
                <w:szCs w:val="20"/>
                <w:color w:val="auto"/>
              </w:rPr>
            </w:pPr>
            <w:r>
              <w:rPr>
                <w:rFonts w:ascii="Arial" w:cs="Arial" w:eastAsia="Arial" w:hAnsi="Arial"/>
                <w:sz w:val="18"/>
                <w:szCs w:val="18"/>
                <w:color w:val="auto"/>
              </w:rPr>
              <w:t>attainment against pre-determined</w:t>
            </w:r>
          </w:p>
        </w:tc>
      </w:tr>
      <w:tr>
        <w:trPr>
          <w:trHeight w:val="203"/>
        </w:trPr>
        <w:tc>
          <w:tcPr>
            <w:tcW w:w="1720" w:type="dxa"/>
            <w:vAlign w:val="bottom"/>
            <w:tcBorders>
              <w:left w:val="single" w:sz="8" w:color="auto"/>
              <w:right w:val="single" w:sz="8" w:color="auto"/>
            </w:tcBorders>
            <w:shd w:val="clear" w:color="auto" w:fill="D9D9D9"/>
          </w:tcPr>
          <w:p>
            <w:pPr>
              <w:spacing w:after="0"/>
              <w:rPr>
                <w:sz w:val="17"/>
                <w:szCs w:val="17"/>
                <w:color w:val="auto"/>
              </w:rPr>
            </w:pPr>
          </w:p>
        </w:tc>
        <w:tc>
          <w:tcPr>
            <w:tcW w:w="1060" w:type="dxa"/>
            <w:vAlign w:val="bottom"/>
            <w:tcBorders>
              <w:right w:val="single" w:sz="8" w:color="auto"/>
            </w:tcBorders>
            <w:shd w:val="clear" w:color="auto" w:fill="D9D9D9"/>
          </w:tcPr>
          <w:p>
            <w:pPr>
              <w:spacing w:after="0"/>
              <w:rPr>
                <w:sz w:val="17"/>
                <w:szCs w:val="17"/>
                <w:color w:val="auto"/>
              </w:rPr>
            </w:pPr>
          </w:p>
        </w:tc>
        <w:tc>
          <w:tcPr>
            <w:tcW w:w="3060" w:type="dxa"/>
            <w:vAlign w:val="bottom"/>
            <w:tcBorders>
              <w:right w:val="single" w:sz="8" w:color="auto"/>
            </w:tcBorders>
          </w:tcPr>
          <w:p>
            <w:pPr>
              <w:spacing w:after="0"/>
              <w:rPr>
                <w:sz w:val="17"/>
                <w:szCs w:val="17"/>
                <w:color w:val="auto"/>
              </w:rPr>
            </w:pPr>
          </w:p>
        </w:tc>
        <w:tc>
          <w:tcPr>
            <w:tcW w:w="3340" w:type="dxa"/>
            <w:vAlign w:val="bottom"/>
            <w:tcBorders>
              <w:right w:val="single" w:sz="8" w:color="auto"/>
            </w:tcBorders>
          </w:tcPr>
          <w:p>
            <w:pPr>
              <w:ind w:left="420"/>
              <w:spacing w:after="0" w:line="202" w:lineRule="exact"/>
              <w:rPr>
                <w:sz w:val="20"/>
                <w:szCs w:val="20"/>
                <w:color w:val="auto"/>
              </w:rPr>
            </w:pPr>
            <w:r>
              <w:rPr>
                <w:rFonts w:ascii="Arial" w:cs="Arial" w:eastAsia="Arial" w:hAnsi="Arial"/>
                <w:sz w:val="18"/>
                <w:szCs w:val="18"/>
                <w:color w:val="auto"/>
              </w:rPr>
              <w:t>goals, subject to the achievement</w:t>
            </w:r>
          </w:p>
        </w:tc>
      </w:tr>
      <w:tr>
        <w:trPr>
          <w:trHeight w:val="203"/>
        </w:trPr>
        <w:tc>
          <w:tcPr>
            <w:tcW w:w="1720" w:type="dxa"/>
            <w:vAlign w:val="bottom"/>
            <w:tcBorders>
              <w:left w:val="single" w:sz="8" w:color="auto"/>
              <w:right w:val="single" w:sz="8" w:color="auto"/>
            </w:tcBorders>
            <w:shd w:val="clear" w:color="auto" w:fill="D9D9D9"/>
          </w:tcPr>
          <w:p>
            <w:pPr>
              <w:spacing w:after="0"/>
              <w:rPr>
                <w:sz w:val="17"/>
                <w:szCs w:val="17"/>
                <w:color w:val="auto"/>
              </w:rPr>
            </w:pPr>
          </w:p>
        </w:tc>
        <w:tc>
          <w:tcPr>
            <w:tcW w:w="1060" w:type="dxa"/>
            <w:vAlign w:val="bottom"/>
            <w:tcBorders>
              <w:right w:val="single" w:sz="8" w:color="auto"/>
            </w:tcBorders>
            <w:shd w:val="clear" w:color="auto" w:fill="D9D9D9"/>
          </w:tcPr>
          <w:p>
            <w:pPr>
              <w:spacing w:after="0"/>
              <w:rPr>
                <w:sz w:val="17"/>
                <w:szCs w:val="17"/>
                <w:color w:val="auto"/>
              </w:rPr>
            </w:pPr>
          </w:p>
        </w:tc>
        <w:tc>
          <w:tcPr>
            <w:tcW w:w="3060" w:type="dxa"/>
            <w:vAlign w:val="bottom"/>
            <w:tcBorders>
              <w:right w:val="single" w:sz="8" w:color="auto"/>
            </w:tcBorders>
          </w:tcPr>
          <w:p>
            <w:pPr>
              <w:spacing w:after="0"/>
              <w:rPr>
                <w:sz w:val="17"/>
                <w:szCs w:val="17"/>
                <w:color w:val="auto"/>
              </w:rPr>
            </w:pPr>
          </w:p>
        </w:tc>
        <w:tc>
          <w:tcPr>
            <w:tcW w:w="3340" w:type="dxa"/>
            <w:vAlign w:val="bottom"/>
            <w:tcBorders>
              <w:right w:val="single" w:sz="8" w:color="auto"/>
            </w:tcBorders>
          </w:tcPr>
          <w:p>
            <w:pPr>
              <w:ind w:left="420"/>
              <w:spacing w:after="0" w:line="202" w:lineRule="exact"/>
              <w:rPr>
                <w:sz w:val="20"/>
                <w:szCs w:val="20"/>
                <w:color w:val="auto"/>
              </w:rPr>
            </w:pPr>
            <w:r>
              <w:rPr>
                <w:rFonts w:ascii="Arial" w:cs="Arial" w:eastAsia="Arial" w:hAnsi="Arial"/>
                <w:sz w:val="18"/>
                <w:szCs w:val="18"/>
                <w:color w:val="auto"/>
              </w:rPr>
              <w:t>of a threshold Adjusted EBITDA</w:t>
            </w:r>
          </w:p>
        </w:tc>
      </w:tr>
      <w:tr>
        <w:trPr>
          <w:trHeight w:val="239"/>
        </w:trPr>
        <w:tc>
          <w:tcPr>
            <w:tcW w:w="1720" w:type="dxa"/>
            <w:vAlign w:val="bottom"/>
            <w:tcBorders>
              <w:left w:val="single" w:sz="8" w:color="auto"/>
              <w:right w:val="single" w:sz="8" w:color="auto"/>
            </w:tcBorders>
            <w:shd w:val="clear" w:color="auto" w:fill="D9D9D9"/>
          </w:tcPr>
          <w:p>
            <w:pPr>
              <w:spacing w:after="0"/>
              <w:rPr>
                <w:sz w:val="20"/>
                <w:szCs w:val="20"/>
                <w:color w:val="auto"/>
              </w:rPr>
            </w:pPr>
          </w:p>
        </w:tc>
        <w:tc>
          <w:tcPr>
            <w:tcW w:w="1060" w:type="dxa"/>
            <w:vAlign w:val="bottom"/>
            <w:tcBorders>
              <w:right w:val="single" w:sz="8" w:color="auto"/>
            </w:tcBorders>
            <w:shd w:val="clear" w:color="auto" w:fill="D9D9D9"/>
          </w:tcPr>
          <w:p>
            <w:pPr>
              <w:spacing w:after="0"/>
              <w:rPr>
                <w:sz w:val="20"/>
                <w:szCs w:val="20"/>
                <w:color w:val="auto"/>
              </w:rPr>
            </w:pPr>
          </w:p>
        </w:tc>
        <w:tc>
          <w:tcPr>
            <w:tcW w:w="3060" w:type="dxa"/>
            <w:vAlign w:val="bottom"/>
            <w:tcBorders>
              <w:right w:val="single" w:sz="8" w:color="auto"/>
            </w:tcBorders>
          </w:tcPr>
          <w:p>
            <w:pPr>
              <w:spacing w:after="0"/>
              <w:rPr>
                <w:sz w:val="20"/>
                <w:szCs w:val="20"/>
                <w:color w:val="auto"/>
              </w:rPr>
            </w:pPr>
          </w:p>
        </w:tc>
        <w:tc>
          <w:tcPr>
            <w:tcW w:w="3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goal</w:t>
            </w:r>
          </w:p>
        </w:tc>
      </w:tr>
      <w:tr>
        <w:trPr>
          <w:trHeight w:val="301"/>
        </w:trPr>
        <w:tc>
          <w:tcPr>
            <w:tcW w:w="1720" w:type="dxa"/>
            <w:vAlign w:val="bottom"/>
            <w:tcBorders>
              <w:left w:val="single" w:sz="8" w:color="auto"/>
              <w:right w:val="single" w:sz="8" w:color="auto"/>
            </w:tcBorders>
            <w:shd w:val="clear" w:color="auto" w:fill="D9D9D9"/>
          </w:tcPr>
          <w:p>
            <w:pPr>
              <w:spacing w:after="0"/>
              <w:rPr>
                <w:sz w:val="24"/>
                <w:szCs w:val="24"/>
                <w:color w:val="auto"/>
              </w:rPr>
            </w:pPr>
          </w:p>
        </w:tc>
        <w:tc>
          <w:tcPr>
            <w:tcW w:w="1060" w:type="dxa"/>
            <w:vAlign w:val="bottom"/>
            <w:tcBorders>
              <w:right w:val="single" w:sz="8" w:color="auto"/>
            </w:tcBorders>
            <w:shd w:val="clear" w:color="auto" w:fill="D9D9D9"/>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33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   The Committee retains discretion to</w:t>
            </w:r>
          </w:p>
        </w:tc>
      </w:tr>
      <w:tr>
        <w:trPr>
          <w:trHeight w:val="203"/>
        </w:trPr>
        <w:tc>
          <w:tcPr>
            <w:tcW w:w="1720" w:type="dxa"/>
            <w:vAlign w:val="bottom"/>
            <w:tcBorders>
              <w:left w:val="single" w:sz="8" w:color="auto"/>
              <w:right w:val="single" w:sz="8" w:color="auto"/>
            </w:tcBorders>
            <w:shd w:val="clear" w:color="auto" w:fill="D9D9D9"/>
          </w:tcPr>
          <w:p>
            <w:pPr>
              <w:spacing w:after="0"/>
              <w:rPr>
                <w:sz w:val="17"/>
                <w:szCs w:val="17"/>
                <w:color w:val="auto"/>
              </w:rPr>
            </w:pPr>
          </w:p>
        </w:tc>
        <w:tc>
          <w:tcPr>
            <w:tcW w:w="1060" w:type="dxa"/>
            <w:vAlign w:val="bottom"/>
            <w:tcBorders>
              <w:right w:val="single" w:sz="8" w:color="auto"/>
            </w:tcBorders>
            <w:shd w:val="clear" w:color="auto" w:fill="D9D9D9"/>
          </w:tcPr>
          <w:p>
            <w:pPr>
              <w:spacing w:after="0"/>
              <w:rPr>
                <w:sz w:val="17"/>
                <w:szCs w:val="17"/>
                <w:color w:val="auto"/>
              </w:rPr>
            </w:pPr>
          </w:p>
        </w:tc>
        <w:tc>
          <w:tcPr>
            <w:tcW w:w="3060" w:type="dxa"/>
            <w:vAlign w:val="bottom"/>
            <w:tcBorders>
              <w:right w:val="single" w:sz="8" w:color="auto"/>
            </w:tcBorders>
          </w:tcPr>
          <w:p>
            <w:pPr>
              <w:spacing w:after="0"/>
              <w:rPr>
                <w:sz w:val="17"/>
                <w:szCs w:val="17"/>
                <w:color w:val="auto"/>
              </w:rPr>
            </w:pPr>
          </w:p>
        </w:tc>
        <w:tc>
          <w:tcPr>
            <w:tcW w:w="3340" w:type="dxa"/>
            <w:vAlign w:val="bottom"/>
            <w:tcBorders>
              <w:right w:val="single" w:sz="8" w:color="auto"/>
            </w:tcBorders>
          </w:tcPr>
          <w:p>
            <w:pPr>
              <w:ind w:left="420"/>
              <w:spacing w:after="0" w:line="202" w:lineRule="exact"/>
              <w:rPr>
                <w:sz w:val="20"/>
                <w:szCs w:val="20"/>
                <w:color w:val="auto"/>
              </w:rPr>
            </w:pPr>
            <w:r>
              <w:rPr>
                <w:rFonts w:ascii="Arial" w:cs="Arial" w:eastAsia="Arial" w:hAnsi="Arial"/>
                <w:sz w:val="18"/>
                <w:szCs w:val="18"/>
                <w:color w:val="auto"/>
              </w:rPr>
              <w:t>further adjust the award upward or</w:t>
            </w:r>
          </w:p>
        </w:tc>
      </w:tr>
      <w:tr>
        <w:trPr>
          <w:trHeight w:val="203"/>
        </w:trPr>
        <w:tc>
          <w:tcPr>
            <w:tcW w:w="1720" w:type="dxa"/>
            <w:vAlign w:val="bottom"/>
            <w:tcBorders>
              <w:left w:val="single" w:sz="8" w:color="auto"/>
              <w:right w:val="single" w:sz="8" w:color="auto"/>
            </w:tcBorders>
            <w:shd w:val="clear" w:color="auto" w:fill="D9D9D9"/>
          </w:tcPr>
          <w:p>
            <w:pPr>
              <w:spacing w:after="0"/>
              <w:rPr>
                <w:sz w:val="17"/>
                <w:szCs w:val="17"/>
                <w:color w:val="auto"/>
              </w:rPr>
            </w:pPr>
          </w:p>
        </w:tc>
        <w:tc>
          <w:tcPr>
            <w:tcW w:w="1060" w:type="dxa"/>
            <w:vAlign w:val="bottom"/>
            <w:tcBorders>
              <w:right w:val="single" w:sz="8" w:color="auto"/>
            </w:tcBorders>
            <w:shd w:val="clear" w:color="auto" w:fill="D9D9D9"/>
          </w:tcPr>
          <w:p>
            <w:pPr>
              <w:spacing w:after="0"/>
              <w:rPr>
                <w:sz w:val="17"/>
                <w:szCs w:val="17"/>
                <w:color w:val="auto"/>
              </w:rPr>
            </w:pPr>
          </w:p>
        </w:tc>
        <w:tc>
          <w:tcPr>
            <w:tcW w:w="3060" w:type="dxa"/>
            <w:vAlign w:val="bottom"/>
            <w:tcBorders>
              <w:right w:val="single" w:sz="8" w:color="auto"/>
            </w:tcBorders>
          </w:tcPr>
          <w:p>
            <w:pPr>
              <w:spacing w:after="0"/>
              <w:rPr>
                <w:sz w:val="17"/>
                <w:szCs w:val="17"/>
                <w:color w:val="auto"/>
              </w:rPr>
            </w:pPr>
          </w:p>
        </w:tc>
        <w:tc>
          <w:tcPr>
            <w:tcW w:w="3340" w:type="dxa"/>
            <w:vAlign w:val="bottom"/>
            <w:tcBorders>
              <w:right w:val="single" w:sz="8" w:color="auto"/>
            </w:tcBorders>
          </w:tcPr>
          <w:p>
            <w:pPr>
              <w:ind w:left="420"/>
              <w:spacing w:after="0" w:line="202" w:lineRule="exact"/>
              <w:rPr>
                <w:sz w:val="20"/>
                <w:szCs w:val="20"/>
                <w:color w:val="auto"/>
              </w:rPr>
            </w:pPr>
            <w:r>
              <w:rPr>
                <w:rFonts w:ascii="Arial" w:cs="Arial" w:eastAsia="Arial" w:hAnsi="Arial"/>
                <w:sz w:val="18"/>
                <w:szCs w:val="18"/>
                <w:color w:val="auto"/>
              </w:rPr>
              <w:t>downward based on its</w:t>
            </w:r>
          </w:p>
        </w:tc>
      </w:tr>
      <w:tr>
        <w:trPr>
          <w:trHeight w:val="203"/>
        </w:trPr>
        <w:tc>
          <w:tcPr>
            <w:tcW w:w="1720" w:type="dxa"/>
            <w:vAlign w:val="bottom"/>
            <w:tcBorders>
              <w:left w:val="single" w:sz="8" w:color="auto"/>
              <w:right w:val="single" w:sz="8" w:color="auto"/>
            </w:tcBorders>
            <w:shd w:val="clear" w:color="auto" w:fill="D9D9D9"/>
          </w:tcPr>
          <w:p>
            <w:pPr>
              <w:spacing w:after="0"/>
              <w:rPr>
                <w:sz w:val="17"/>
                <w:szCs w:val="17"/>
                <w:color w:val="auto"/>
              </w:rPr>
            </w:pPr>
          </w:p>
        </w:tc>
        <w:tc>
          <w:tcPr>
            <w:tcW w:w="1060" w:type="dxa"/>
            <w:vAlign w:val="bottom"/>
            <w:tcBorders>
              <w:right w:val="single" w:sz="8" w:color="auto"/>
            </w:tcBorders>
            <w:shd w:val="clear" w:color="auto" w:fill="D9D9D9"/>
          </w:tcPr>
          <w:p>
            <w:pPr>
              <w:spacing w:after="0"/>
              <w:rPr>
                <w:sz w:val="17"/>
                <w:szCs w:val="17"/>
                <w:color w:val="auto"/>
              </w:rPr>
            </w:pPr>
          </w:p>
        </w:tc>
        <w:tc>
          <w:tcPr>
            <w:tcW w:w="3060" w:type="dxa"/>
            <w:vAlign w:val="bottom"/>
            <w:tcBorders>
              <w:right w:val="single" w:sz="8" w:color="auto"/>
            </w:tcBorders>
          </w:tcPr>
          <w:p>
            <w:pPr>
              <w:spacing w:after="0"/>
              <w:rPr>
                <w:sz w:val="17"/>
                <w:szCs w:val="17"/>
                <w:color w:val="auto"/>
              </w:rPr>
            </w:pPr>
          </w:p>
        </w:tc>
        <w:tc>
          <w:tcPr>
            <w:tcW w:w="3340" w:type="dxa"/>
            <w:vAlign w:val="bottom"/>
            <w:tcBorders>
              <w:right w:val="single" w:sz="8" w:color="auto"/>
            </w:tcBorders>
          </w:tcPr>
          <w:p>
            <w:pPr>
              <w:ind w:left="420"/>
              <w:spacing w:after="0" w:line="202" w:lineRule="exact"/>
              <w:rPr>
                <w:sz w:val="20"/>
                <w:szCs w:val="20"/>
                <w:color w:val="auto"/>
              </w:rPr>
            </w:pPr>
            <w:r>
              <w:rPr>
                <w:rFonts w:ascii="Arial" w:cs="Arial" w:eastAsia="Arial" w:hAnsi="Arial"/>
                <w:sz w:val="18"/>
                <w:szCs w:val="18"/>
                <w:color w:val="auto"/>
              </w:rPr>
              <w:t>assessment of Company and/or</w:t>
            </w:r>
          </w:p>
        </w:tc>
      </w:tr>
      <w:tr>
        <w:trPr>
          <w:trHeight w:val="289"/>
        </w:trPr>
        <w:tc>
          <w:tcPr>
            <w:tcW w:w="1720" w:type="dxa"/>
            <w:vAlign w:val="bottom"/>
            <w:tcBorders>
              <w:left w:val="single" w:sz="8" w:color="auto"/>
              <w:bottom w:val="single" w:sz="8" w:color="D9D9D9"/>
              <w:right w:val="single" w:sz="8" w:color="auto"/>
            </w:tcBorders>
            <w:shd w:val="clear" w:color="auto" w:fill="D9D9D9"/>
          </w:tcPr>
          <w:p>
            <w:pPr>
              <w:spacing w:after="0"/>
              <w:rPr>
                <w:sz w:val="24"/>
                <w:szCs w:val="24"/>
                <w:color w:val="auto"/>
              </w:rPr>
            </w:pPr>
          </w:p>
        </w:tc>
        <w:tc>
          <w:tcPr>
            <w:tcW w:w="1060" w:type="dxa"/>
            <w:vAlign w:val="bottom"/>
            <w:tcBorders>
              <w:bottom w:val="single" w:sz="8" w:color="D9D9D9"/>
              <w:right w:val="single" w:sz="8" w:color="auto"/>
            </w:tcBorders>
            <w:shd w:val="clear" w:color="auto" w:fill="D9D9D9"/>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3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individual performance</w:t>
            </w:r>
          </w:p>
        </w:tc>
      </w:tr>
      <w:tr>
        <w:trPr>
          <w:trHeight w:val="245"/>
        </w:trPr>
        <w:tc>
          <w:tcPr>
            <w:tcW w:w="1720" w:type="dxa"/>
            <w:vAlign w:val="bottom"/>
            <w:tcBorders>
              <w:top w:val="single" w:sz="8" w:color="auto"/>
              <w:left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18"/>
                <w:szCs w:val="18"/>
                <w:b w:val="1"/>
                <w:bCs w:val="1"/>
                <w:color w:val="auto"/>
              </w:rPr>
              <w:t>Long-Term</w:t>
            </w:r>
          </w:p>
        </w:tc>
        <w:tc>
          <w:tcPr>
            <w:tcW w:w="1060" w:type="dxa"/>
            <w:vAlign w:val="bottom"/>
            <w:tcBorders>
              <w:top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Equity</w:t>
            </w:r>
          </w:p>
        </w:tc>
        <w:tc>
          <w:tcPr>
            <w:tcW w:w="30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Provides incentives for executives</w:t>
            </w:r>
          </w:p>
        </w:tc>
        <w:tc>
          <w:tcPr>
            <w:tcW w:w="33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i w:val="1"/>
                <w:iCs w:val="1"/>
                <w:color w:val="auto"/>
              </w:rPr>
              <w:t>See below</w:t>
            </w:r>
          </w:p>
        </w:tc>
      </w:tr>
      <w:tr>
        <w:trPr>
          <w:trHeight w:val="203"/>
        </w:trPr>
        <w:tc>
          <w:tcPr>
            <w:tcW w:w="1720" w:type="dxa"/>
            <w:vAlign w:val="bottom"/>
            <w:tcBorders>
              <w:left w:val="single" w:sz="8" w:color="auto"/>
              <w:right w:val="single" w:sz="8" w:color="auto"/>
            </w:tcBorders>
            <w:shd w:val="clear" w:color="auto" w:fill="D9D9D9"/>
          </w:tcPr>
          <w:p>
            <w:pPr>
              <w:ind w:left="100"/>
              <w:spacing w:after="0" w:line="202" w:lineRule="exact"/>
              <w:rPr>
                <w:sz w:val="20"/>
                <w:szCs w:val="20"/>
                <w:color w:val="auto"/>
              </w:rPr>
            </w:pPr>
            <w:r>
              <w:rPr>
                <w:rFonts w:ascii="Arial" w:cs="Arial" w:eastAsia="Arial" w:hAnsi="Arial"/>
                <w:sz w:val="18"/>
                <w:szCs w:val="18"/>
                <w:b w:val="1"/>
                <w:bCs w:val="1"/>
                <w:color w:val="auto"/>
              </w:rPr>
              <w:t>Incentive Plan</w:t>
            </w:r>
          </w:p>
        </w:tc>
        <w:tc>
          <w:tcPr>
            <w:tcW w:w="1060" w:type="dxa"/>
            <w:vAlign w:val="bottom"/>
            <w:tcBorders>
              <w:right w:val="single" w:sz="8" w:color="auto"/>
            </w:tcBorders>
            <w:shd w:val="clear" w:color="auto" w:fill="D9D9D9"/>
          </w:tcPr>
          <w:p>
            <w:pPr>
              <w:ind w:left="80"/>
              <w:spacing w:after="0" w:line="202" w:lineRule="exact"/>
              <w:rPr>
                <w:sz w:val="20"/>
                <w:szCs w:val="20"/>
                <w:color w:val="auto"/>
              </w:rPr>
            </w:pPr>
            <w:r>
              <w:rPr>
                <w:rFonts w:ascii="Arial" w:cs="Arial" w:eastAsia="Arial" w:hAnsi="Arial"/>
                <w:sz w:val="18"/>
                <w:szCs w:val="18"/>
                <w:b w:val="1"/>
                <w:bCs w:val="1"/>
                <w:color w:val="auto"/>
              </w:rPr>
              <w:t>(Variable)</w:t>
            </w:r>
          </w:p>
        </w:tc>
        <w:tc>
          <w:tcPr>
            <w:tcW w:w="30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to execute on longer-term</w:t>
            </w:r>
          </w:p>
        </w:tc>
        <w:tc>
          <w:tcPr>
            <w:tcW w:w="3340" w:type="dxa"/>
            <w:vAlign w:val="bottom"/>
            <w:tcBorders>
              <w:right w:val="single" w:sz="8" w:color="auto"/>
            </w:tcBorders>
          </w:tcPr>
          <w:p>
            <w:pPr>
              <w:spacing w:after="0"/>
              <w:rPr>
                <w:sz w:val="17"/>
                <w:szCs w:val="17"/>
                <w:color w:val="auto"/>
              </w:rPr>
            </w:pPr>
          </w:p>
        </w:tc>
      </w:tr>
      <w:tr>
        <w:trPr>
          <w:trHeight w:val="203"/>
        </w:trPr>
        <w:tc>
          <w:tcPr>
            <w:tcW w:w="1720" w:type="dxa"/>
            <w:vAlign w:val="bottom"/>
            <w:tcBorders>
              <w:left w:val="single" w:sz="8" w:color="auto"/>
              <w:right w:val="single" w:sz="8" w:color="auto"/>
            </w:tcBorders>
            <w:shd w:val="clear" w:color="auto" w:fill="D9D9D9"/>
          </w:tcPr>
          <w:p>
            <w:pPr>
              <w:ind w:left="100"/>
              <w:spacing w:after="0" w:line="202" w:lineRule="exact"/>
              <w:rPr>
                <w:sz w:val="20"/>
                <w:szCs w:val="20"/>
                <w:color w:val="auto"/>
              </w:rPr>
            </w:pPr>
            <w:r>
              <w:rPr>
                <w:rFonts w:ascii="Arial" w:cs="Arial" w:eastAsia="Arial" w:hAnsi="Arial"/>
                <w:sz w:val="18"/>
                <w:szCs w:val="18"/>
                <w:b w:val="1"/>
                <w:bCs w:val="1"/>
                <w:color w:val="auto"/>
              </w:rPr>
              <w:t>(LTIP)</w:t>
            </w:r>
          </w:p>
        </w:tc>
        <w:tc>
          <w:tcPr>
            <w:tcW w:w="1060" w:type="dxa"/>
            <w:vAlign w:val="bottom"/>
            <w:tcBorders>
              <w:right w:val="single" w:sz="8" w:color="auto"/>
            </w:tcBorders>
            <w:shd w:val="clear" w:color="auto" w:fill="D9D9D9"/>
          </w:tcPr>
          <w:p>
            <w:pPr>
              <w:spacing w:after="0"/>
              <w:rPr>
                <w:sz w:val="17"/>
                <w:szCs w:val="17"/>
                <w:color w:val="auto"/>
              </w:rPr>
            </w:pPr>
          </w:p>
        </w:tc>
        <w:tc>
          <w:tcPr>
            <w:tcW w:w="30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financial/strategic growth goals that</w:t>
            </w:r>
          </w:p>
        </w:tc>
        <w:tc>
          <w:tcPr>
            <w:tcW w:w="3340" w:type="dxa"/>
            <w:vAlign w:val="bottom"/>
            <w:tcBorders>
              <w:right w:val="single" w:sz="8" w:color="auto"/>
            </w:tcBorders>
          </w:tcPr>
          <w:p>
            <w:pPr>
              <w:spacing w:after="0"/>
              <w:rPr>
                <w:sz w:val="17"/>
                <w:szCs w:val="17"/>
                <w:color w:val="auto"/>
              </w:rPr>
            </w:pPr>
          </w:p>
        </w:tc>
      </w:tr>
      <w:tr>
        <w:trPr>
          <w:trHeight w:val="203"/>
        </w:trPr>
        <w:tc>
          <w:tcPr>
            <w:tcW w:w="1720" w:type="dxa"/>
            <w:vAlign w:val="bottom"/>
            <w:tcBorders>
              <w:left w:val="single" w:sz="8" w:color="auto"/>
              <w:right w:val="single" w:sz="8" w:color="auto"/>
            </w:tcBorders>
            <w:shd w:val="clear" w:color="auto" w:fill="D9D9D9"/>
          </w:tcPr>
          <w:p>
            <w:pPr>
              <w:spacing w:after="0"/>
              <w:rPr>
                <w:sz w:val="17"/>
                <w:szCs w:val="17"/>
                <w:color w:val="auto"/>
              </w:rPr>
            </w:pPr>
          </w:p>
        </w:tc>
        <w:tc>
          <w:tcPr>
            <w:tcW w:w="1060" w:type="dxa"/>
            <w:vAlign w:val="bottom"/>
            <w:tcBorders>
              <w:right w:val="single" w:sz="8" w:color="auto"/>
            </w:tcBorders>
            <w:shd w:val="clear" w:color="auto" w:fill="D9D9D9"/>
          </w:tcPr>
          <w:p>
            <w:pPr>
              <w:spacing w:after="0"/>
              <w:rPr>
                <w:sz w:val="17"/>
                <w:szCs w:val="17"/>
                <w:color w:val="auto"/>
              </w:rPr>
            </w:pPr>
          </w:p>
        </w:tc>
        <w:tc>
          <w:tcPr>
            <w:tcW w:w="30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drive shareholder value creation</w:t>
            </w:r>
          </w:p>
        </w:tc>
        <w:tc>
          <w:tcPr>
            <w:tcW w:w="3340" w:type="dxa"/>
            <w:vAlign w:val="bottom"/>
            <w:tcBorders>
              <w:right w:val="single" w:sz="8" w:color="auto"/>
            </w:tcBorders>
          </w:tcPr>
          <w:p>
            <w:pPr>
              <w:spacing w:after="0"/>
              <w:rPr>
                <w:sz w:val="17"/>
                <w:szCs w:val="17"/>
                <w:color w:val="auto"/>
              </w:rPr>
            </w:pPr>
          </w:p>
        </w:tc>
      </w:tr>
      <w:tr>
        <w:trPr>
          <w:trHeight w:val="203"/>
        </w:trPr>
        <w:tc>
          <w:tcPr>
            <w:tcW w:w="1720" w:type="dxa"/>
            <w:vAlign w:val="bottom"/>
            <w:tcBorders>
              <w:left w:val="single" w:sz="8" w:color="auto"/>
              <w:right w:val="single" w:sz="8" w:color="auto"/>
            </w:tcBorders>
            <w:shd w:val="clear" w:color="auto" w:fill="D9D9D9"/>
          </w:tcPr>
          <w:p>
            <w:pPr>
              <w:spacing w:after="0"/>
              <w:rPr>
                <w:sz w:val="17"/>
                <w:szCs w:val="17"/>
                <w:color w:val="auto"/>
              </w:rPr>
            </w:pPr>
          </w:p>
        </w:tc>
        <w:tc>
          <w:tcPr>
            <w:tcW w:w="1060" w:type="dxa"/>
            <w:vAlign w:val="bottom"/>
            <w:tcBorders>
              <w:right w:val="single" w:sz="8" w:color="auto"/>
            </w:tcBorders>
            <w:shd w:val="clear" w:color="auto" w:fill="D9D9D9"/>
          </w:tcPr>
          <w:p>
            <w:pPr>
              <w:spacing w:after="0"/>
              <w:rPr>
                <w:sz w:val="17"/>
                <w:szCs w:val="17"/>
                <w:color w:val="auto"/>
              </w:rPr>
            </w:pPr>
          </w:p>
        </w:tc>
        <w:tc>
          <w:tcPr>
            <w:tcW w:w="30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and support the Company’s</w:t>
            </w:r>
          </w:p>
        </w:tc>
        <w:tc>
          <w:tcPr>
            <w:tcW w:w="3340" w:type="dxa"/>
            <w:vAlign w:val="bottom"/>
            <w:tcBorders>
              <w:right w:val="single" w:sz="8" w:color="auto"/>
            </w:tcBorders>
          </w:tcPr>
          <w:p>
            <w:pPr>
              <w:spacing w:after="0"/>
              <w:rPr>
                <w:sz w:val="17"/>
                <w:szCs w:val="17"/>
                <w:color w:val="auto"/>
              </w:rPr>
            </w:pPr>
          </w:p>
        </w:tc>
      </w:tr>
      <w:tr>
        <w:trPr>
          <w:trHeight w:val="244"/>
        </w:trPr>
        <w:tc>
          <w:tcPr>
            <w:tcW w:w="1720" w:type="dxa"/>
            <w:vAlign w:val="bottom"/>
            <w:tcBorders>
              <w:left w:val="single" w:sz="8" w:color="auto"/>
              <w:bottom w:val="single" w:sz="8" w:color="auto"/>
              <w:right w:val="single" w:sz="8" w:color="auto"/>
            </w:tcBorders>
            <w:shd w:val="clear" w:color="auto" w:fill="D9D9D9"/>
          </w:tcPr>
          <w:p>
            <w:pPr>
              <w:spacing w:after="0"/>
              <w:rPr>
                <w:sz w:val="21"/>
                <w:szCs w:val="21"/>
                <w:color w:val="auto"/>
              </w:rPr>
            </w:pPr>
          </w:p>
        </w:tc>
        <w:tc>
          <w:tcPr>
            <w:tcW w:w="1060" w:type="dxa"/>
            <w:vAlign w:val="bottom"/>
            <w:tcBorders>
              <w:bottom w:val="single" w:sz="8" w:color="auto"/>
              <w:right w:val="single" w:sz="8" w:color="auto"/>
            </w:tcBorders>
            <w:shd w:val="clear" w:color="auto" w:fill="D9D9D9"/>
          </w:tcPr>
          <w:p>
            <w:pPr>
              <w:spacing w:after="0"/>
              <w:rPr>
                <w:sz w:val="21"/>
                <w:szCs w:val="21"/>
                <w:color w:val="auto"/>
              </w:rPr>
            </w:pPr>
          </w:p>
        </w:tc>
        <w:tc>
          <w:tcPr>
            <w:tcW w:w="3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retention strategy</w:t>
            </w:r>
          </w:p>
        </w:tc>
        <w:tc>
          <w:tcPr>
            <w:tcW w:w="334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9180"/>
          </w:cols>
          <w:pgMar w:left="1360" w:top="263" w:right="1359" w:bottom="1440" w:gutter="0" w:footer="0" w:header="0"/>
        </w:sectPr>
      </w:pPr>
    </w:p>
    <w:p>
      <w:pPr>
        <w:spacing w:after="0" w:line="105" w:lineRule="exact"/>
        <w:rPr>
          <w:sz w:val="20"/>
          <w:szCs w:val="20"/>
          <w:color w:val="auto"/>
        </w:rPr>
      </w:pPr>
    </w:p>
    <w:p>
      <w:pPr>
        <w:spacing w:after="0"/>
        <w:tabs>
          <w:tab w:leader="none" w:pos="4420" w:val="left"/>
        </w:tabs>
        <w:rPr>
          <w:sz w:val="20"/>
          <w:szCs w:val="20"/>
          <w:color w:val="auto"/>
        </w:rPr>
      </w:pPr>
      <w:r>
        <w:rPr>
          <w:rFonts w:ascii="Arial" w:cs="Arial" w:eastAsia="Arial" w:hAnsi="Arial"/>
          <w:sz w:val="12"/>
          <w:szCs w:val="12"/>
          <w:color w:val="auto"/>
        </w:rPr>
        <w:t> </w:t>
      </w:r>
      <w:r>
        <w:rPr>
          <w:sz w:val="20"/>
          <w:szCs w:val="20"/>
          <w:color w:val="auto"/>
        </w:rPr>
        <w:tab/>
      </w: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161925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263" w:right="1359" w:bottom="1440" w:gutter="0" w:footer="0" w:header="0"/>
          <w:type w:val="continuous"/>
        </w:sectPr>
      </w:pPr>
    </w:p>
    <w:bookmarkStart w:id="32" w:name="page33"/>
    <w:bookmarkEnd w:id="32"/>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tbl>
      <w:tblPr>
        <w:tblLayout w:type="fixed"/>
        <w:tblInd w:w="930" w:type="dxa"/>
        <w:tblCellMar>
          <w:top w:w="0" w:type="dxa"/>
          <w:left w:w="0" w:type="dxa"/>
          <w:bottom w:w="0" w:type="dxa"/>
          <w:right w:w="0" w:type="dxa"/>
        </w:tblCellMar>
      </w:tblPr>
      <w:tr>
        <w:trPr>
          <w:trHeight w:val="278"/>
        </w:trPr>
        <w:tc>
          <w:tcPr>
            <w:tcW w:w="1720" w:type="dxa"/>
            <w:vAlign w:val="bottom"/>
            <w:tcBorders>
              <w:top w:val="single" w:sz="8" w:color="auto"/>
              <w:left w:val="single" w:sz="8" w:color="auto"/>
              <w:right w:val="single" w:sz="8" w:color="auto"/>
            </w:tcBorders>
            <w:shd w:val="clear" w:color="auto" w:fill="8C8C8C"/>
          </w:tcPr>
          <w:p>
            <w:pPr>
              <w:spacing w:after="0"/>
              <w:rPr>
                <w:sz w:val="24"/>
                <w:szCs w:val="24"/>
                <w:color w:val="auto"/>
              </w:rPr>
            </w:pPr>
          </w:p>
        </w:tc>
        <w:tc>
          <w:tcPr>
            <w:tcW w:w="60" w:type="dxa"/>
            <w:vAlign w:val="bottom"/>
            <w:tcBorders>
              <w:top w:val="single" w:sz="8" w:color="auto"/>
            </w:tcBorders>
            <w:shd w:val="clear" w:color="auto" w:fill="8C8C8C"/>
          </w:tcPr>
          <w:p>
            <w:pPr>
              <w:spacing w:after="0"/>
              <w:rPr>
                <w:sz w:val="24"/>
                <w:szCs w:val="24"/>
                <w:color w:val="auto"/>
              </w:rPr>
            </w:pPr>
          </w:p>
        </w:tc>
        <w:tc>
          <w:tcPr>
            <w:tcW w:w="1000" w:type="dxa"/>
            <w:vAlign w:val="bottom"/>
            <w:tcBorders>
              <w:top w:val="single" w:sz="8" w:color="auto"/>
              <w:right w:val="single" w:sz="8" w:color="auto"/>
            </w:tcBorders>
            <w:shd w:val="clear" w:color="auto" w:fill="8C8C8C"/>
          </w:tcPr>
          <w:p>
            <w:pPr>
              <w:ind w:left="20"/>
              <w:spacing w:after="0"/>
              <w:rPr>
                <w:sz w:val="20"/>
                <w:szCs w:val="20"/>
                <w:color w:val="auto"/>
              </w:rPr>
            </w:pPr>
            <w:r>
              <w:rPr>
                <w:rFonts w:ascii="Arial" w:cs="Arial" w:eastAsia="Arial" w:hAnsi="Arial"/>
                <w:sz w:val="18"/>
                <w:szCs w:val="18"/>
                <w:b w:val="1"/>
                <w:bCs w:val="1"/>
                <w:color w:val="FFFFFF"/>
              </w:rPr>
              <w:t>How It’s</w:t>
            </w:r>
          </w:p>
        </w:tc>
        <w:tc>
          <w:tcPr>
            <w:tcW w:w="3060" w:type="dxa"/>
            <w:vAlign w:val="bottom"/>
            <w:tcBorders>
              <w:top w:val="single" w:sz="8" w:color="auto"/>
              <w:right w:val="single" w:sz="8" w:color="auto"/>
            </w:tcBorders>
            <w:shd w:val="clear" w:color="auto" w:fill="8C8C8C"/>
          </w:tcPr>
          <w:p>
            <w:pPr>
              <w:spacing w:after="0"/>
              <w:rPr>
                <w:sz w:val="24"/>
                <w:szCs w:val="24"/>
                <w:color w:val="auto"/>
              </w:rPr>
            </w:pPr>
          </w:p>
        </w:tc>
        <w:tc>
          <w:tcPr>
            <w:tcW w:w="3340" w:type="dxa"/>
            <w:vAlign w:val="bottom"/>
            <w:tcBorders>
              <w:top w:val="single" w:sz="8" w:color="auto"/>
              <w:right w:val="single" w:sz="8" w:color="auto"/>
            </w:tcBorders>
            <w:shd w:val="clear" w:color="auto" w:fill="8C8C8C"/>
          </w:tcPr>
          <w:p>
            <w:pPr>
              <w:spacing w:after="0"/>
              <w:rPr>
                <w:sz w:val="24"/>
                <w:szCs w:val="24"/>
                <w:color w:val="auto"/>
              </w:rPr>
            </w:pPr>
          </w:p>
        </w:tc>
      </w:tr>
      <w:tr>
        <w:trPr>
          <w:trHeight w:val="294"/>
        </w:trPr>
        <w:tc>
          <w:tcPr>
            <w:tcW w:w="1720" w:type="dxa"/>
            <w:vAlign w:val="bottom"/>
            <w:tcBorders>
              <w:left w:val="single" w:sz="8" w:color="auto"/>
              <w:bottom w:val="single" w:sz="8" w:color="8C8C8C"/>
              <w:right w:val="single" w:sz="8" w:color="auto"/>
            </w:tcBorders>
            <w:shd w:val="clear" w:color="auto" w:fill="8C8C8C"/>
          </w:tcPr>
          <w:p>
            <w:pPr>
              <w:ind w:left="100"/>
              <w:spacing w:after="0"/>
              <w:rPr>
                <w:sz w:val="20"/>
                <w:szCs w:val="20"/>
                <w:color w:val="auto"/>
              </w:rPr>
            </w:pPr>
            <w:r>
              <w:rPr>
                <w:rFonts w:ascii="Arial" w:cs="Arial" w:eastAsia="Arial" w:hAnsi="Arial"/>
                <w:sz w:val="18"/>
                <w:szCs w:val="18"/>
                <w:b w:val="1"/>
                <w:bCs w:val="1"/>
                <w:color w:val="FFFFFF"/>
              </w:rPr>
              <w:t>Pay Element</w:t>
            </w:r>
          </w:p>
        </w:tc>
        <w:tc>
          <w:tcPr>
            <w:tcW w:w="60" w:type="dxa"/>
            <w:vAlign w:val="bottom"/>
            <w:tcBorders>
              <w:bottom w:val="single" w:sz="8" w:color="8C8C8C"/>
            </w:tcBorders>
            <w:shd w:val="clear" w:color="auto" w:fill="8C8C8C"/>
          </w:tcPr>
          <w:p>
            <w:pPr>
              <w:spacing w:after="0"/>
              <w:rPr>
                <w:sz w:val="24"/>
                <w:szCs w:val="24"/>
                <w:color w:val="auto"/>
              </w:rPr>
            </w:pPr>
          </w:p>
        </w:tc>
        <w:tc>
          <w:tcPr>
            <w:tcW w:w="1000" w:type="dxa"/>
            <w:vAlign w:val="bottom"/>
            <w:tcBorders>
              <w:bottom w:val="single" w:sz="8" w:color="8C8C8C"/>
              <w:right w:val="single" w:sz="8" w:color="auto"/>
            </w:tcBorders>
            <w:shd w:val="clear" w:color="auto" w:fill="8C8C8C"/>
          </w:tcPr>
          <w:p>
            <w:pPr>
              <w:ind w:left="20"/>
              <w:spacing w:after="0"/>
              <w:rPr>
                <w:sz w:val="20"/>
                <w:szCs w:val="20"/>
                <w:color w:val="auto"/>
              </w:rPr>
            </w:pPr>
            <w:r>
              <w:rPr>
                <w:rFonts w:ascii="Arial" w:cs="Arial" w:eastAsia="Arial" w:hAnsi="Arial"/>
                <w:sz w:val="18"/>
                <w:szCs w:val="18"/>
                <w:b w:val="1"/>
                <w:bCs w:val="1"/>
                <w:color w:val="FFFFFF"/>
              </w:rPr>
              <w:t>Paid</w:t>
            </w:r>
          </w:p>
        </w:tc>
        <w:tc>
          <w:tcPr>
            <w:tcW w:w="3060" w:type="dxa"/>
            <w:vAlign w:val="bottom"/>
            <w:tcBorders>
              <w:bottom w:val="single" w:sz="8" w:color="8C8C8C"/>
              <w:right w:val="single" w:sz="8" w:color="auto"/>
            </w:tcBorders>
            <w:shd w:val="clear" w:color="auto" w:fill="8C8C8C"/>
          </w:tcPr>
          <w:p>
            <w:pPr>
              <w:ind w:left="80"/>
              <w:spacing w:after="0"/>
              <w:rPr>
                <w:sz w:val="20"/>
                <w:szCs w:val="20"/>
                <w:color w:val="auto"/>
              </w:rPr>
            </w:pPr>
            <w:r>
              <w:rPr>
                <w:rFonts w:ascii="Arial" w:cs="Arial" w:eastAsia="Arial" w:hAnsi="Arial"/>
                <w:sz w:val="18"/>
                <w:szCs w:val="18"/>
                <w:b w:val="1"/>
                <w:bCs w:val="1"/>
                <w:color w:val="FFFFFF"/>
              </w:rPr>
              <w:t>What It Does</w:t>
            </w:r>
          </w:p>
        </w:tc>
        <w:tc>
          <w:tcPr>
            <w:tcW w:w="3340" w:type="dxa"/>
            <w:vAlign w:val="bottom"/>
            <w:tcBorders>
              <w:bottom w:val="single" w:sz="8" w:color="8C8C8C"/>
              <w:right w:val="single" w:sz="8" w:color="auto"/>
            </w:tcBorders>
            <w:shd w:val="clear" w:color="auto" w:fill="8C8C8C"/>
          </w:tcPr>
          <w:p>
            <w:pPr>
              <w:ind w:left="100"/>
              <w:spacing w:after="0"/>
              <w:rPr>
                <w:sz w:val="20"/>
                <w:szCs w:val="20"/>
                <w:color w:val="auto"/>
              </w:rPr>
            </w:pPr>
            <w:r>
              <w:rPr>
                <w:rFonts w:ascii="Arial" w:cs="Arial" w:eastAsia="Arial" w:hAnsi="Arial"/>
                <w:sz w:val="18"/>
                <w:szCs w:val="18"/>
                <w:b w:val="1"/>
                <w:bCs w:val="1"/>
                <w:color w:val="FFFFFF"/>
              </w:rPr>
              <w:t>How It Links to Performance</w:t>
            </w:r>
          </w:p>
        </w:tc>
      </w:tr>
      <w:tr>
        <w:trPr>
          <w:trHeight w:val="245"/>
        </w:trPr>
        <w:tc>
          <w:tcPr>
            <w:tcW w:w="2780" w:type="dxa"/>
            <w:vAlign w:val="bottom"/>
            <w:tcBorders>
              <w:top w:val="single" w:sz="8" w:color="auto"/>
              <w:left w:val="single" w:sz="8" w:color="auto"/>
              <w:right w:val="single" w:sz="8" w:color="auto"/>
            </w:tcBorders>
            <w:gridSpan w:val="3"/>
            <w:shd w:val="clear" w:color="auto" w:fill="D9D9D9"/>
          </w:tcPr>
          <w:p>
            <w:pPr>
              <w:ind w:left="100"/>
              <w:spacing w:after="0"/>
              <w:rPr>
                <w:sz w:val="20"/>
                <w:szCs w:val="20"/>
                <w:color w:val="auto"/>
              </w:rPr>
            </w:pPr>
            <w:r>
              <w:rPr>
                <w:rFonts w:ascii="Arial" w:cs="Arial" w:eastAsia="Arial" w:hAnsi="Arial"/>
                <w:sz w:val="18"/>
                <w:szCs w:val="18"/>
                <w:i w:val="1"/>
                <w:iCs w:val="1"/>
                <w:color w:val="auto"/>
              </w:rPr>
              <w:t>Performance-Based Restricted</w:t>
            </w:r>
          </w:p>
        </w:tc>
        <w:tc>
          <w:tcPr>
            <w:tcW w:w="30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Rewards achievement of financial</w:t>
            </w:r>
          </w:p>
        </w:tc>
        <w:tc>
          <w:tcPr>
            <w:tcW w:w="33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Financial metrics: Non-GAAP</w:t>
            </w:r>
          </w:p>
        </w:tc>
      </w:tr>
      <w:tr>
        <w:trPr>
          <w:trHeight w:val="203"/>
        </w:trPr>
        <w:tc>
          <w:tcPr>
            <w:tcW w:w="1780" w:type="dxa"/>
            <w:vAlign w:val="bottom"/>
            <w:tcBorders>
              <w:left w:val="single" w:sz="8" w:color="auto"/>
            </w:tcBorders>
            <w:gridSpan w:val="2"/>
            <w:shd w:val="clear" w:color="auto" w:fill="D9D9D9"/>
          </w:tcPr>
          <w:p>
            <w:pPr>
              <w:ind w:left="100"/>
              <w:spacing w:after="0" w:line="202" w:lineRule="exact"/>
              <w:rPr>
                <w:sz w:val="20"/>
                <w:szCs w:val="20"/>
                <w:color w:val="auto"/>
              </w:rPr>
            </w:pPr>
            <w:r>
              <w:rPr>
                <w:rFonts w:ascii="Arial" w:cs="Arial" w:eastAsia="Arial" w:hAnsi="Arial"/>
                <w:sz w:val="18"/>
                <w:szCs w:val="18"/>
                <w:i w:val="1"/>
                <w:iCs w:val="1"/>
                <w:color w:val="auto"/>
                <w:w w:val="99"/>
              </w:rPr>
              <w:t>Stock Units (PRSUs)</w:t>
            </w:r>
          </w:p>
        </w:tc>
        <w:tc>
          <w:tcPr>
            <w:tcW w:w="1000" w:type="dxa"/>
            <w:vAlign w:val="bottom"/>
            <w:tcBorders>
              <w:right w:val="single" w:sz="8" w:color="auto"/>
            </w:tcBorders>
            <w:shd w:val="clear" w:color="auto" w:fill="D9D9D9"/>
          </w:tcPr>
          <w:p>
            <w:pPr>
              <w:spacing w:after="0"/>
              <w:rPr>
                <w:sz w:val="17"/>
                <w:szCs w:val="17"/>
                <w:color w:val="auto"/>
              </w:rPr>
            </w:pPr>
          </w:p>
        </w:tc>
        <w:tc>
          <w:tcPr>
            <w:tcW w:w="30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goals measured over a three-year</w:t>
            </w:r>
          </w:p>
        </w:tc>
        <w:tc>
          <w:tcPr>
            <w:tcW w:w="3340" w:type="dxa"/>
            <w:vAlign w:val="bottom"/>
            <w:tcBorders>
              <w:right w:val="single" w:sz="8" w:color="auto"/>
            </w:tcBorders>
          </w:tcPr>
          <w:p>
            <w:pPr>
              <w:ind w:left="420"/>
              <w:spacing w:after="0" w:line="202" w:lineRule="exact"/>
              <w:rPr>
                <w:sz w:val="20"/>
                <w:szCs w:val="20"/>
                <w:color w:val="auto"/>
              </w:rPr>
            </w:pPr>
            <w:r>
              <w:rPr>
                <w:rFonts w:ascii="Arial" w:cs="Arial" w:eastAsia="Arial" w:hAnsi="Arial"/>
                <w:sz w:val="18"/>
                <w:szCs w:val="18"/>
                <w:color w:val="auto"/>
              </w:rPr>
              <w:t>diluted EPS and relative TSR</w:t>
            </w:r>
          </w:p>
        </w:tc>
      </w:tr>
      <w:tr>
        <w:trPr>
          <w:trHeight w:val="203"/>
        </w:trPr>
        <w:tc>
          <w:tcPr>
            <w:tcW w:w="1720" w:type="dxa"/>
            <w:vAlign w:val="bottom"/>
            <w:tcBorders>
              <w:left w:val="single" w:sz="8" w:color="auto"/>
              <w:right w:val="single" w:sz="8" w:color="D9D9D9"/>
            </w:tcBorders>
            <w:shd w:val="clear" w:color="auto" w:fill="D9D9D9"/>
          </w:tcPr>
          <w:p>
            <w:pPr>
              <w:spacing w:after="0"/>
              <w:rPr>
                <w:sz w:val="17"/>
                <w:szCs w:val="17"/>
                <w:color w:val="auto"/>
              </w:rPr>
            </w:pPr>
          </w:p>
        </w:tc>
        <w:tc>
          <w:tcPr>
            <w:tcW w:w="60" w:type="dxa"/>
            <w:vAlign w:val="bottom"/>
            <w:shd w:val="clear" w:color="auto" w:fill="D9D9D9"/>
          </w:tcPr>
          <w:p>
            <w:pPr>
              <w:spacing w:after="0"/>
              <w:rPr>
                <w:sz w:val="17"/>
                <w:szCs w:val="17"/>
                <w:color w:val="auto"/>
              </w:rPr>
            </w:pPr>
          </w:p>
        </w:tc>
        <w:tc>
          <w:tcPr>
            <w:tcW w:w="1000" w:type="dxa"/>
            <w:vAlign w:val="bottom"/>
            <w:tcBorders>
              <w:right w:val="single" w:sz="8" w:color="auto"/>
            </w:tcBorders>
            <w:shd w:val="clear" w:color="auto" w:fill="D9D9D9"/>
          </w:tcPr>
          <w:p>
            <w:pPr>
              <w:spacing w:after="0"/>
              <w:rPr>
                <w:sz w:val="17"/>
                <w:szCs w:val="17"/>
                <w:color w:val="auto"/>
              </w:rPr>
            </w:pPr>
          </w:p>
        </w:tc>
        <w:tc>
          <w:tcPr>
            <w:tcW w:w="306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performance period</w:t>
            </w:r>
          </w:p>
        </w:tc>
        <w:tc>
          <w:tcPr>
            <w:tcW w:w="3340" w:type="dxa"/>
            <w:vAlign w:val="bottom"/>
            <w:tcBorders>
              <w:right w:val="single" w:sz="8" w:color="auto"/>
            </w:tcBorders>
          </w:tcPr>
          <w:p>
            <w:pPr>
              <w:ind w:left="420"/>
              <w:spacing w:after="0" w:line="202" w:lineRule="exact"/>
              <w:rPr>
                <w:sz w:val="20"/>
                <w:szCs w:val="20"/>
                <w:color w:val="auto"/>
              </w:rPr>
            </w:pPr>
            <w:r>
              <w:rPr>
                <w:rFonts w:ascii="Arial" w:cs="Arial" w:eastAsia="Arial" w:hAnsi="Arial"/>
                <w:sz w:val="18"/>
                <w:szCs w:val="18"/>
                <w:color w:val="auto"/>
              </w:rPr>
              <w:t> </w:t>
            </w:r>
          </w:p>
        </w:tc>
      </w:tr>
      <w:tr>
        <w:trPr>
          <w:trHeight w:val="203"/>
        </w:trPr>
        <w:tc>
          <w:tcPr>
            <w:tcW w:w="1720" w:type="dxa"/>
            <w:vAlign w:val="bottom"/>
            <w:tcBorders>
              <w:left w:val="single" w:sz="8" w:color="auto"/>
              <w:right w:val="single" w:sz="8" w:color="D9D9D9"/>
            </w:tcBorders>
            <w:shd w:val="clear" w:color="auto" w:fill="D9D9D9"/>
          </w:tcPr>
          <w:p>
            <w:pPr>
              <w:spacing w:after="0"/>
              <w:rPr>
                <w:sz w:val="17"/>
                <w:szCs w:val="17"/>
                <w:color w:val="auto"/>
              </w:rPr>
            </w:pPr>
          </w:p>
        </w:tc>
        <w:tc>
          <w:tcPr>
            <w:tcW w:w="60" w:type="dxa"/>
            <w:vAlign w:val="bottom"/>
            <w:shd w:val="clear" w:color="auto" w:fill="D9D9D9"/>
          </w:tcPr>
          <w:p>
            <w:pPr>
              <w:spacing w:after="0"/>
              <w:rPr>
                <w:sz w:val="17"/>
                <w:szCs w:val="17"/>
                <w:color w:val="auto"/>
              </w:rPr>
            </w:pPr>
          </w:p>
        </w:tc>
        <w:tc>
          <w:tcPr>
            <w:tcW w:w="1000" w:type="dxa"/>
            <w:vAlign w:val="bottom"/>
            <w:tcBorders>
              <w:right w:val="single" w:sz="8" w:color="auto"/>
            </w:tcBorders>
            <w:shd w:val="clear" w:color="auto" w:fill="D9D9D9"/>
          </w:tcPr>
          <w:p>
            <w:pPr>
              <w:spacing w:after="0"/>
              <w:rPr>
                <w:sz w:val="17"/>
                <w:szCs w:val="17"/>
                <w:color w:val="auto"/>
              </w:rPr>
            </w:pPr>
          </w:p>
        </w:tc>
        <w:tc>
          <w:tcPr>
            <w:tcW w:w="3060" w:type="dxa"/>
            <w:vAlign w:val="bottom"/>
            <w:tcBorders>
              <w:right w:val="single" w:sz="8" w:color="auto"/>
            </w:tcBorders>
          </w:tcPr>
          <w:p>
            <w:pPr>
              <w:spacing w:after="0"/>
              <w:rPr>
                <w:sz w:val="17"/>
                <w:szCs w:val="17"/>
                <w:color w:val="auto"/>
              </w:rPr>
            </w:pPr>
          </w:p>
        </w:tc>
        <w:tc>
          <w:tcPr>
            <w:tcW w:w="3340" w:type="dxa"/>
            <w:vAlign w:val="bottom"/>
            <w:tcBorders>
              <w:right w:val="single" w:sz="8" w:color="auto"/>
            </w:tcBorders>
          </w:tcPr>
          <w:p>
            <w:pPr>
              <w:ind w:left="420"/>
              <w:spacing w:after="0" w:line="202" w:lineRule="exact"/>
              <w:rPr>
                <w:sz w:val="20"/>
                <w:szCs w:val="20"/>
                <w:color w:val="auto"/>
              </w:rPr>
            </w:pPr>
            <w:r>
              <w:rPr>
                <w:rFonts w:ascii="Arial" w:cs="Arial" w:eastAsia="Arial" w:hAnsi="Arial"/>
                <w:sz w:val="18"/>
                <w:szCs w:val="18"/>
                <w:color w:val="auto"/>
              </w:rPr>
              <w:t>Payouts: 0% to 200% of a target</w:t>
            </w:r>
          </w:p>
        </w:tc>
      </w:tr>
      <w:tr>
        <w:trPr>
          <w:trHeight w:val="203"/>
        </w:trPr>
        <w:tc>
          <w:tcPr>
            <w:tcW w:w="1720" w:type="dxa"/>
            <w:vAlign w:val="bottom"/>
            <w:tcBorders>
              <w:left w:val="single" w:sz="8" w:color="auto"/>
              <w:right w:val="single" w:sz="8" w:color="D9D9D9"/>
            </w:tcBorders>
            <w:shd w:val="clear" w:color="auto" w:fill="D9D9D9"/>
          </w:tcPr>
          <w:p>
            <w:pPr>
              <w:spacing w:after="0"/>
              <w:rPr>
                <w:sz w:val="17"/>
                <w:szCs w:val="17"/>
                <w:color w:val="auto"/>
              </w:rPr>
            </w:pPr>
          </w:p>
        </w:tc>
        <w:tc>
          <w:tcPr>
            <w:tcW w:w="60" w:type="dxa"/>
            <w:vAlign w:val="bottom"/>
            <w:shd w:val="clear" w:color="auto" w:fill="D9D9D9"/>
          </w:tcPr>
          <w:p>
            <w:pPr>
              <w:spacing w:after="0"/>
              <w:rPr>
                <w:sz w:val="17"/>
                <w:szCs w:val="17"/>
                <w:color w:val="auto"/>
              </w:rPr>
            </w:pPr>
          </w:p>
        </w:tc>
        <w:tc>
          <w:tcPr>
            <w:tcW w:w="1000" w:type="dxa"/>
            <w:vAlign w:val="bottom"/>
            <w:tcBorders>
              <w:right w:val="single" w:sz="8" w:color="auto"/>
            </w:tcBorders>
            <w:shd w:val="clear" w:color="auto" w:fill="D9D9D9"/>
          </w:tcPr>
          <w:p>
            <w:pPr>
              <w:spacing w:after="0"/>
              <w:rPr>
                <w:sz w:val="17"/>
                <w:szCs w:val="17"/>
                <w:color w:val="auto"/>
              </w:rPr>
            </w:pPr>
          </w:p>
        </w:tc>
        <w:tc>
          <w:tcPr>
            <w:tcW w:w="3060" w:type="dxa"/>
            <w:vAlign w:val="bottom"/>
            <w:tcBorders>
              <w:right w:val="single" w:sz="8" w:color="auto"/>
            </w:tcBorders>
          </w:tcPr>
          <w:p>
            <w:pPr>
              <w:spacing w:after="0"/>
              <w:rPr>
                <w:sz w:val="17"/>
                <w:szCs w:val="17"/>
                <w:color w:val="auto"/>
              </w:rPr>
            </w:pPr>
          </w:p>
        </w:tc>
        <w:tc>
          <w:tcPr>
            <w:tcW w:w="3340" w:type="dxa"/>
            <w:vAlign w:val="bottom"/>
            <w:tcBorders>
              <w:right w:val="single" w:sz="8" w:color="auto"/>
            </w:tcBorders>
          </w:tcPr>
          <w:p>
            <w:pPr>
              <w:ind w:left="420"/>
              <w:spacing w:after="0" w:line="202" w:lineRule="exact"/>
              <w:rPr>
                <w:sz w:val="20"/>
                <w:szCs w:val="20"/>
                <w:color w:val="auto"/>
              </w:rPr>
            </w:pPr>
            <w:r>
              <w:rPr>
                <w:rFonts w:ascii="Arial" w:cs="Arial" w:eastAsia="Arial" w:hAnsi="Arial"/>
                <w:sz w:val="18"/>
                <w:szCs w:val="18"/>
                <w:color w:val="auto"/>
              </w:rPr>
              <w:t>based on results against pre-</w:t>
            </w:r>
          </w:p>
        </w:tc>
      </w:tr>
      <w:tr>
        <w:trPr>
          <w:trHeight w:val="203"/>
        </w:trPr>
        <w:tc>
          <w:tcPr>
            <w:tcW w:w="1720" w:type="dxa"/>
            <w:vAlign w:val="bottom"/>
            <w:tcBorders>
              <w:left w:val="single" w:sz="8" w:color="auto"/>
              <w:right w:val="single" w:sz="8" w:color="D9D9D9"/>
            </w:tcBorders>
            <w:shd w:val="clear" w:color="auto" w:fill="D9D9D9"/>
          </w:tcPr>
          <w:p>
            <w:pPr>
              <w:spacing w:after="0"/>
              <w:rPr>
                <w:sz w:val="17"/>
                <w:szCs w:val="17"/>
                <w:color w:val="auto"/>
              </w:rPr>
            </w:pPr>
          </w:p>
        </w:tc>
        <w:tc>
          <w:tcPr>
            <w:tcW w:w="60" w:type="dxa"/>
            <w:vAlign w:val="bottom"/>
            <w:shd w:val="clear" w:color="auto" w:fill="D9D9D9"/>
          </w:tcPr>
          <w:p>
            <w:pPr>
              <w:spacing w:after="0"/>
              <w:rPr>
                <w:sz w:val="17"/>
                <w:szCs w:val="17"/>
                <w:color w:val="auto"/>
              </w:rPr>
            </w:pPr>
          </w:p>
        </w:tc>
        <w:tc>
          <w:tcPr>
            <w:tcW w:w="1000" w:type="dxa"/>
            <w:vAlign w:val="bottom"/>
            <w:tcBorders>
              <w:right w:val="single" w:sz="8" w:color="auto"/>
            </w:tcBorders>
            <w:shd w:val="clear" w:color="auto" w:fill="D9D9D9"/>
          </w:tcPr>
          <w:p>
            <w:pPr>
              <w:spacing w:after="0"/>
              <w:rPr>
                <w:sz w:val="17"/>
                <w:szCs w:val="17"/>
                <w:color w:val="auto"/>
              </w:rPr>
            </w:pPr>
          </w:p>
        </w:tc>
        <w:tc>
          <w:tcPr>
            <w:tcW w:w="3060" w:type="dxa"/>
            <w:vAlign w:val="bottom"/>
            <w:tcBorders>
              <w:right w:val="single" w:sz="8" w:color="auto"/>
            </w:tcBorders>
          </w:tcPr>
          <w:p>
            <w:pPr>
              <w:spacing w:after="0"/>
              <w:rPr>
                <w:sz w:val="17"/>
                <w:szCs w:val="17"/>
                <w:color w:val="auto"/>
              </w:rPr>
            </w:pPr>
          </w:p>
        </w:tc>
        <w:tc>
          <w:tcPr>
            <w:tcW w:w="3340" w:type="dxa"/>
            <w:vAlign w:val="bottom"/>
            <w:tcBorders>
              <w:right w:val="single" w:sz="8" w:color="auto"/>
            </w:tcBorders>
          </w:tcPr>
          <w:p>
            <w:pPr>
              <w:ind w:left="420"/>
              <w:spacing w:after="0" w:line="202" w:lineRule="exact"/>
              <w:rPr>
                <w:sz w:val="20"/>
                <w:szCs w:val="20"/>
                <w:color w:val="auto"/>
              </w:rPr>
            </w:pPr>
            <w:r>
              <w:rPr>
                <w:rFonts w:ascii="Arial" w:cs="Arial" w:eastAsia="Arial" w:hAnsi="Arial"/>
                <w:sz w:val="18"/>
                <w:szCs w:val="18"/>
                <w:color w:val="auto"/>
              </w:rPr>
              <w:t>determined financial goals and</w:t>
            </w:r>
          </w:p>
        </w:tc>
      </w:tr>
      <w:tr>
        <w:trPr>
          <w:trHeight w:val="239"/>
        </w:trPr>
        <w:tc>
          <w:tcPr>
            <w:tcW w:w="1720" w:type="dxa"/>
            <w:vAlign w:val="bottom"/>
            <w:tcBorders>
              <w:left w:val="single" w:sz="8" w:color="auto"/>
              <w:right w:val="single" w:sz="8" w:color="D9D9D9"/>
            </w:tcBorders>
            <w:shd w:val="clear" w:color="auto" w:fill="D9D9D9"/>
          </w:tcPr>
          <w:p>
            <w:pPr>
              <w:spacing w:after="0"/>
              <w:rPr>
                <w:sz w:val="20"/>
                <w:szCs w:val="20"/>
                <w:color w:val="auto"/>
              </w:rPr>
            </w:pPr>
          </w:p>
        </w:tc>
        <w:tc>
          <w:tcPr>
            <w:tcW w:w="60" w:type="dxa"/>
            <w:vAlign w:val="bottom"/>
            <w:shd w:val="clear" w:color="auto" w:fill="D9D9D9"/>
          </w:tcPr>
          <w:p>
            <w:pPr>
              <w:spacing w:after="0"/>
              <w:rPr>
                <w:sz w:val="20"/>
                <w:szCs w:val="20"/>
                <w:color w:val="auto"/>
              </w:rPr>
            </w:pPr>
          </w:p>
        </w:tc>
        <w:tc>
          <w:tcPr>
            <w:tcW w:w="1000" w:type="dxa"/>
            <w:vAlign w:val="bottom"/>
            <w:tcBorders>
              <w:right w:val="single" w:sz="8" w:color="auto"/>
            </w:tcBorders>
            <w:shd w:val="clear" w:color="auto" w:fill="D9D9D9"/>
          </w:tcPr>
          <w:p>
            <w:pPr>
              <w:spacing w:after="0"/>
              <w:rPr>
                <w:sz w:val="20"/>
                <w:szCs w:val="20"/>
                <w:color w:val="auto"/>
              </w:rPr>
            </w:pPr>
          </w:p>
        </w:tc>
        <w:tc>
          <w:tcPr>
            <w:tcW w:w="3060" w:type="dxa"/>
            <w:vAlign w:val="bottom"/>
            <w:tcBorders>
              <w:right w:val="single" w:sz="8" w:color="auto"/>
            </w:tcBorders>
          </w:tcPr>
          <w:p>
            <w:pPr>
              <w:spacing w:after="0"/>
              <w:rPr>
                <w:sz w:val="20"/>
                <w:szCs w:val="20"/>
                <w:color w:val="auto"/>
              </w:rPr>
            </w:pPr>
          </w:p>
        </w:tc>
        <w:tc>
          <w:tcPr>
            <w:tcW w:w="3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relative TSR performance</w:t>
            </w:r>
          </w:p>
        </w:tc>
      </w:tr>
      <w:tr>
        <w:trPr>
          <w:trHeight w:val="387"/>
        </w:trPr>
        <w:tc>
          <w:tcPr>
            <w:tcW w:w="1720" w:type="dxa"/>
            <w:vAlign w:val="bottom"/>
            <w:tcBorders>
              <w:left w:val="single" w:sz="8" w:color="auto"/>
              <w:bottom w:val="single" w:sz="8" w:color="D9D9D9"/>
              <w:right w:val="single" w:sz="8" w:color="D9D9D9"/>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1000" w:type="dxa"/>
            <w:vAlign w:val="bottom"/>
            <w:tcBorders>
              <w:bottom w:val="single" w:sz="8" w:color="D9D9D9"/>
              <w:right w:val="single" w:sz="8" w:color="auto"/>
            </w:tcBorders>
            <w:shd w:val="clear" w:color="auto" w:fill="D9D9D9"/>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33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   Paid in Itron shares once earned</w:t>
            </w:r>
          </w:p>
        </w:tc>
      </w:tr>
      <w:tr>
        <w:trPr>
          <w:trHeight w:val="245"/>
        </w:trPr>
        <w:tc>
          <w:tcPr>
            <w:tcW w:w="2780" w:type="dxa"/>
            <w:vAlign w:val="bottom"/>
            <w:tcBorders>
              <w:top w:val="single" w:sz="8" w:color="auto"/>
              <w:left w:val="single" w:sz="8" w:color="auto"/>
              <w:right w:val="single" w:sz="8" w:color="auto"/>
            </w:tcBorders>
            <w:gridSpan w:val="3"/>
            <w:shd w:val="clear" w:color="auto" w:fill="D9D9D9"/>
          </w:tcPr>
          <w:p>
            <w:pPr>
              <w:ind w:left="100"/>
              <w:spacing w:after="0"/>
              <w:rPr>
                <w:sz w:val="20"/>
                <w:szCs w:val="20"/>
                <w:color w:val="auto"/>
              </w:rPr>
            </w:pPr>
            <w:r>
              <w:rPr>
                <w:rFonts w:ascii="Arial" w:cs="Arial" w:eastAsia="Arial" w:hAnsi="Arial"/>
                <w:sz w:val="18"/>
                <w:szCs w:val="18"/>
                <w:i w:val="1"/>
                <w:iCs w:val="1"/>
                <w:color w:val="auto"/>
              </w:rPr>
              <w:t>Time-Vested Restricted Stock</w:t>
            </w:r>
          </w:p>
        </w:tc>
        <w:tc>
          <w:tcPr>
            <w:tcW w:w="30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Supports retention</w:t>
            </w:r>
          </w:p>
        </w:tc>
        <w:tc>
          <w:tcPr>
            <w:tcW w:w="33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Vesting: 1/3 per year on the</w:t>
            </w:r>
          </w:p>
        </w:tc>
      </w:tr>
      <w:tr>
        <w:trPr>
          <w:trHeight w:val="239"/>
        </w:trPr>
        <w:tc>
          <w:tcPr>
            <w:tcW w:w="1780" w:type="dxa"/>
            <w:vAlign w:val="bottom"/>
            <w:tcBorders>
              <w:left w:val="single" w:sz="8" w:color="auto"/>
            </w:tcBorders>
            <w:gridSpan w:val="2"/>
            <w:shd w:val="clear" w:color="auto" w:fill="D9D9D9"/>
          </w:tcPr>
          <w:p>
            <w:pPr>
              <w:ind w:left="100"/>
              <w:spacing w:after="0"/>
              <w:rPr>
                <w:sz w:val="20"/>
                <w:szCs w:val="20"/>
                <w:color w:val="auto"/>
              </w:rPr>
            </w:pPr>
            <w:r>
              <w:rPr>
                <w:rFonts w:ascii="Arial" w:cs="Arial" w:eastAsia="Arial" w:hAnsi="Arial"/>
                <w:sz w:val="18"/>
                <w:szCs w:val="18"/>
                <w:i w:val="1"/>
                <w:iCs w:val="1"/>
                <w:color w:val="auto"/>
              </w:rPr>
              <w:t>Units (RSUs)</w:t>
            </w:r>
          </w:p>
        </w:tc>
        <w:tc>
          <w:tcPr>
            <w:tcW w:w="1000" w:type="dxa"/>
            <w:vAlign w:val="bottom"/>
            <w:tcBorders>
              <w:right w:val="single" w:sz="8" w:color="auto"/>
            </w:tcBorders>
            <w:shd w:val="clear" w:color="auto" w:fill="D9D9D9"/>
          </w:tcPr>
          <w:p>
            <w:pPr>
              <w:spacing w:after="0"/>
              <w:rPr>
                <w:sz w:val="20"/>
                <w:szCs w:val="20"/>
                <w:color w:val="auto"/>
              </w:rPr>
            </w:pPr>
          </w:p>
        </w:tc>
        <w:tc>
          <w:tcPr>
            <w:tcW w:w="3060" w:type="dxa"/>
            <w:vAlign w:val="bottom"/>
            <w:tcBorders>
              <w:right w:val="single" w:sz="8" w:color="auto"/>
            </w:tcBorders>
          </w:tcPr>
          <w:p>
            <w:pPr>
              <w:spacing w:after="0"/>
              <w:rPr>
                <w:sz w:val="20"/>
                <w:szCs w:val="20"/>
                <w:color w:val="auto"/>
              </w:rPr>
            </w:pPr>
          </w:p>
        </w:tc>
        <w:tc>
          <w:tcPr>
            <w:tcW w:w="334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anniversary of the grant date</w:t>
            </w:r>
          </w:p>
        </w:tc>
      </w:tr>
      <w:tr>
        <w:trPr>
          <w:trHeight w:val="342"/>
        </w:trPr>
        <w:tc>
          <w:tcPr>
            <w:tcW w:w="1720" w:type="dxa"/>
            <w:vAlign w:val="bottom"/>
            <w:tcBorders>
              <w:left w:val="single" w:sz="8" w:color="auto"/>
              <w:bottom w:val="single" w:sz="8" w:color="auto"/>
              <w:right w:val="single" w:sz="8" w:color="D9D9D9"/>
            </w:tcBorders>
            <w:shd w:val="clear" w:color="auto" w:fill="D9D9D9"/>
          </w:tcPr>
          <w:p>
            <w:pPr>
              <w:spacing w:after="0"/>
              <w:rPr>
                <w:sz w:val="24"/>
                <w:szCs w:val="24"/>
                <w:color w:val="auto"/>
              </w:rPr>
            </w:pPr>
          </w:p>
        </w:tc>
        <w:tc>
          <w:tcPr>
            <w:tcW w:w="60" w:type="dxa"/>
            <w:vAlign w:val="bottom"/>
            <w:tcBorders>
              <w:bottom w:val="single" w:sz="8" w:color="auto"/>
            </w:tcBorders>
            <w:shd w:val="clear" w:color="auto" w:fill="D9D9D9"/>
          </w:tcPr>
          <w:p>
            <w:pPr>
              <w:spacing w:after="0"/>
              <w:rPr>
                <w:sz w:val="24"/>
                <w:szCs w:val="24"/>
                <w:color w:val="auto"/>
              </w:rPr>
            </w:pPr>
          </w:p>
        </w:tc>
        <w:tc>
          <w:tcPr>
            <w:tcW w:w="1000" w:type="dxa"/>
            <w:vAlign w:val="bottom"/>
            <w:tcBorders>
              <w:bottom w:val="single" w:sz="8" w:color="auto"/>
              <w:right w:val="single" w:sz="8" w:color="auto"/>
            </w:tcBorders>
            <w:shd w:val="clear" w:color="auto" w:fill="D9D9D9"/>
          </w:tcPr>
          <w:p>
            <w:pPr>
              <w:spacing w:after="0"/>
              <w:rPr>
                <w:sz w:val="24"/>
                <w:szCs w:val="24"/>
                <w:color w:val="auto"/>
              </w:rPr>
            </w:pPr>
          </w:p>
        </w:tc>
        <w:tc>
          <w:tcPr>
            <w:tcW w:w="3060" w:type="dxa"/>
            <w:vAlign w:val="bottom"/>
            <w:tcBorders>
              <w:bottom w:val="single" w:sz="8" w:color="auto"/>
              <w:right w:val="single" w:sz="8" w:color="auto"/>
            </w:tcBorders>
          </w:tcPr>
          <w:p>
            <w:pPr>
              <w:spacing w:after="0"/>
              <w:rPr>
                <w:sz w:val="24"/>
                <w:szCs w:val="24"/>
                <w:color w:val="auto"/>
              </w:rPr>
            </w:pPr>
          </w:p>
        </w:tc>
        <w:tc>
          <w:tcPr>
            <w:tcW w:w="33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Paid in Itron shares at vesting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137160</wp:posOffset>
            </wp:positionV>
            <wp:extent cx="8229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08" w:lineRule="exact"/>
        <w:rPr>
          <w:sz w:val="20"/>
          <w:szCs w:val="20"/>
          <w:color w:val="auto"/>
        </w:rPr>
      </w:pPr>
    </w:p>
    <w:p>
      <w:pPr>
        <w:ind w:left="1260" w:hanging="346"/>
        <w:spacing w:after="0"/>
        <w:tabs>
          <w:tab w:leader="none" w:pos="12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Plan design allows for 200%; for fiscal year 2022, the maximum payout was set at 150% of target to ensure affordability.</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Pay Mix</w:t>
      </w:r>
    </w:p>
    <w:p>
      <w:pPr>
        <w:spacing w:after="0" w:line="185" w:lineRule="exact"/>
        <w:rPr>
          <w:sz w:val="20"/>
          <w:szCs w:val="20"/>
          <w:color w:val="auto"/>
        </w:rPr>
      </w:pPr>
    </w:p>
    <w:p>
      <w:pPr>
        <w:ind w:left="920" w:right="1160"/>
        <w:spacing w:after="0" w:line="247" w:lineRule="auto"/>
        <w:rPr>
          <w:sz w:val="20"/>
          <w:szCs w:val="20"/>
          <w:color w:val="auto"/>
        </w:rPr>
      </w:pPr>
      <w:r>
        <w:rPr>
          <w:rFonts w:ascii="Arial" w:cs="Arial" w:eastAsia="Arial" w:hAnsi="Arial"/>
          <w:sz w:val="18"/>
          <w:szCs w:val="18"/>
          <w:color w:val="auto"/>
        </w:rPr>
        <w:t>The charts below show the target annual TDC of our CEO, Mr. Deitrich, and our other NEOs for fiscal year 2022. These charts illustrate that a majority of NEO TDC is variable (86% for our CEO and an average of 70% for our other NEOs). These charts do not include any one-time equity grants or awards outside of target annual TDC,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199390</wp:posOffset>
            </wp:positionV>
            <wp:extent cx="5717540" cy="19888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1754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154940</wp:posOffset>
            </wp:positionV>
            <wp:extent cx="8229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3"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Note: Figures may not add up to 100% due to rounding.</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Our Decision-Making Process</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The Role of the Compensation Committee</w:t>
      </w:r>
    </w:p>
    <w:p>
      <w:pPr>
        <w:spacing w:after="0" w:line="171" w:lineRule="exact"/>
        <w:rPr>
          <w:sz w:val="20"/>
          <w:szCs w:val="20"/>
          <w:color w:val="auto"/>
        </w:rPr>
      </w:pPr>
    </w:p>
    <w:p>
      <w:pPr>
        <w:ind w:left="920" w:right="1040"/>
        <w:spacing w:after="0" w:line="242" w:lineRule="auto"/>
        <w:rPr>
          <w:sz w:val="20"/>
          <w:szCs w:val="20"/>
          <w:color w:val="auto"/>
        </w:rPr>
      </w:pPr>
      <w:r>
        <w:rPr>
          <w:rFonts w:ascii="Arial" w:cs="Arial" w:eastAsia="Arial" w:hAnsi="Arial"/>
          <w:sz w:val="18"/>
          <w:szCs w:val="18"/>
          <w:color w:val="auto"/>
        </w:rPr>
        <w:t xml:space="preserve">The Compensation Committee oversees the executive compensation program for our NEOs. The Committee is comprised of independent, non-employee members of the Board. The Committee works very closely with its independent consultant and management to examine the effectiveness of the Company’s executive compensation program throughout the year. Details of the Committee’s authority and responsibilities are specified in the Compensation Committee’s charter, which may be accessed at our website,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“Investors,” and then “Sustainability and Governance.”</w:t>
      </w:r>
    </w:p>
    <w:p>
      <w:pPr>
        <w:spacing w:after="0" w:line="138" w:lineRule="exact"/>
        <w:rPr>
          <w:sz w:val="20"/>
          <w:szCs w:val="20"/>
          <w:color w:val="auto"/>
        </w:rPr>
      </w:pPr>
    </w:p>
    <w:p>
      <w:pPr>
        <w:ind w:left="920" w:right="960"/>
        <w:spacing w:after="0" w:line="253" w:lineRule="auto"/>
        <w:rPr>
          <w:sz w:val="20"/>
          <w:szCs w:val="20"/>
          <w:color w:val="auto"/>
        </w:rPr>
      </w:pPr>
      <w:r>
        <w:rPr>
          <w:rFonts w:ascii="Arial" w:cs="Arial" w:eastAsia="Arial" w:hAnsi="Arial"/>
          <w:sz w:val="18"/>
          <w:szCs w:val="18"/>
          <w:color w:val="auto"/>
        </w:rPr>
        <w:t>The Committee makes all final compensation and equity award decisions regarding our NEOs, except for the CEO, whose compensation is determined by the independent members of the full Board, based upon recommendations of the Committee.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-29-</w:t>
            </w:r>
          </w:p>
        </w:tc>
      </w:tr>
      <w:tr>
        <w:trPr>
          <w:trHeight w:val="233"/>
        </w:trPr>
        <w:tc>
          <w:tcPr>
            <w:tcW w:w="3160" w:type="dxa"/>
            <w:vAlign w:val="bottom"/>
            <w:tcBorders>
              <w:bottom w:val="single" w:sz="8" w:color="auto"/>
            </w:tcBorders>
          </w:tcPr>
          <w:p>
            <w:pPr>
              <w:spacing w:after="0"/>
              <w:rPr>
                <w:sz w:val="20"/>
                <w:szCs w:val="20"/>
                <w:color w:val="auto"/>
              </w:rPr>
            </w:pPr>
          </w:p>
        </w:tc>
        <w:tc>
          <w:tcPr>
            <w:tcW w:w="786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263" w:right="439" w:bottom="1440" w:gutter="0" w:footer="0" w:header="0"/>
        </w:sectPr>
      </w:pPr>
    </w:p>
    <w:bookmarkStart w:id="33" w:name="page34"/>
    <w:bookmarkEnd w:id="33"/>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The Role of Management</w:t>
      </w:r>
    </w:p>
    <w:p>
      <w:pPr>
        <w:spacing w:after="0" w:line="185" w:lineRule="exact"/>
        <w:rPr>
          <w:sz w:val="20"/>
          <w:szCs w:val="20"/>
          <w:color w:val="auto"/>
        </w:rPr>
      </w:pPr>
    </w:p>
    <w:p>
      <w:pPr>
        <w:ind w:left="920" w:right="1380"/>
        <w:spacing w:after="0" w:line="275" w:lineRule="auto"/>
        <w:rPr>
          <w:sz w:val="20"/>
          <w:szCs w:val="20"/>
          <w:color w:val="auto"/>
        </w:rPr>
      </w:pPr>
      <w:r>
        <w:rPr>
          <w:rFonts w:ascii="Arial" w:cs="Arial" w:eastAsia="Arial" w:hAnsi="Arial"/>
          <w:sz w:val="17"/>
          <w:szCs w:val="17"/>
          <w:color w:val="auto"/>
        </w:rPr>
        <w:t>Members of our management team attend regular Compensation Committee meetings where executive compensation, Company and individual performance, and competitive compensation levels and practices are discussed and evaluated. Only the Committee members can vote on decisions regarding NEO compensation.</w:t>
      </w:r>
    </w:p>
    <w:p>
      <w:pPr>
        <w:spacing w:after="0" w:line="111" w:lineRule="exact"/>
        <w:rPr>
          <w:sz w:val="20"/>
          <w:szCs w:val="20"/>
          <w:color w:val="auto"/>
        </w:rPr>
      </w:pPr>
    </w:p>
    <w:p>
      <w:pPr>
        <w:ind w:left="920" w:right="1000"/>
        <w:spacing w:after="0" w:line="244" w:lineRule="auto"/>
        <w:rPr>
          <w:sz w:val="20"/>
          <w:szCs w:val="20"/>
          <w:color w:val="auto"/>
        </w:rPr>
      </w:pPr>
      <w:r>
        <w:rPr>
          <w:rFonts w:ascii="Arial" w:cs="Arial" w:eastAsia="Arial" w:hAnsi="Arial"/>
          <w:sz w:val="18"/>
          <w:szCs w:val="18"/>
          <w:color w:val="auto"/>
        </w:rPr>
        <w:t>The CEO reviews his recommendations pertaining to the compensation of other non-NEO executive officers with the Committee providing management input, transparency, and oversight. Approvals of non-NEO executive officer compensation are made by the Committee. The CEO does not participate in the deliberations of the Committee regarding his own compensation. Independent members of the Board make all final determinations regarding CEO compensation.</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The Role of the Independent Consultant</w:t>
      </w:r>
    </w:p>
    <w:p>
      <w:pPr>
        <w:spacing w:after="0" w:line="171" w:lineRule="exact"/>
        <w:rPr>
          <w:sz w:val="20"/>
          <w:szCs w:val="20"/>
          <w:color w:val="auto"/>
        </w:rPr>
      </w:pPr>
    </w:p>
    <w:p>
      <w:pPr>
        <w:ind w:left="920" w:right="1320"/>
        <w:spacing w:after="0" w:line="242" w:lineRule="auto"/>
        <w:rPr>
          <w:sz w:val="20"/>
          <w:szCs w:val="20"/>
          <w:color w:val="auto"/>
        </w:rPr>
      </w:pPr>
      <w:r>
        <w:rPr>
          <w:rFonts w:ascii="Arial" w:cs="Arial" w:eastAsia="Arial" w:hAnsi="Arial"/>
          <w:sz w:val="18"/>
          <w:szCs w:val="18"/>
          <w:color w:val="auto"/>
        </w:rPr>
        <w:t>The Committee engages an independent compensation consultant to provide expertise on competitive pay practices, program design, and an objective assessment of any inherent risks of any programs. Pursuant to authority granted to it under its charter, the Committee has hired F.W. Cook as its independent consultant. F.W. Cook reports directly to the Committee and does not provide any additional services to management. The Committee has conducted an independence assessment of F.W. Cook in accordance with SEC rules and concluded that F.W. Cook is independent.</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The Role of Peer Companies</w:t>
      </w:r>
    </w:p>
    <w:p>
      <w:pPr>
        <w:spacing w:after="0" w:line="185" w:lineRule="exact"/>
        <w:rPr>
          <w:sz w:val="20"/>
          <w:szCs w:val="20"/>
          <w:color w:val="auto"/>
        </w:rPr>
      </w:pPr>
    </w:p>
    <w:p>
      <w:pPr>
        <w:ind w:left="920" w:right="1000"/>
        <w:spacing w:after="0" w:line="259" w:lineRule="auto"/>
        <w:rPr>
          <w:sz w:val="20"/>
          <w:szCs w:val="20"/>
          <w:color w:val="auto"/>
        </w:rPr>
      </w:pPr>
      <w:r>
        <w:rPr>
          <w:rFonts w:ascii="Arial" w:cs="Arial" w:eastAsia="Arial" w:hAnsi="Arial"/>
          <w:sz w:val="17"/>
          <w:szCs w:val="17"/>
          <w:color w:val="auto"/>
        </w:rPr>
        <w:t>For some of our direct competitors who are not publicly held, or are smaller business units within a conglomerate, there is limited compensation information available. As a result, our peer companies for purposes of benchmarking executive compensation (Peer Companies) generally consist of direct competitors for which public information is available or companies that compete for our talent, who are part of the same broad Standard &amp; Poor’s (S&amp;P) industry classifications of technology hardware and equipment or in software and services, and who are similar in size and scope of global operations as Itron. The Committee reviews the Peer Companies on an annual basis.</w:t>
      </w:r>
    </w:p>
    <w:p>
      <w:pPr>
        <w:spacing w:after="0" w:line="125" w:lineRule="exact"/>
        <w:rPr>
          <w:sz w:val="20"/>
          <w:szCs w:val="20"/>
          <w:color w:val="auto"/>
        </w:rPr>
      </w:pPr>
    </w:p>
    <w:p>
      <w:pPr>
        <w:ind w:left="920" w:right="1000"/>
        <w:spacing w:after="0" w:line="244" w:lineRule="auto"/>
        <w:rPr>
          <w:sz w:val="20"/>
          <w:szCs w:val="20"/>
          <w:color w:val="auto"/>
        </w:rPr>
      </w:pPr>
      <w:r>
        <w:rPr>
          <w:rFonts w:ascii="Arial" w:cs="Arial" w:eastAsia="Arial" w:hAnsi="Arial"/>
          <w:sz w:val="18"/>
          <w:szCs w:val="18"/>
          <w:color w:val="auto"/>
        </w:rPr>
        <w:t>For the purposes of setting 2022 compensation, the Committee conducted an in-depth assessment of potential comparators to evaluate the degree to which the current Peer Companies have kept pace with Itron’s growth and evolution. The Committee also took into consideration the broader marketplace to identify appropriate and relevant additions and removals from the current Peer Companies. As a result of this review, and with the support of F.W. Cook, the following changes were made to the Peer Companies: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00" w:type="dxa"/>
            <w:vAlign w:val="bottom"/>
          </w:tcPr>
          <w:p>
            <w:pPr>
              <w:spacing w:after="0"/>
              <w:rPr>
                <w:sz w:val="21"/>
                <w:szCs w:val="21"/>
                <w:color w:val="auto"/>
              </w:rPr>
            </w:pPr>
          </w:p>
        </w:tc>
        <w:tc>
          <w:tcPr>
            <w:tcW w:w="3720" w:type="dxa"/>
            <w:vAlign w:val="bottom"/>
            <w:gridSpan w:val="2"/>
          </w:tcPr>
          <w:p>
            <w:pPr>
              <w:ind w:left="40"/>
              <w:spacing w:after="0"/>
              <w:rPr>
                <w:sz w:val="20"/>
                <w:szCs w:val="20"/>
                <w:color w:val="auto"/>
              </w:rPr>
            </w:pPr>
            <w:r>
              <w:rPr>
                <w:rFonts w:ascii="Arial" w:cs="Arial" w:eastAsia="Arial" w:hAnsi="Arial"/>
                <w:sz w:val="18"/>
                <w:szCs w:val="18"/>
                <w:b w:val="1"/>
                <w:bCs w:val="1"/>
                <w:color w:val="auto"/>
              </w:rPr>
              <w:t>Additions</w:t>
            </w: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380" w:type="dxa"/>
            <w:vAlign w:val="bottom"/>
            <w:gridSpan w:val="3"/>
          </w:tcPr>
          <w:p>
            <w:pPr>
              <w:spacing w:after="0"/>
              <w:rPr>
                <w:sz w:val="20"/>
                <w:szCs w:val="20"/>
                <w:color w:val="auto"/>
              </w:rPr>
            </w:pPr>
            <w:r>
              <w:rPr>
                <w:rFonts w:ascii="Arial" w:cs="Arial" w:eastAsia="Arial" w:hAnsi="Arial"/>
                <w:sz w:val="18"/>
                <w:szCs w:val="18"/>
                <w:b w:val="1"/>
                <w:bCs w:val="1"/>
                <w:color w:val="auto"/>
              </w:rPr>
              <w:t>Removals</w:t>
            </w:r>
          </w:p>
        </w:tc>
      </w:tr>
      <w:tr>
        <w:trPr>
          <w:trHeight w:val="42"/>
        </w:trPr>
        <w:tc>
          <w:tcPr>
            <w:tcW w:w="10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100" w:type="dxa"/>
            <w:vAlign w:val="bottom"/>
            <w:tcBorders>
              <w:bottom w:val="single" w:sz="8" w:color="auto"/>
            </w:tcBorders>
          </w:tcPr>
          <w:p>
            <w:pPr>
              <w:spacing w:after="0"/>
              <w:rPr>
                <w:sz w:val="3"/>
                <w:szCs w:val="3"/>
                <w:color w:val="auto"/>
              </w:rPr>
            </w:pPr>
          </w:p>
        </w:tc>
        <w:tc>
          <w:tcPr>
            <w:tcW w:w="1000" w:type="dxa"/>
            <w:vAlign w:val="bottom"/>
          </w:tcPr>
          <w:p>
            <w:pPr>
              <w:spacing w:after="0"/>
              <w:rPr>
                <w:sz w:val="3"/>
                <w:szCs w:val="3"/>
                <w:color w:val="auto"/>
              </w:rPr>
            </w:pPr>
          </w:p>
        </w:tc>
      </w:tr>
      <w:tr>
        <w:trPr>
          <w:trHeight w:val="297"/>
        </w:trPr>
        <w:tc>
          <w:tcPr>
            <w:tcW w:w="1000" w:type="dxa"/>
            <w:vAlign w:val="bottom"/>
          </w:tcPr>
          <w:p>
            <w:pPr>
              <w:spacing w:after="0"/>
              <w:rPr>
                <w:sz w:val="24"/>
                <w:szCs w:val="24"/>
                <w:color w:val="auto"/>
              </w:rPr>
            </w:pPr>
          </w:p>
        </w:tc>
        <w:tc>
          <w:tcPr>
            <w:tcW w:w="3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400" w:type="dxa"/>
            <w:vAlign w:val="bottom"/>
          </w:tcPr>
          <w:p>
            <w:pPr>
              <w:ind w:left="140"/>
              <w:spacing w:after="0"/>
              <w:rPr>
                <w:sz w:val="20"/>
                <w:szCs w:val="20"/>
                <w:color w:val="auto"/>
              </w:rPr>
            </w:pPr>
            <w:r>
              <w:rPr>
                <w:rFonts w:ascii="Arial" w:cs="Arial" w:eastAsia="Arial" w:hAnsi="Arial"/>
                <w:sz w:val="18"/>
                <w:szCs w:val="18"/>
                <w:color w:val="auto"/>
              </w:rPr>
              <w:t>Bloom Energy Corporation</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gridSpan w:val="2"/>
          </w:tcPr>
          <w:p>
            <w:pPr>
              <w:ind w:left="140"/>
              <w:spacing w:after="0"/>
              <w:rPr>
                <w:sz w:val="20"/>
                <w:szCs w:val="20"/>
                <w:color w:val="auto"/>
              </w:rPr>
            </w:pPr>
            <w:r>
              <w:rPr>
                <w:rFonts w:ascii="Arial" w:cs="Arial" w:eastAsia="Arial" w:hAnsi="Arial"/>
                <w:sz w:val="18"/>
                <w:szCs w:val="18"/>
                <w:color w:val="auto"/>
              </w:rPr>
              <w:t>Diebold Nixdorf, Inc.</w:t>
            </w:r>
          </w:p>
        </w:tc>
      </w:tr>
      <w:tr>
        <w:trPr>
          <w:trHeight w:val="338"/>
        </w:trPr>
        <w:tc>
          <w:tcPr>
            <w:tcW w:w="1000" w:type="dxa"/>
            <w:vAlign w:val="bottom"/>
          </w:tcPr>
          <w:p>
            <w:pPr>
              <w:spacing w:after="0"/>
              <w:rPr>
                <w:sz w:val="24"/>
                <w:szCs w:val="24"/>
                <w:color w:val="auto"/>
              </w:rPr>
            </w:pPr>
          </w:p>
        </w:tc>
        <w:tc>
          <w:tcPr>
            <w:tcW w:w="3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400" w:type="dxa"/>
            <w:vAlign w:val="bottom"/>
          </w:tcPr>
          <w:p>
            <w:pPr>
              <w:ind w:left="140"/>
              <w:spacing w:after="0"/>
              <w:rPr>
                <w:sz w:val="20"/>
                <w:szCs w:val="20"/>
                <w:color w:val="auto"/>
              </w:rPr>
            </w:pPr>
            <w:r>
              <w:rPr>
                <w:rFonts w:ascii="Arial" w:cs="Arial" w:eastAsia="Arial" w:hAnsi="Arial"/>
                <w:sz w:val="18"/>
                <w:szCs w:val="18"/>
                <w:color w:val="auto"/>
              </w:rPr>
              <w:t>EnerSys</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gridSpan w:val="2"/>
          </w:tcPr>
          <w:p>
            <w:pPr>
              <w:ind w:left="140"/>
              <w:spacing w:after="0"/>
              <w:rPr>
                <w:sz w:val="20"/>
                <w:szCs w:val="20"/>
                <w:color w:val="auto"/>
              </w:rPr>
            </w:pPr>
            <w:r>
              <w:rPr>
                <w:rFonts w:ascii="Arial" w:cs="Arial" w:eastAsia="Arial" w:hAnsi="Arial"/>
                <w:sz w:val="18"/>
                <w:szCs w:val="18"/>
                <w:color w:val="auto"/>
              </w:rPr>
              <w:t>EPAM Systems, Inc.</w:t>
            </w:r>
          </w:p>
        </w:tc>
      </w:tr>
      <w:tr>
        <w:trPr>
          <w:trHeight w:val="338"/>
        </w:trPr>
        <w:tc>
          <w:tcPr>
            <w:tcW w:w="1000" w:type="dxa"/>
            <w:vAlign w:val="bottom"/>
          </w:tcPr>
          <w:p>
            <w:pPr>
              <w:spacing w:after="0"/>
              <w:rPr>
                <w:sz w:val="24"/>
                <w:szCs w:val="24"/>
                <w:color w:val="auto"/>
              </w:rPr>
            </w:pPr>
          </w:p>
        </w:tc>
        <w:tc>
          <w:tcPr>
            <w:tcW w:w="3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400" w:type="dxa"/>
            <w:vAlign w:val="bottom"/>
          </w:tcPr>
          <w:p>
            <w:pPr>
              <w:ind w:left="140"/>
              <w:spacing w:after="0"/>
              <w:rPr>
                <w:sz w:val="20"/>
                <w:szCs w:val="20"/>
                <w:color w:val="auto"/>
              </w:rPr>
            </w:pPr>
            <w:r>
              <w:rPr>
                <w:rFonts w:ascii="Arial" w:cs="Arial" w:eastAsia="Arial" w:hAnsi="Arial"/>
                <w:sz w:val="18"/>
                <w:szCs w:val="18"/>
                <w:color w:val="auto"/>
              </w:rPr>
              <w:t>National Instruments Corporation</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gridSpan w:val="2"/>
          </w:tcPr>
          <w:p>
            <w:pPr>
              <w:ind w:left="140"/>
              <w:spacing w:after="0"/>
              <w:rPr>
                <w:sz w:val="20"/>
                <w:szCs w:val="20"/>
                <w:color w:val="auto"/>
              </w:rPr>
            </w:pPr>
            <w:r>
              <w:rPr>
                <w:rFonts w:ascii="Arial" w:cs="Arial" w:eastAsia="Arial" w:hAnsi="Arial"/>
                <w:sz w:val="18"/>
                <w:szCs w:val="18"/>
                <w:color w:val="auto"/>
              </w:rPr>
              <w:t>FLIR Systems, Inc.</w:t>
            </w:r>
          </w:p>
        </w:tc>
      </w:tr>
      <w:tr>
        <w:trPr>
          <w:trHeight w:val="338"/>
        </w:trPr>
        <w:tc>
          <w:tcPr>
            <w:tcW w:w="1000" w:type="dxa"/>
            <w:vAlign w:val="bottom"/>
          </w:tcPr>
          <w:p>
            <w:pPr>
              <w:spacing w:after="0"/>
              <w:rPr>
                <w:sz w:val="24"/>
                <w:szCs w:val="24"/>
                <w:color w:val="auto"/>
              </w:rPr>
            </w:pPr>
          </w:p>
        </w:tc>
        <w:tc>
          <w:tcPr>
            <w:tcW w:w="3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400" w:type="dxa"/>
            <w:vAlign w:val="bottom"/>
          </w:tcPr>
          <w:p>
            <w:pPr>
              <w:ind w:left="140"/>
              <w:spacing w:after="0"/>
              <w:rPr>
                <w:sz w:val="20"/>
                <w:szCs w:val="20"/>
                <w:color w:val="auto"/>
              </w:rPr>
            </w:pPr>
            <w:r>
              <w:rPr>
                <w:rFonts w:ascii="Arial" w:cs="Arial" w:eastAsia="Arial" w:hAnsi="Arial"/>
                <w:sz w:val="18"/>
                <w:szCs w:val="18"/>
                <w:color w:val="auto"/>
              </w:rPr>
              <w:t>SolarWinds Corporation</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gridSpan w:val="2"/>
          </w:tcPr>
          <w:p>
            <w:pPr>
              <w:ind w:left="140"/>
              <w:spacing w:after="0"/>
              <w:rPr>
                <w:sz w:val="20"/>
                <w:szCs w:val="20"/>
                <w:color w:val="auto"/>
              </w:rPr>
            </w:pPr>
            <w:r>
              <w:rPr>
                <w:rFonts w:ascii="Arial" w:cs="Arial" w:eastAsia="Arial" w:hAnsi="Arial"/>
                <w:sz w:val="18"/>
                <w:szCs w:val="18"/>
                <w:color w:val="auto"/>
              </w:rPr>
              <w:t>Keysight Technologies, Inc.</w:t>
            </w:r>
          </w:p>
        </w:tc>
      </w:tr>
      <w:tr>
        <w:trPr>
          <w:trHeight w:val="338"/>
        </w:trPr>
        <w:tc>
          <w:tcPr>
            <w:tcW w:w="1000" w:type="dxa"/>
            <w:vAlign w:val="bottom"/>
          </w:tcPr>
          <w:p>
            <w:pPr>
              <w:spacing w:after="0"/>
              <w:rPr>
                <w:sz w:val="24"/>
                <w:szCs w:val="24"/>
                <w:color w:val="auto"/>
              </w:rPr>
            </w:pPr>
          </w:p>
        </w:tc>
        <w:tc>
          <w:tcPr>
            <w:tcW w:w="3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400" w:type="dxa"/>
            <w:vAlign w:val="bottom"/>
          </w:tcPr>
          <w:p>
            <w:pPr>
              <w:ind w:left="140"/>
              <w:spacing w:after="0"/>
              <w:rPr>
                <w:sz w:val="20"/>
                <w:szCs w:val="20"/>
                <w:color w:val="auto"/>
              </w:rPr>
            </w:pPr>
            <w:r>
              <w:rPr>
                <w:rFonts w:ascii="Arial" w:cs="Arial" w:eastAsia="Arial" w:hAnsi="Arial"/>
                <w:sz w:val="18"/>
                <w:szCs w:val="18"/>
                <w:color w:val="auto"/>
              </w:rPr>
              <w:t>Teradata Corporation</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gridSpan w:val="2"/>
          </w:tcPr>
          <w:p>
            <w:pPr>
              <w:ind w:left="140"/>
              <w:spacing w:after="0"/>
              <w:rPr>
                <w:sz w:val="20"/>
                <w:szCs w:val="20"/>
                <w:color w:val="auto"/>
              </w:rPr>
            </w:pPr>
            <w:r>
              <w:rPr>
                <w:rFonts w:ascii="Arial" w:cs="Arial" w:eastAsia="Arial" w:hAnsi="Arial"/>
                <w:sz w:val="18"/>
                <w:szCs w:val="18"/>
                <w:color w:val="auto"/>
              </w:rPr>
              <w:t>Roper Technologies Inc.</w:t>
            </w:r>
          </w:p>
        </w:tc>
      </w:tr>
      <w:tr>
        <w:trPr>
          <w:trHeight w:val="338"/>
        </w:trPr>
        <w:tc>
          <w:tcPr>
            <w:tcW w:w="1000" w:type="dxa"/>
            <w:vAlign w:val="bottom"/>
          </w:tcPr>
          <w:p>
            <w:pPr>
              <w:spacing w:after="0"/>
              <w:rPr>
                <w:sz w:val="24"/>
                <w:szCs w:val="24"/>
                <w:color w:val="auto"/>
              </w:rPr>
            </w:pPr>
          </w:p>
        </w:tc>
        <w:tc>
          <w:tcPr>
            <w:tcW w:w="3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400" w:type="dxa"/>
            <w:vAlign w:val="bottom"/>
          </w:tcPr>
          <w:p>
            <w:pPr>
              <w:ind w:left="140"/>
              <w:spacing w:after="0"/>
              <w:rPr>
                <w:sz w:val="20"/>
                <w:szCs w:val="20"/>
                <w:color w:val="auto"/>
              </w:rPr>
            </w:pPr>
            <w:r>
              <w:rPr>
                <w:rFonts w:ascii="Arial" w:cs="Arial" w:eastAsia="Arial" w:hAnsi="Arial"/>
                <w:sz w:val="18"/>
                <w:szCs w:val="18"/>
                <w:color w:val="auto"/>
              </w:rPr>
              <w:t>Vontier Corporation</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gridSpan w:val="2"/>
          </w:tcPr>
          <w:p>
            <w:pPr>
              <w:ind w:left="140"/>
              <w:spacing w:after="0"/>
              <w:rPr>
                <w:sz w:val="20"/>
                <w:szCs w:val="20"/>
                <w:color w:val="auto"/>
              </w:rPr>
            </w:pPr>
            <w:r>
              <w:rPr>
                <w:rFonts w:ascii="Arial" w:cs="Arial" w:eastAsia="Arial" w:hAnsi="Arial"/>
                <w:sz w:val="18"/>
                <w:szCs w:val="18"/>
                <w:color w:val="auto"/>
              </w:rPr>
              <w:t>Zebra Technologies Corp</w:t>
            </w:r>
          </w:p>
        </w:tc>
      </w:tr>
      <w:tr>
        <w:trPr>
          <w:trHeight w:val="537"/>
        </w:trPr>
        <w:tc>
          <w:tcPr>
            <w:tcW w:w="1320" w:type="dxa"/>
            <w:vAlign w:val="bottom"/>
            <w:gridSpan w:val="2"/>
          </w:tcPr>
          <w:p>
            <w:pPr>
              <w:ind w:left="920"/>
              <w:spacing w:after="0"/>
              <w:rPr>
                <w:sz w:val="20"/>
                <w:szCs w:val="20"/>
                <w:color w:val="auto"/>
              </w:rPr>
            </w:pPr>
            <w:r>
              <w:rPr>
                <w:rFonts w:ascii="Arial" w:cs="Arial" w:eastAsia="Arial" w:hAnsi="Arial"/>
                <w:sz w:val="13"/>
                <w:szCs w:val="13"/>
                <w:color w:val="auto"/>
              </w:rPr>
              <w:t> </w:t>
            </w:r>
          </w:p>
        </w:tc>
        <w:tc>
          <w:tcPr>
            <w:tcW w:w="3400" w:type="dxa"/>
            <w:vAlign w:val="bottom"/>
          </w:tcPr>
          <w:p>
            <w:pPr>
              <w:spacing w:after="0"/>
              <w:rPr>
                <w:sz w:val="24"/>
                <w:szCs w:val="24"/>
                <w:color w:val="auto"/>
              </w:rPr>
            </w:pPr>
          </w:p>
        </w:tc>
        <w:tc>
          <w:tcPr>
            <w:tcW w:w="1200" w:type="dxa"/>
            <w:vAlign w:val="bottom"/>
            <w:gridSpan w:val="3"/>
          </w:tcPr>
          <w:p>
            <w:pPr>
              <w:jc w:val="right"/>
              <w:ind w:right="150"/>
              <w:spacing w:after="0"/>
              <w:rPr>
                <w:sz w:val="20"/>
                <w:szCs w:val="20"/>
                <w:color w:val="auto"/>
              </w:rPr>
            </w:pPr>
            <w:r>
              <w:rPr>
                <w:rFonts w:ascii="Arial" w:cs="Arial" w:eastAsia="Arial" w:hAnsi="Arial"/>
                <w:sz w:val="18"/>
                <w:szCs w:val="18"/>
                <w:color w:val="auto"/>
              </w:rPr>
              <w:t>-30-</w:t>
            </w:r>
          </w:p>
        </w:tc>
        <w:tc>
          <w:tcPr>
            <w:tcW w:w="4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3"/>
        </w:trPr>
        <w:tc>
          <w:tcPr>
            <w:tcW w:w="10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263" w:right="439" w:bottom="1440" w:gutter="0" w:footer="0" w:header="0"/>
        </w:sectPr>
      </w:pPr>
    </w:p>
    <w:bookmarkStart w:id="34" w:name="page35"/>
    <w:bookmarkEnd w:id="34"/>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With these changes, the Peer Companies for 2022 were as follows:</w:t>
      </w:r>
    </w:p>
    <w:p>
      <w:pPr>
        <w:sectPr>
          <w:pgSz w:w="11900" w:h="16838" w:orient="portrait"/>
          <w:cols w:equalWidth="0" w:num="1">
            <w:col w:w="11020"/>
          </w:cols>
          <w:pgMar w:left="440" w:top="263" w:right="439" w:bottom="1440" w:gutter="0" w:footer="0" w:header="0"/>
        </w:sectPr>
      </w:pPr>
    </w:p>
    <w:p>
      <w:pPr>
        <w:spacing w:after="0" w:line="156"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Peer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52070</wp:posOffset>
            </wp:positionV>
            <wp:extent cx="27946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980"/>
        <w:spacing w:after="0"/>
        <w:tabs>
          <w:tab w:leader="none" w:pos="3140" w:val="left"/>
        </w:tabs>
        <w:rPr>
          <w:sz w:val="20"/>
          <w:szCs w:val="20"/>
          <w:color w:val="auto"/>
        </w:rPr>
      </w:pPr>
      <w:r>
        <w:rPr>
          <w:rFonts w:ascii="Arial" w:cs="Arial" w:eastAsia="Arial" w:hAnsi="Arial"/>
          <w:sz w:val="16"/>
          <w:szCs w:val="16"/>
          <w:color w:val="auto"/>
        </w:rPr>
        <w:t>Bloom Energy Corporation</w:t>
      </w:r>
      <w:r>
        <w:rPr>
          <w:sz w:val="20"/>
          <w:szCs w:val="20"/>
          <w:color w:val="auto"/>
        </w:rPr>
        <w:tab/>
      </w:r>
      <w:r>
        <w:rPr>
          <w:rFonts w:ascii="Arial" w:cs="Arial" w:eastAsia="Arial" w:hAnsi="Arial"/>
          <w:sz w:val="16"/>
          <w:szCs w:val="16"/>
          <w:color w:val="auto"/>
        </w:rPr>
        <w:t>SolarWinds Corporation</w:t>
      </w:r>
    </w:p>
    <w:p>
      <w:pPr>
        <w:spacing w:after="0" w:line="140" w:lineRule="exact"/>
        <w:rPr>
          <w:sz w:val="20"/>
          <w:szCs w:val="20"/>
          <w:color w:val="auto"/>
        </w:rPr>
      </w:pPr>
    </w:p>
    <w:p>
      <w:pPr>
        <w:ind w:left="980"/>
        <w:spacing w:after="0"/>
        <w:tabs>
          <w:tab w:leader="none" w:pos="3140" w:val="left"/>
        </w:tabs>
        <w:rPr>
          <w:sz w:val="20"/>
          <w:szCs w:val="20"/>
          <w:color w:val="auto"/>
        </w:rPr>
      </w:pPr>
      <w:r>
        <w:rPr>
          <w:rFonts w:ascii="Arial" w:cs="Arial" w:eastAsia="Arial" w:hAnsi="Arial"/>
          <w:sz w:val="16"/>
          <w:szCs w:val="16"/>
          <w:color w:val="auto"/>
        </w:rPr>
        <w:t>EnerSys</w:t>
      </w:r>
      <w:r>
        <w:rPr>
          <w:sz w:val="20"/>
          <w:szCs w:val="20"/>
          <w:color w:val="auto"/>
        </w:rPr>
        <w:tab/>
      </w:r>
      <w:r>
        <w:rPr>
          <w:rFonts w:ascii="Arial" w:cs="Arial" w:eastAsia="Arial" w:hAnsi="Arial"/>
          <w:sz w:val="16"/>
          <w:szCs w:val="16"/>
          <w:color w:val="auto"/>
        </w:rPr>
        <w:t>Teradata Corporation</w:t>
      </w:r>
    </w:p>
    <w:p>
      <w:pPr>
        <w:spacing w:after="0" w:line="140" w:lineRule="exact"/>
        <w:rPr>
          <w:sz w:val="20"/>
          <w:szCs w:val="20"/>
          <w:color w:val="auto"/>
        </w:rPr>
      </w:pPr>
    </w:p>
    <w:p>
      <w:pPr>
        <w:ind w:left="980"/>
        <w:spacing w:after="0"/>
        <w:tabs>
          <w:tab w:leader="none" w:pos="3140" w:val="left"/>
        </w:tabs>
        <w:rPr>
          <w:sz w:val="20"/>
          <w:szCs w:val="20"/>
          <w:color w:val="auto"/>
        </w:rPr>
      </w:pPr>
      <w:r>
        <w:rPr>
          <w:rFonts w:ascii="Arial" w:cs="Arial" w:eastAsia="Arial" w:hAnsi="Arial"/>
          <w:sz w:val="16"/>
          <w:szCs w:val="16"/>
          <w:color w:val="auto"/>
        </w:rPr>
        <w:t>F5 Networks, Inc.</w:t>
      </w:r>
      <w:r>
        <w:rPr>
          <w:sz w:val="20"/>
          <w:szCs w:val="20"/>
          <w:color w:val="auto"/>
        </w:rPr>
        <w:tab/>
      </w:r>
      <w:r>
        <w:rPr>
          <w:rFonts w:ascii="Arial" w:cs="Arial" w:eastAsia="Arial" w:hAnsi="Arial"/>
          <w:sz w:val="15"/>
          <w:szCs w:val="15"/>
          <w:color w:val="auto"/>
        </w:rPr>
        <w:t>Teradyne Inc.</w:t>
      </w:r>
    </w:p>
    <w:p>
      <w:pPr>
        <w:spacing w:after="0" w:line="140" w:lineRule="exact"/>
        <w:rPr>
          <w:sz w:val="20"/>
          <w:szCs w:val="20"/>
          <w:color w:val="auto"/>
        </w:rPr>
      </w:pPr>
    </w:p>
    <w:p>
      <w:pPr>
        <w:ind w:left="980"/>
        <w:spacing w:after="0"/>
        <w:tabs>
          <w:tab w:leader="none" w:pos="3140" w:val="left"/>
        </w:tabs>
        <w:rPr>
          <w:sz w:val="20"/>
          <w:szCs w:val="20"/>
          <w:color w:val="auto"/>
        </w:rPr>
      </w:pPr>
      <w:r>
        <w:rPr>
          <w:rFonts w:ascii="Arial" w:cs="Arial" w:eastAsia="Arial" w:hAnsi="Arial"/>
          <w:sz w:val="16"/>
          <w:szCs w:val="16"/>
          <w:color w:val="auto"/>
        </w:rPr>
        <w:t>ITT Inc.</w:t>
      </w:r>
      <w:r>
        <w:rPr>
          <w:sz w:val="20"/>
          <w:szCs w:val="20"/>
          <w:color w:val="auto"/>
        </w:rPr>
        <w:tab/>
      </w:r>
      <w:r>
        <w:rPr>
          <w:rFonts w:ascii="Arial" w:cs="Arial" w:eastAsia="Arial" w:hAnsi="Arial"/>
          <w:sz w:val="16"/>
          <w:szCs w:val="16"/>
          <w:color w:val="auto"/>
        </w:rPr>
        <w:t>Trimble Inc.</w:t>
      </w:r>
    </w:p>
    <w:p>
      <w:pPr>
        <w:spacing w:after="0" w:line="140" w:lineRule="exact"/>
        <w:rPr>
          <w:sz w:val="20"/>
          <w:szCs w:val="20"/>
          <w:color w:val="auto"/>
        </w:rPr>
      </w:pPr>
    </w:p>
    <w:p>
      <w:pPr>
        <w:jc w:val="center"/>
        <w:ind w:left="180"/>
        <w:spacing w:after="0"/>
        <w:tabs>
          <w:tab w:leader="none" w:pos="120" w:val="left"/>
        </w:tabs>
        <w:rPr>
          <w:sz w:val="20"/>
          <w:szCs w:val="20"/>
          <w:color w:val="auto"/>
        </w:rPr>
      </w:pPr>
      <w:r>
        <w:rPr>
          <w:rFonts w:ascii="Arial" w:cs="Arial" w:eastAsia="Arial" w:hAnsi="Arial"/>
          <w:sz w:val="16"/>
          <w:szCs w:val="16"/>
          <w:color w:val="auto"/>
        </w:rPr>
        <w:t>Mueller Water Products, Inc.</w:t>
        <w:tab/>
        <w:t>Unisys Corporation</w:t>
      </w:r>
    </w:p>
    <w:p>
      <w:pPr>
        <w:spacing w:after="0" w:line="140" w:lineRule="exact"/>
        <w:rPr>
          <w:sz w:val="20"/>
          <w:szCs w:val="20"/>
          <w:color w:val="auto"/>
        </w:rPr>
      </w:pPr>
    </w:p>
    <w:p>
      <w:pPr>
        <w:ind w:left="980"/>
        <w:spacing w:after="0"/>
        <w:tabs>
          <w:tab w:leader="none" w:pos="3140" w:val="left"/>
        </w:tabs>
        <w:rPr>
          <w:sz w:val="20"/>
          <w:szCs w:val="20"/>
          <w:color w:val="auto"/>
        </w:rPr>
      </w:pPr>
      <w:r>
        <w:rPr>
          <w:rFonts w:ascii="Arial" w:cs="Arial" w:eastAsia="Arial" w:hAnsi="Arial"/>
          <w:sz w:val="16"/>
          <w:szCs w:val="16"/>
          <w:color w:val="auto"/>
        </w:rPr>
        <w:t>National Instruments</w:t>
      </w:r>
      <w:r>
        <w:rPr>
          <w:sz w:val="20"/>
          <w:szCs w:val="20"/>
          <w:color w:val="auto"/>
        </w:rPr>
        <w:tab/>
      </w:r>
      <w:r>
        <w:rPr>
          <w:rFonts w:ascii="Arial" w:cs="Arial" w:eastAsia="Arial" w:hAnsi="Arial"/>
          <w:sz w:val="16"/>
          <w:szCs w:val="16"/>
          <w:color w:val="auto"/>
        </w:rPr>
        <w:t>Vontier Corporation</w:t>
      </w:r>
    </w:p>
    <w:p>
      <w:pPr>
        <w:spacing w:after="0" w:line="2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Corporation</w:t>
      </w:r>
    </w:p>
    <w:p>
      <w:pPr>
        <w:spacing w:after="0" w:line="124" w:lineRule="exact"/>
        <w:rPr>
          <w:sz w:val="20"/>
          <w:szCs w:val="20"/>
          <w:color w:val="auto"/>
        </w:rPr>
      </w:pPr>
    </w:p>
    <w:p>
      <w:pPr>
        <w:ind w:left="980"/>
        <w:spacing w:after="0"/>
        <w:tabs>
          <w:tab w:leader="none" w:pos="3140" w:val="left"/>
        </w:tabs>
        <w:rPr>
          <w:sz w:val="20"/>
          <w:szCs w:val="20"/>
          <w:color w:val="auto"/>
        </w:rPr>
      </w:pPr>
      <w:r>
        <w:rPr>
          <w:rFonts w:ascii="Arial" w:cs="Arial" w:eastAsia="Arial" w:hAnsi="Arial"/>
          <w:sz w:val="16"/>
          <w:szCs w:val="16"/>
          <w:color w:val="auto"/>
        </w:rPr>
        <w:t>NetScout Systems, Inc.</w:t>
      </w:r>
      <w:r>
        <w:rPr>
          <w:sz w:val="20"/>
          <w:szCs w:val="20"/>
          <w:color w:val="auto"/>
        </w:rPr>
        <w:tab/>
      </w:r>
      <w:r>
        <w:rPr>
          <w:rFonts w:ascii="Arial" w:cs="Arial" w:eastAsia="Arial" w:hAnsi="Arial"/>
          <w:sz w:val="16"/>
          <w:szCs w:val="16"/>
          <w:color w:val="auto"/>
        </w:rPr>
        <w:t>Watts Water Technologies, Inc</w:t>
      </w:r>
    </w:p>
    <w:p>
      <w:pPr>
        <w:spacing w:after="0" w:line="140" w:lineRule="exact"/>
        <w:rPr>
          <w:sz w:val="20"/>
          <w:szCs w:val="20"/>
          <w:color w:val="auto"/>
        </w:rPr>
      </w:pPr>
    </w:p>
    <w:p>
      <w:pPr>
        <w:ind w:left="980"/>
        <w:spacing w:after="0"/>
        <w:tabs>
          <w:tab w:leader="none" w:pos="3140" w:val="left"/>
        </w:tabs>
        <w:rPr>
          <w:sz w:val="20"/>
          <w:szCs w:val="20"/>
          <w:color w:val="auto"/>
        </w:rPr>
      </w:pPr>
      <w:r>
        <w:rPr>
          <w:rFonts w:ascii="Arial" w:cs="Arial" w:eastAsia="Arial" w:hAnsi="Arial"/>
          <w:sz w:val="16"/>
          <w:szCs w:val="16"/>
          <w:color w:val="auto"/>
        </w:rPr>
        <w:t>PTC Inc.</w:t>
      </w:r>
      <w:r>
        <w:rPr>
          <w:sz w:val="20"/>
          <w:szCs w:val="20"/>
          <w:color w:val="auto"/>
        </w:rPr>
        <w:tab/>
      </w:r>
      <w:r>
        <w:rPr>
          <w:rFonts w:ascii="Arial" w:cs="Arial" w:eastAsia="Arial" w:hAnsi="Arial"/>
          <w:sz w:val="16"/>
          <w:szCs w:val="16"/>
          <w:color w:val="auto"/>
        </w:rPr>
        <w:t>Xylem Inc.</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364"/>
        </w:trPr>
        <w:tc>
          <w:tcPr>
            <w:tcW w:w="40" w:type="dxa"/>
            <w:vAlign w:val="bottom"/>
            <w:tcBorders>
              <w:top w:val="single" w:sz="8" w:color="auto"/>
              <w:left w:val="single" w:sz="8" w:color="auto"/>
            </w:tcBorders>
          </w:tcPr>
          <w:p>
            <w:pPr>
              <w:spacing w:after="0"/>
              <w:rPr>
                <w:sz w:val="24"/>
                <w:szCs w:val="24"/>
                <w:color w:val="auto"/>
              </w:rPr>
            </w:pPr>
          </w:p>
        </w:tc>
        <w:tc>
          <w:tcPr>
            <w:tcW w:w="4440" w:type="dxa"/>
            <w:vAlign w:val="bottom"/>
            <w:tcBorders>
              <w:top w:val="single" w:sz="8" w:color="auto"/>
              <w:bottom w:val="single" w:sz="8" w:color="auto"/>
              <w:right w:val="single" w:sz="8" w:color="auto"/>
            </w:tcBorders>
            <w:gridSpan w:val="3"/>
          </w:tcPr>
          <w:p>
            <w:pPr>
              <w:ind w:left="1040"/>
              <w:spacing w:after="0"/>
              <w:rPr>
                <w:sz w:val="20"/>
                <w:szCs w:val="20"/>
                <w:color w:val="auto"/>
              </w:rPr>
            </w:pPr>
            <w:r>
              <w:rPr>
                <w:rFonts w:ascii="Arial" w:cs="Arial" w:eastAsia="Arial" w:hAnsi="Arial"/>
                <w:sz w:val="18"/>
                <w:szCs w:val="18"/>
                <w:b w:val="1"/>
                <w:bCs w:val="1"/>
                <w:color w:val="auto"/>
              </w:rPr>
              <w:t>Peer Data as of 12-31-2021</w:t>
            </w:r>
          </w:p>
        </w:tc>
      </w:tr>
      <w:tr>
        <w:trPr>
          <w:trHeight w:val="289"/>
        </w:trPr>
        <w:tc>
          <w:tcPr>
            <w:tcW w:w="40" w:type="dxa"/>
            <w:vAlign w:val="bottom"/>
            <w:tcBorders>
              <w:left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$Millions</w:t>
            </w:r>
          </w:p>
        </w:tc>
      </w:tr>
      <w:tr>
        <w:trPr>
          <w:trHeight w:val="310"/>
        </w:trPr>
        <w:tc>
          <w:tcPr>
            <w:tcW w:w="40" w:type="dxa"/>
            <w:vAlign w:val="bottom"/>
            <w:tcBorders>
              <w:left w:val="single" w:sz="8" w:color="auto"/>
            </w:tcBorders>
          </w:tcPr>
          <w:p>
            <w:pPr>
              <w:spacing w:after="0"/>
              <w:rPr>
                <w:sz w:val="24"/>
                <w:szCs w:val="24"/>
                <w:color w:val="auto"/>
              </w:rPr>
            </w:pPr>
          </w:p>
        </w:tc>
        <w:tc>
          <w:tcPr>
            <w:tcW w:w="1520" w:type="dxa"/>
            <w:vAlign w:val="bottom"/>
          </w:tcPr>
          <w:p>
            <w:pPr>
              <w:ind w:left="300"/>
              <w:spacing w:after="0"/>
              <w:rPr>
                <w:sz w:val="20"/>
                <w:szCs w:val="20"/>
                <w:color w:val="auto"/>
              </w:rPr>
            </w:pPr>
            <w:r>
              <w:rPr>
                <w:rFonts w:ascii="Arial" w:cs="Arial" w:eastAsia="Arial" w:hAnsi="Arial"/>
                <w:sz w:val="16"/>
                <w:szCs w:val="16"/>
                <w:i w:val="1"/>
                <w:iCs w:val="1"/>
                <w:color w:val="auto"/>
              </w:rPr>
              <w:t>Percentile</w:t>
            </w: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Revenue</w:t>
            </w:r>
          </w:p>
        </w:tc>
        <w:tc>
          <w:tcPr>
            <w:tcW w:w="1880" w:type="dxa"/>
            <w:vAlign w:val="bottom"/>
            <w:tcBorders>
              <w:right w:val="single" w:sz="8" w:color="auto"/>
            </w:tcBorders>
          </w:tcPr>
          <w:p>
            <w:pPr>
              <w:jc w:val="right"/>
              <w:ind w:right="238"/>
              <w:spacing w:after="0"/>
              <w:rPr>
                <w:sz w:val="20"/>
                <w:szCs w:val="20"/>
                <w:color w:val="auto"/>
              </w:rPr>
            </w:pPr>
            <w:r>
              <w:rPr>
                <w:rFonts w:ascii="Arial" w:cs="Arial" w:eastAsia="Arial" w:hAnsi="Arial"/>
                <w:sz w:val="16"/>
                <w:szCs w:val="16"/>
                <w:i w:val="1"/>
                <w:iCs w:val="1"/>
                <w:color w:val="auto"/>
              </w:rPr>
              <w:t>Market Cap</w:t>
            </w:r>
          </w:p>
        </w:tc>
      </w:tr>
      <w:tr>
        <w:trPr>
          <w:trHeight w:val="56"/>
        </w:trPr>
        <w:tc>
          <w:tcPr>
            <w:tcW w:w="40" w:type="dxa"/>
            <w:vAlign w:val="bottom"/>
            <w:tcBorders>
              <w:left w:val="single" w:sz="8" w:color="auto"/>
            </w:tcBorders>
          </w:tcPr>
          <w:p>
            <w:pPr>
              <w:spacing w:after="0"/>
              <w:rPr>
                <w:sz w:val="4"/>
                <w:szCs w:val="4"/>
                <w:color w:val="auto"/>
              </w:rPr>
            </w:pPr>
          </w:p>
        </w:tc>
        <w:tc>
          <w:tcPr>
            <w:tcW w:w="15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80" w:type="dxa"/>
            <w:vAlign w:val="bottom"/>
            <w:tcBorders>
              <w:right w:val="single" w:sz="8" w:color="auto"/>
            </w:tcBorders>
          </w:tcPr>
          <w:p>
            <w:pPr>
              <w:spacing w:after="0"/>
              <w:rPr>
                <w:sz w:val="4"/>
                <w:szCs w:val="4"/>
                <w:color w:val="auto"/>
              </w:rPr>
            </w:pPr>
          </w:p>
        </w:tc>
      </w:tr>
      <w:tr>
        <w:trPr>
          <w:trHeight w:val="364"/>
        </w:trPr>
        <w:tc>
          <w:tcPr>
            <w:tcW w:w="40" w:type="dxa"/>
            <w:vAlign w:val="bottom"/>
            <w:tcBorders>
              <w:left w:val="single" w:sz="8" w:color="auto"/>
            </w:tcBorders>
            <w:shd w:val="clear" w:color="auto" w:fill="CCCCCC"/>
          </w:tcPr>
          <w:p>
            <w:pPr>
              <w:spacing w:after="0"/>
              <w:rPr>
                <w:sz w:val="24"/>
                <w:szCs w:val="24"/>
                <w:color w:val="auto"/>
              </w:rPr>
            </w:pPr>
          </w:p>
        </w:tc>
        <w:tc>
          <w:tcPr>
            <w:tcW w:w="1520" w:type="dxa"/>
            <w:vAlign w:val="bottom"/>
            <w:shd w:val="clear" w:color="auto" w:fill="CCCCCC"/>
          </w:tcPr>
          <w:p>
            <w:pPr>
              <w:ind w:left="20"/>
              <w:spacing w:after="0"/>
              <w:rPr>
                <w:sz w:val="20"/>
                <w:szCs w:val="20"/>
                <w:color w:val="auto"/>
              </w:rPr>
            </w:pPr>
            <w:r>
              <w:rPr>
                <w:rFonts w:ascii="Arial" w:cs="Arial" w:eastAsia="Arial" w:hAnsi="Arial"/>
                <w:sz w:val="16"/>
                <w:szCs w:val="16"/>
                <w:i w:val="1"/>
                <w:iCs w:val="1"/>
                <w:color w:val="auto"/>
              </w:rPr>
              <w:t>25</w:t>
            </w:r>
            <w:r>
              <w:rPr>
                <w:rFonts w:ascii="Arial" w:cs="Arial" w:eastAsia="Arial" w:hAnsi="Arial"/>
                <w:sz w:val="26"/>
                <w:szCs w:val="26"/>
                <w:i w:val="1"/>
                <w:iCs w:val="1"/>
                <w:color w:val="auto"/>
                <w:vertAlign w:val="superscript"/>
              </w:rPr>
              <w:t>th</w:t>
            </w:r>
          </w:p>
        </w:tc>
        <w:tc>
          <w:tcPr>
            <w:tcW w:w="1040" w:type="dxa"/>
            <w:vAlign w:val="bottom"/>
            <w:shd w:val="clear" w:color="auto" w:fill="CCCCCC"/>
          </w:tcPr>
          <w:p>
            <w:pPr>
              <w:jc w:val="right"/>
              <w:ind w:right="59"/>
              <w:spacing w:after="0"/>
              <w:rPr>
                <w:sz w:val="20"/>
                <w:szCs w:val="20"/>
                <w:color w:val="auto"/>
              </w:rPr>
            </w:pPr>
            <w:r>
              <w:rPr>
                <w:rFonts w:ascii="Arial" w:cs="Arial" w:eastAsia="Arial" w:hAnsi="Arial"/>
                <w:sz w:val="16"/>
                <w:szCs w:val="16"/>
                <w:color w:val="auto"/>
              </w:rPr>
              <w:t>$1,380</w:t>
            </w:r>
          </w:p>
        </w:tc>
        <w:tc>
          <w:tcPr>
            <w:tcW w:w="1880" w:type="dxa"/>
            <w:vAlign w:val="bottom"/>
            <w:tcBorders>
              <w:right w:val="single" w:sz="8" w:color="auto"/>
            </w:tcBorders>
            <w:shd w:val="clear" w:color="auto" w:fill="CCCCCC"/>
          </w:tcPr>
          <w:p>
            <w:pPr>
              <w:ind w:left="840"/>
              <w:spacing w:after="0"/>
              <w:rPr>
                <w:sz w:val="20"/>
                <w:szCs w:val="20"/>
                <w:color w:val="auto"/>
              </w:rPr>
            </w:pPr>
            <w:r>
              <w:rPr>
                <w:rFonts w:ascii="Arial" w:cs="Arial" w:eastAsia="Arial" w:hAnsi="Arial"/>
                <w:sz w:val="16"/>
                <w:szCs w:val="16"/>
                <w:color w:val="auto"/>
              </w:rPr>
              <w:t>$ 3,095</w:t>
            </w:r>
          </w:p>
        </w:tc>
      </w:tr>
      <w:tr>
        <w:trPr>
          <w:trHeight w:val="365"/>
        </w:trPr>
        <w:tc>
          <w:tcPr>
            <w:tcW w:w="40" w:type="dxa"/>
            <w:vAlign w:val="bottom"/>
            <w:tcBorders>
              <w:left w:val="single" w:sz="8" w:color="auto"/>
            </w:tcBorders>
          </w:tcPr>
          <w:p>
            <w:pPr>
              <w:spacing w:after="0"/>
              <w:rPr>
                <w:sz w:val="24"/>
                <w:szCs w:val="24"/>
                <w:color w:val="auto"/>
              </w:rPr>
            </w:pPr>
          </w:p>
        </w:tc>
        <w:tc>
          <w:tcPr>
            <w:tcW w:w="1520" w:type="dxa"/>
            <w:vAlign w:val="bottom"/>
          </w:tcPr>
          <w:p>
            <w:pPr>
              <w:ind w:left="20"/>
              <w:spacing w:after="0"/>
              <w:rPr>
                <w:sz w:val="20"/>
                <w:szCs w:val="20"/>
                <w:color w:val="auto"/>
              </w:rPr>
            </w:pPr>
            <w:r>
              <w:rPr>
                <w:rFonts w:ascii="Arial" w:cs="Arial" w:eastAsia="Arial" w:hAnsi="Arial"/>
                <w:sz w:val="16"/>
                <w:szCs w:val="16"/>
                <w:i w:val="1"/>
                <w:iCs w:val="1"/>
                <w:color w:val="auto"/>
              </w:rPr>
              <w:t>50</w:t>
            </w:r>
            <w:r>
              <w:rPr>
                <w:rFonts w:ascii="Arial" w:cs="Arial" w:eastAsia="Arial" w:hAnsi="Arial"/>
                <w:sz w:val="26"/>
                <w:szCs w:val="26"/>
                <w:i w:val="1"/>
                <w:iCs w:val="1"/>
                <w:color w:val="auto"/>
                <w:vertAlign w:val="superscript"/>
              </w:rPr>
              <w:t>th</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$1,986</w:t>
            </w:r>
          </w:p>
        </w:tc>
        <w:tc>
          <w:tcPr>
            <w:tcW w:w="1880" w:type="dxa"/>
            <w:vAlign w:val="bottom"/>
            <w:tcBorders>
              <w:right w:val="single" w:sz="8" w:color="auto"/>
            </w:tcBorders>
          </w:tcPr>
          <w:p>
            <w:pPr>
              <w:ind w:left="840"/>
              <w:spacing w:after="0"/>
              <w:rPr>
                <w:sz w:val="20"/>
                <w:szCs w:val="20"/>
                <w:color w:val="auto"/>
              </w:rPr>
            </w:pPr>
            <w:r>
              <w:rPr>
                <w:rFonts w:ascii="Arial" w:cs="Arial" w:eastAsia="Arial" w:hAnsi="Arial"/>
                <w:sz w:val="16"/>
                <w:szCs w:val="16"/>
                <w:color w:val="auto"/>
              </w:rPr>
              <w:t>$ 5,477</w:t>
            </w:r>
          </w:p>
        </w:tc>
      </w:tr>
      <w:tr>
        <w:trPr>
          <w:trHeight w:val="364"/>
        </w:trPr>
        <w:tc>
          <w:tcPr>
            <w:tcW w:w="40" w:type="dxa"/>
            <w:vAlign w:val="bottom"/>
            <w:tcBorders>
              <w:left w:val="single" w:sz="8" w:color="auto"/>
            </w:tcBorders>
            <w:shd w:val="clear" w:color="auto" w:fill="CCCCCC"/>
          </w:tcPr>
          <w:p>
            <w:pPr>
              <w:spacing w:after="0"/>
              <w:rPr>
                <w:sz w:val="24"/>
                <w:szCs w:val="24"/>
                <w:color w:val="auto"/>
              </w:rPr>
            </w:pPr>
          </w:p>
        </w:tc>
        <w:tc>
          <w:tcPr>
            <w:tcW w:w="1520" w:type="dxa"/>
            <w:vAlign w:val="bottom"/>
            <w:shd w:val="clear" w:color="auto" w:fill="CCCCCC"/>
          </w:tcPr>
          <w:p>
            <w:pPr>
              <w:ind w:left="20"/>
              <w:spacing w:after="0"/>
              <w:rPr>
                <w:sz w:val="20"/>
                <w:szCs w:val="20"/>
                <w:color w:val="auto"/>
              </w:rPr>
            </w:pPr>
            <w:r>
              <w:rPr>
                <w:rFonts w:ascii="Arial" w:cs="Arial" w:eastAsia="Arial" w:hAnsi="Arial"/>
                <w:sz w:val="16"/>
                <w:szCs w:val="16"/>
                <w:i w:val="1"/>
                <w:iCs w:val="1"/>
                <w:color w:val="auto"/>
              </w:rPr>
              <w:t>75</w:t>
            </w:r>
            <w:r>
              <w:rPr>
                <w:rFonts w:ascii="Arial" w:cs="Arial" w:eastAsia="Arial" w:hAnsi="Arial"/>
                <w:sz w:val="26"/>
                <w:szCs w:val="26"/>
                <w:i w:val="1"/>
                <w:iCs w:val="1"/>
                <w:color w:val="auto"/>
                <w:vertAlign w:val="superscript"/>
              </w:rPr>
              <w:t>th</w:t>
            </w:r>
          </w:p>
        </w:tc>
        <w:tc>
          <w:tcPr>
            <w:tcW w:w="1040" w:type="dxa"/>
            <w:vAlign w:val="bottom"/>
            <w:shd w:val="clear" w:color="auto" w:fill="CCCCCC"/>
          </w:tcPr>
          <w:p>
            <w:pPr>
              <w:jc w:val="right"/>
              <w:ind w:right="59"/>
              <w:spacing w:after="0"/>
              <w:rPr>
                <w:sz w:val="20"/>
                <w:szCs w:val="20"/>
                <w:color w:val="auto"/>
              </w:rPr>
            </w:pPr>
            <w:r>
              <w:rPr>
                <w:rFonts w:ascii="Arial" w:cs="Arial" w:eastAsia="Arial" w:hAnsi="Arial"/>
                <w:sz w:val="16"/>
                <w:szCs w:val="16"/>
                <w:color w:val="auto"/>
              </w:rPr>
              <w:t>$2,981</w:t>
            </w:r>
          </w:p>
        </w:tc>
        <w:tc>
          <w:tcPr>
            <w:tcW w:w="1880" w:type="dxa"/>
            <w:vAlign w:val="bottom"/>
            <w:tcBorders>
              <w:right w:val="single" w:sz="8" w:color="auto"/>
            </w:tcBorders>
            <w:shd w:val="clear" w:color="auto" w:fill="CCCCCC"/>
          </w:tcPr>
          <w:p>
            <w:pPr>
              <w:ind w:left="840"/>
              <w:spacing w:after="0"/>
              <w:rPr>
                <w:sz w:val="20"/>
                <w:szCs w:val="20"/>
                <w:color w:val="auto"/>
              </w:rPr>
            </w:pPr>
            <w:r>
              <w:rPr>
                <w:rFonts w:ascii="Arial" w:cs="Arial" w:eastAsia="Arial" w:hAnsi="Arial"/>
                <w:sz w:val="16"/>
                <w:szCs w:val="16"/>
                <w:color w:val="auto"/>
              </w:rPr>
              <w:t>$14,456</w:t>
            </w:r>
          </w:p>
        </w:tc>
      </w:tr>
      <w:tr>
        <w:trPr>
          <w:trHeight w:val="176"/>
        </w:trPr>
        <w:tc>
          <w:tcPr>
            <w:tcW w:w="40" w:type="dxa"/>
            <w:vAlign w:val="bottom"/>
            <w:tcBorders>
              <w:left w:val="single" w:sz="8" w:color="auto"/>
            </w:tcBorders>
          </w:tcPr>
          <w:p>
            <w:pPr>
              <w:spacing w:after="0"/>
              <w:rPr>
                <w:sz w:val="15"/>
                <w:szCs w:val="15"/>
                <w:color w:val="auto"/>
              </w:rPr>
            </w:pPr>
          </w:p>
        </w:tc>
        <w:tc>
          <w:tcPr>
            <w:tcW w:w="1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r>
      <w:tr>
        <w:trPr>
          <w:trHeight w:val="304"/>
        </w:trPr>
        <w:tc>
          <w:tcPr>
            <w:tcW w:w="40" w:type="dxa"/>
            <w:vAlign w:val="bottom"/>
            <w:tcBorders>
              <w:left w:val="single" w:sz="8" w:color="auto"/>
              <w:bottom w:val="single" w:sz="8" w:color="CCCCCC"/>
            </w:tcBorders>
            <w:shd w:val="clear" w:color="auto" w:fill="CCCCCC"/>
          </w:tcPr>
          <w:p>
            <w:pPr>
              <w:spacing w:after="0"/>
              <w:rPr>
                <w:sz w:val="24"/>
                <w:szCs w:val="24"/>
                <w:color w:val="auto"/>
              </w:rPr>
            </w:pPr>
          </w:p>
        </w:tc>
        <w:tc>
          <w:tcPr>
            <w:tcW w:w="152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6"/>
                <w:szCs w:val="16"/>
                <w:color w:val="auto"/>
              </w:rPr>
              <w:t>Itron</w:t>
            </w:r>
          </w:p>
        </w:tc>
        <w:tc>
          <w:tcPr>
            <w:tcW w:w="1040" w:type="dxa"/>
            <w:vAlign w:val="bottom"/>
            <w:tcBorders>
              <w:bottom w:val="single" w:sz="8" w:color="CCCCCC"/>
            </w:tcBorders>
            <w:shd w:val="clear" w:color="auto" w:fill="CCCCCC"/>
          </w:tcPr>
          <w:p>
            <w:pPr>
              <w:jc w:val="right"/>
              <w:ind w:right="59"/>
              <w:spacing w:after="0"/>
              <w:rPr>
                <w:sz w:val="20"/>
                <w:szCs w:val="20"/>
                <w:color w:val="auto"/>
              </w:rPr>
            </w:pPr>
            <w:r>
              <w:rPr>
                <w:rFonts w:ascii="Arial" w:cs="Arial" w:eastAsia="Arial" w:hAnsi="Arial"/>
                <w:sz w:val="16"/>
                <w:szCs w:val="16"/>
                <w:color w:val="auto"/>
              </w:rPr>
              <w:t>$1,982</w:t>
            </w:r>
          </w:p>
        </w:tc>
        <w:tc>
          <w:tcPr>
            <w:tcW w:w="1880" w:type="dxa"/>
            <w:vAlign w:val="bottom"/>
            <w:tcBorders>
              <w:bottom w:val="single" w:sz="8" w:color="CCCCCC"/>
              <w:right w:val="single" w:sz="8" w:color="auto"/>
            </w:tcBorders>
            <w:shd w:val="clear" w:color="auto" w:fill="CCCCCC"/>
          </w:tcPr>
          <w:p>
            <w:pPr>
              <w:ind w:left="840"/>
              <w:spacing w:after="0"/>
              <w:rPr>
                <w:sz w:val="20"/>
                <w:szCs w:val="20"/>
                <w:color w:val="auto"/>
              </w:rPr>
            </w:pPr>
            <w:r>
              <w:rPr>
                <w:rFonts w:ascii="Arial" w:cs="Arial" w:eastAsia="Arial" w:hAnsi="Arial"/>
                <w:sz w:val="16"/>
                <w:szCs w:val="16"/>
                <w:color w:val="auto"/>
              </w:rPr>
              <w:t>$ 3,102</w:t>
            </w:r>
          </w:p>
        </w:tc>
      </w:tr>
      <w:tr>
        <w:trPr>
          <w:trHeight w:val="277"/>
        </w:trPr>
        <w:tc>
          <w:tcPr>
            <w:tcW w:w="40" w:type="dxa"/>
            <w:vAlign w:val="bottom"/>
            <w:tcBorders>
              <w:left w:val="single" w:sz="8" w:color="auto"/>
              <w:bottom w:val="single" w:sz="8" w:color="auto"/>
            </w:tcBorders>
          </w:tcPr>
          <w:p>
            <w:pPr>
              <w:spacing w:after="0"/>
              <w:rPr>
                <w:sz w:val="24"/>
                <w:szCs w:val="24"/>
                <w:color w:val="auto"/>
              </w:rPr>
            </w:pPr>
          </w:p>
        </w:tc>
        <w:tc>
          <w:tcPr>
            <w:tcW w:w="1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Percentile Rank</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880" w:type="dxa"/>
            <w:vAlign w:val="bottom"/>
            <w:tcBorders>
              <w:bottom w:val="single" w:sz="8" w:color="auto"/>
              <w:right w:val="single" w:sz="8" w:color="auto"/>
            </w:tcBorders>
          </w:tcPr>
          <w:p>
            <w:pPr>
              <w:jc w:val="right"/>
              <w:ind w:right="238"/>
              <w:spacing w:after="0"/>
              <w:rPr>
                <w:sz w:val="20"/>
                <w:szCs w:val="20"/>
                <w:color w:val="auto"/>
              </w:rPr>
            </w:pPr>
            <w:r>
              <w:rPr>
                <w:rFonts w:ascii="Arial" w:cs="Arial" w:eastAsia="Arial" w:hAnsi="Arial"/>
                <w:sz w:val="16"/>
                <w:szCs w:val="16"/>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2797810</wp:posOffset>
            </wp:positionH>
            <wp:positionV relativeFrom="paragraph">
              <wp:posOffset>-1628140</wp:posOffset>
            </wp:positionV>
            <wp:extent cx="431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-1628140</wp:posOffset>
            </wp:positionV>
            <wp:extent cx="254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602" w:lineRule="exact"/>
        <w:rPr>
          <w:sz w:val="20"/>
          <w:szCs w:val="20"/>
          <w:color w:val="auto"/>
        </w:rPr>
      </w:pPr>
    </w:p>
    <w:p>
      <w:pPr>
        <w:sectPr>
          <w:pgSz w:w="11900" w:h="16838" w:orient="portrait"/>
          <w:cols w:equalWidth="0" w:num="2">
            <w:col w:w="5340" w:space="280"/>
            <w:col w:w="5400"/>
          </w:cols>
          <w:pgMar w:left="440" w:top="263" w:right="439" w:bottom="1440" w:gutter="0" w:footer="0" w:header="0"/>
          <w:type w:val="continuous"/>
        </w:sectPr>
      </w:pPr>
    </w:p>
    <w:p>
      <w:pPr>
        <w:jc w:val="both"/>
        <w:ind w:left="920" w:right="1160"/>
        <w:spacing w:after="0" w:line="241" w:lineRule="auto"/>
        <w:rPr>
          <w:sz w:val="20"/>
          <w:szCs w:val="20"/>
          <w:color w:val="auto"/>
        </w:rPr>
      </w:pPr>
      <w:r>
        <w:rPr>
          <w:rFonts w:ascii="Arial" w:cs="Arial" w:eastAsia="Arial" w:hAnsi="Arial"/>
          <w:sz w:val="18"/>
          <w:szCs w:val="18"/>
          <w:color w:val="auto"/>
        </w:rPr>
        <w:t>For each of the Peer Companies, data regarding base salaries, annual incentives, and long-term incentives was obtained from their annual proxy statements. This data was supplemented with survey data prepared by Radford Survey &amp; Consulting (Radford Survey), which provides compensation market information on more than</w:t>
      </w:r>
    </w:p>
    <w:p>
      <w:pPr>
        <w:spacing w:after="0" w:line="2" w:lineRule="exact"/>
        <w:rPr>
          <w:sz w:val="20"/>
          <w:szCs w:val="20"/>
          <w:color w:val="auto"/>
        </w:rPr>
      </w:pPr>
    </w:p>
    <w:p>
      <w:pPr>
        <w:ind w:left="920" w:right="1120"/>
        <w:spacing w:after="0" w:line="250" w:lineRule="auto"/>
        <w:rPr>
          <w:sz w:val="20"/>
          <w:szCs w:val="20"/>
          <w:color w:val="auto"/>
        </w:rPr>
      </w:pPr>
      <w:r>
        <w:rPr>
          <w:rFonts w:ascii="Arial" w:cs="Arial" w:eastAsia="Arial" w:hAnsi="Arial"/>
          <w:sz w:val="18"/>
          <w:szCs w:val="18"/>
          <w:color w:val="auto"/>
        </w:rPr>
        <w:t>700 technology companies, aggregated, and presented anonymously. The Radford Survey data was narrowed to those technology companies with revenues between $1 billion and $3 billion, similar to Itron.</w:t>
      </w:r>
    </w:p>
    <w:p>
      <w:pPr>
        <w:spacing w:after="0" w:line="131" w:lineRule="exact"/>
        <w:rPr>
          <w:sz w:val="20"/>
          <w:szCs w:val="20"/>
          <w:color w:val="auto"/>
        </w:rPr>
      </w:pPr>
    </w:p>
    <w:p>
      <w:pPr>
        <w:ind w:left="920" w:right="1140"/>
        <w:spacing w:after="0"/>
        <w:rPr>
          <w:sz w:val="20"/>
          <w:szCs w:val="20"/>
          <w:color w:val="auto"/>
        </w:rPr>
      </w:pPr>
      <w:r>
        <w:rPr>
          <w:rFonts w:ascii="Arial" w:cs="Arial" w:eastAsia="Arial" w:hAnsi="Arial"/>
          <w:sz w:val="18"/>
          <w:szCs w:val="18"/>
          <w:color w:val="auto"/>
        </w:rPr>
        <w:t>With the support of F.W. Cook, the Committee evaluates this data for informational purposes when establishing a range of competitive compensation for our NEOs. For each NEO, the Committee determines the salary range, annual incentive target, and long-term incentive taking into consideration market data for the position being evaluated. However, market data is not the sole determinant of the Company’s practices or executive compensation levels. The Committee also considers the experience, performance, responsibilities, and contributions to the Company by each NEO when making its decisions. For the CEO, the Committee makes a recommendation to the full Board, and the independent members of the Board review and approve the CEO’s compensation.</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The 2022 Executive Compensation Program in Detail</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Base Salary</w:t>
      </w:r>
    </w:p>
    <w:p>
      <w:pPr>
        <w:spacing w:after="0" w:line="171" w:lineRule="exact"/>
        <w:rPr>
          <w:sz w:val="20"/>
          <w:szCs w:val="20"/>
          <w:color w:val="auto"/>
        </w:rPr>
      </w:pPr>
    </w:p>
    <w:p>
      <w:pPr>
        <w:ind w:left="920" w:right="960"/>
        <w:spacing w:after="0" w:line="238" w:lineRule="auto"/>
        <w:rPr>
          <w:sz w:val="20"/>
          <w:szCs w:val="20"/>
          <w:color w:val="auto"/>
        </w:rPr>
      </w:pPr>
      <w:r>
        <w:rPr>
          <w:rFonts w:ascii="Arial" w:cs="Arial" w:eastAsia="Arial" w:hAnsi="Arial"/>
          <w:sz w:val="18"/>
          <w:szCs w:val="18"/>
          <w:color w:val="auto"/>
        </w:rPr>
        <w:t>Base salary represents annual fixed compensation and is a standard element of compensation necessary to attract and retain executive leadership talent. In making base salary decisions, the Committee considers the CEO’s recommendations for NEO compensation (other than the CEO), as well as each NEO’s position and level of responsibility within the Company. The Committee considers factors such as relevant market data as well as individual performance and contributions. After its annual review, the Committee determined to increase</w:t>
      </w:r>
    </w:p>
    <w:p>
      <w:pPr>
        <w:spacing w:after="0" w:line="4" w:lineRule="exact"/>
        <w:rPr>
          <w:sz w:val="20"/>
          <w:szCs w:val="20"/>
          <w:color w:val="auto"/>
        </w:rPr>
      </w:pPr>
    </w:p>
    <w:p>
      <w:pPr>
        <w:jc w:val="both"/>
        <w:ind w:left="920" w:right="1360"/>
        <w:spacing w:after="0" w:line="242" w:lineRule="auto"/>
        <w:rPr>
          <w:sz w:val="20"/>
          <w:szCs w:val="20"/>
          <w:color w:val="auto"/>
        </w:rPr>
      </w:pPr>
      <w:r>
        <w:rPr>
          <w:rFonts w:ascii="Arial" w:cs="Arial" w:eastAsia="Arial" w:hAnsi="Arial"/>
          <w:sz w:val="18"/>
          <w:szCs w:val="18"/>
          <w:color w:val="auto"/>
        </w:rPr>
        <w:t>Mr. Deitrich’s and Ms. Hooper’s base salaries to better align their pay with the market, and for Mr. Marcolini to improve his competitive pay positioning relative to the market based on his expanded role. Annual base salary rates for 2022 were as follows:</w:t>
      </w:r>
    </w:p>
    <w:p>
      <w:pPr>
        <w:spacing w:after="0" w:line="94" w:lineRule="exact"/>
        <w:rPr>
          <w:sz w:val="20"/>
          <w:szCs w:val="20"/>
          <w:color w:val="auto"/>
        </w:rPr>
      </w:pPr>
    </w:p>
    <w:tbl>
      <w:tblPr>
        <w:tblLayout w:type="fixed"/>
        <w:tblInd w:w="92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5180" w:type="dxa"/>
            <w:vAlign w:val="bottom"/>
            <w:gridSpan w:val="2"/>
          </w:tcPr>
          <w:p>
            <w:pPr>
              <w:ind w:left="40"/>
              <w:spacing w:after="0"/>
              <w:rPr>
                <w:sz w:val="20"/>
                <w:szCs w:val="20"/>
                <w:color w:val="auto"/>
              </w:rPr>
            </w:pPr>
            <w:r>
              <w:rPr>
                <w:rFonts w:ascii="Arial" w:cs="Arial" w:eastAsia="Arial" w:hAnsi="Arial"/>
                <w:sz w:val="14"/>
                <w:szCs w:val="14"/>
                <w:b w:val="1"/>
                <w:bCs w:val="1"/>
                <w:color w:val="auto"/>
              </w:rPr>
              <w:t>NEO</w:t>
            </w:r>
          </w:p>
        </w:tc>
        <w:tc>
          <w:tcPr>
            <w:tcW w:w="1300" w:type="dxa"/>
            <w:vAlign w:val="bottom"/>
            <w:gridSpan w:val="2"/>
          </w:tcPr>
          <w:p>
            <w:pPr>
              <w:jc w:val="center"/>
              <w:ind w:left="453"/>
              <w:spacing w:after="0"/>
              <w:rPr>
                <w:sz w:val="20"/>
                <w:szCs w:val="20"/>
                <w:color w:val="auto"/>
              </w:rPr>
            </w:pPr>
            <w:r>
              <w:rPr>
                <w:rFonts w:ascii="Arial" w:cs="Arial" w:eastAsia="Arial" w:hAnsi="Arial"/>
                <w:sz w:val="14"/>
                <w:szCs w:val="14"/>
                <w:b w:val="1"/>
                <w:bCs w:val="1"/>
                <w:color w:val="auto"/>
              </w:rPr>
              <w:t>2021</w:t>
            </w:r>
          </w:p>
        </w:tc>
        <w:tc>
          <w:tcPr>
            <w:tcW w:w="1300" w:type="dxa"/>
            <w:vAlign w:val="bottom"/>
            <w:gridSpan w:val="2"/>
          </w:tcPr>
          <w:p>
            <w:pPr>
              <w:jc w:val="center"/>
              <w:ind w:left="453"/>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 Increase</w:t>
            </w:r>
          </w:p>
        </w:tc>
      </w:tr>
      <w:tr>
        <w:trPr>
          <w:trHeight w:val="56"/>
        </w:trPr>
        <w:tc>
          <w:tcPr>
            <w:tcW w:w="40" w:type="dxa"/>
            <w:vAlign w:val="bottom"/>
            <w:tcBorders>
              <w:bottom w:val="single" w:sz="8" w:color="B2B2B2"/>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540" w:type="dxa"/>
            <w:vAlign w:val="bottom"/>
            <w:tcBorders>
              <w:bottom w:val="single" w:sz="8" w:color="B2B2B2"/>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540" w:type="dxa"/>
            <w:vAlign w:val="bottom"/>
            <w:tcBorders>
              <w:bottom w:val="single" w:sz="8" w:color="B2B2B2"/>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540" w:type="dxa"/>
            <w:vAlign w:val="bottom"/>
            <w:tcBorders>
              <w:bottom w:val="single" w:sz="8" w:color="B2B2B2"/>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B2B2B2"/>
            </w:tcBorders>
          </w:tcPr>
          <w:p>
            <w:pPr>
              <w:spacing w:after="0"/>
              <w:rPr>
                <w:sz w:val="4"/>
                <w:szCs w:val="4"/>
                <w:color w:val="auto"/>
              </w:rPr>
            </w:pPr>
          </w:p>
        </w:tc>
      </w:tr>
      <w:tr>
        <w:trPr>
          <w:trHeight w:val="294"/>
        </w:trPr>
        <w:tc>
          <w:tcPr>
            <w:tcW w:w="40" w:type="dxa"/>
            <w:vAlign w:val="bottom"/>
            <w:shd w:val="clear" w:color="auto" w:fill="B2B2B2"/>
          </w:tcPr>
          <w:p>
            <w:pPr>
              <w:spacing w:after="0"/>
              <w:rPr>
                <w:sz w:val="24"/>
                <w:szCs w:val="24"/>
                <w:color w:val="auto"/>
              </w:rPr>
            </w:pPr>
          </w:p>
        </w:tc>
        <w:tc>
          <w:tcPr>
            <w:tcW w:w="5180" w:type="dxa"/>
            <w:vAlign w:val="bottom"/>
            <w:gridSpan w:val="2"/>
            <w:shd w:val="clear" w:color="auto" w:fill="B2B2B2"/>
          </w:tcPr>
          <w:p>
            <w:pPr>
              <w:ind w:left="40"/>
              <w:spacing w:after="0"/>
              <w:rPr>
                <w:sz w:val="20"/>
                <w:szCs w:val="20"/>
                <w:color w:val="auto"/>
              </w:rPr>
            </w:pPr>
            <w:r>
              <w:rPr>
                <w:rFonts w:ascii="Arial" w:cs="Arial" w:eastAsia="Arial" w:hAnsi="Arial"/>
                <w:sz w:val="18"/>
                <w:szCs w:val="18"/>
                <w:color w:val="auto"/>
              </w:rPr>
              <w:t>Thomas L. Deitrich</w:t>
            </w:r>
          </w:p>
        </w:tc>
        <w:tc>
          <w:tcPr>
            <w:tcW w:w="1300" w:type="dxa"/>
            <w:vAlign w:val="bottom"/>
            <w:gridSpan w:val="2"/>
            <w:shd w:val="clear" w:color="auto" w:fill="B2B2B2"/>
          </w:tcPr>
          <w:p>
            <w:pPr>
              <w:jc w:val="center"/>
              <w:ind w:left="433"/>
              <w:spacing w:after="0"/>
              <w:rPr>
                <w:sz w:val="20"/>
                <w:szCs w:val="20"/>
                <w:color w:val="auto"/>
              </w:rPr>
            </w:pPr>
            <w:r>
              <w:rPr>
                <w:rFonts w:ascii="Arial" w:cs="Arial" w:eastAsia="Arial" w:hAnsi="Arial"/>
                <w:sz w:val="18"/>
                <w:szCs w:val="18"/>
                <w:color w:val="auto"/>
                <w:w w:val="98"/>
              </w:rPr>
              <w:t>$800,000</w:t>
            </w:r>
          </w:p>
        </w:tc>
        <w:tc>
          <w:tcPr>
            <w:tcW w:w="1300" w:type="dxa"/>
            <w:vAlign w:val="bottom"/>
            <w:gridSpan w:val="2"/>
            <w:shd w:val="clear" w:color="auto" w:fill="B2B2B2"/>
          </w:tcPr>
          <w:p>
            <w:pPr>
              <w:jc w:val="center"/>
              <w:ind w:left="433"/>
              <w:spacing w:after="0"/>
              <w:rPr>
                <w:sz w:val="20"/>
                <w:szCs w:val="20"/>
                <w:color w:val="auto"/>
              </w:rPr>
            </w:pPr>
            <w:r>
              <w:rPr>
                <w:rFonts w:ascii="Arial" w:cs="Arial" w:eastAsia="Arial" w:hAnsi="Arial"/>
                <w:sz w:val="18"/>
                <w:szCs w:val="18"/>
                <w:color w:val="auto"/>
                <w:w w:val="98"/>
              </w:rPr>
              <w:t>$830,000</w:t>
            </w:r>
          </w:p>
        </w:tc>
        <w:tc>
          <w:tcPr>
            <w:tcW w:w="540" w:type="dxa"/>
            <w:vAlign w:val="bottom"/>
            <w:shd w:val="clear" w:color="auto" w:fill="B2B2B2"/>
          </w:tcPr>
          <w:p>
            <w:pPr>
              <w:spacing w:after="0"/>
              <w:rPr>
                <w:sz w:val="24"/>
                <w:szCs w:val="24"/>
                <w:color w:val="auto"/>
              </w:rPr>
            </w:pPr>
          </w:p>
        </w:tc>
        <w:tc>
          <w:tcPr>
            <w:tcW w:w="7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3.75%</w:t>
            </w:r>
          </w:p>
        </w:tc>
        <w:tc>
          <w:tcPr>
            <w:tcW w:w="60" w:type="dxa"/>
            <w:vAlign w:val="bottom"/>
            <w:shd w:val="clear" w:color="auto" w:fill="B2B2B2"/>
          </w:tcPr>
          <w:p>
            <w:pPr>
              <w:spacing w:after="0"/>
              <w:rPr>
                <w:sz w:val="24"/>
                <w:szCs w:val="24"/>
                <w:color w:val="auto"/>
              </w:rPr>
            </w:pPr>
          </w:p>
        </w:tc>
      </w:tr>
      <w:tr>
        <w:trPr>
          <w:trHeight w:val="64"/>
        </w:trPr>
        <w:tc>
          <w:tcPr>
            <w:tcW w:w="40" w:type="dxa"/>
            <w:vAlign w:val="bottom"/>
            <w:shd w:val="clear" w:color="auto" w:fill="B2B2B2"/>
          </w:tcPr>
          <w:p>
            <w:pPr>
              <w:spacing w:after="0"/>
              <w:rPr>
                <w:sz w:val="5"/>
                <w:szCs w:val="5"/>
                <w:color w:val="auto"/>
              </w:rPr>
            </w:pPr>
          </w:p>
        </w:tc>
        <w:tc>
          <w:tcPr>
            <w:tcW w:w="1240" w:type="dxa"/>
            <w:vAlign w:val="bottom"/>
            <w:shd w:val="clear" w:color="auto" w:fill="B2B2B2"/>
          </w:tcPr>
          <w:p>
            <w:pPr>
              <w:spacing w:after="0"/>
              <w:rPr>
                <w:sz w:val="5"/>
                <w:szCs w:val="5"/>
                <w:color w:val="auto"/>
              </w:rPr>
            </w:pPr>
          </w:p>
        </w:tc>
        <w:tc>
          <w:tcPr>
            <w:tcW w:w="3940" w:type="dxa"/>
            <w:vAlign w:val="bottom"/>
            <w:shd w:val="clear" w:color="auto" w:fill="B2B2B2"/>
          </w:tcPr>
          <w:p>
            <w:pPr>
              <w:spacing w:after="0"/>
              <w:rPr>
                <w:sz w:val="5"/>
                <w:szCs w:val="5"/>
                <w:color w:val="auto"/>
              </w:rPr>
            </w:pPr>
          </w:p>
        </w:tc>
        <w:tc>
          <w:tcPr>
            <w:tcW w:w="540" w:type="dxa"/>
            <w:vAlign w:val="bottom"/>
            <w:shd w:val="clear" w:color="auto" w:fill="B2B2B2"/>
          </w:tcPr>
          <w:p>
            <w:pPr>
              <w:spacing w:after="0"/>
              <w:rPr>
                <w:sz w:val="5"/>
                <w:szCs w:val="5"/>
                <w:color w:val="auto"/>
              </w:rPr>
            </w:pPr>
          </w:p>
        </w:tc>
        <w:tc>
          <w:tcPr>
            <w:tcW w:w="760" w:type="dxa"/>
            <w:vAlign w:val="bottom"/>
            <w:shd w:val="clear" w:color="auto" w:fill="B2B2B2"/>
          </w:tcPr>
          <w:p>
            <w:pPr>
              <w:spacing w:after="0"/>
              <w:rPr>
                <w:sz w:val="5"/>
                <w:szCs w:val="5"/>
                <w:color w:val="auto"/>
              </w:rPr>
            </w:pPr>
          </w:p>
        </w:tc>
        <w:tc>
          <w:tcPr>
            <w:tcW w:w="540" w:type="dxa"/>
            <w:vAlign w:val="bottom"/>
            <w:shd w:val="clear" w:color="auto" w:fill="B2B2B2"/>
          </w:tcPr>
          <w:p>
            <w:pPr>
              <w:spacing w:after="0"/>
              <w:rPr>
                <w:sz w:val="5"/>
                <w:szCs w:val="5"/>
                <w:color w:val="auto"/>
              </w:rPr>
            </w:pPr>
          </w:p>
        </w:tc>
        <w:tc>
          <w:tcPr>
            <w:tcW w:w="760" w:type="dxa"/>
            <w:vAlign w:val="bottom"/>
            <w:shd w:val="clear" w:color="auto" w:fill="B2B2B2"/>
          </w:tcPr>
          <w:p>
            <w:pPr>
              <w:spacing w:after="0"/>
              <w:rPr>
                <w:sz w:val="5"/>
                <w:szCs w:val="5"/>
                <w:color w:val="auto"/>
              </w:rPr>
            </w:pPr>
          </w:p>
        </w:tc>
        <w:tc>
          <w:tcPr>
            <w:tcW w:w="540" w:type="dxa"/>
            <w:vAlign w:val="bottom"/>
            <w:shd w:val="clear" w:color="auto" w:fill="B2B2B2"/>
          </w:tcPr>
          <w:p>
            <w:pPr>
              <w:spacing w:after="0"/>
              <w:rPr>
                <w:sz w:val="5"/>
                <w:szCs w:val="5"/>
                <w:color w:val="auto"/>
              </w:rPr>
            </w:pPr>
          </w:p>
        </w:tc>
        <w:tc>
          <w:tcPr>
            <w:tcW w:w="760" w:type="dxa"/>
            <w:vAlign w:val="bottom"/>
            <w:shd w:val="clear" w:color="auto" w:fill="B2B2B2"/>
          </w:tcPr>
          <w:p>
            <w:pPr>
              <w:spacing w:after="0"/>
              <w:rPr>
                <w:sz w:val="5"/>
                <w:szCs w:val="5"/>
                <w:color w:val="auto"/>
              </w:rPr>
            </w:pPr>
          </w:p>
        </w:tc>
        <w:tc>
          <w:tcPr>
            <w:tcW w:w="60" w:type="dxa"/>
            <w:vAlign w:val="bottom"/>
            <w:shd w:val="clear" w:color="auto" w:fill="B2B2B2"/>
          </w:tcPr>
          <w:p>
            <w:pPr>
              <w:spacing w:after="0"/>
              <w:rPr>
                <w:sz w:val="5"/>
                <w:szCs w:val="5"/>
                <w:color w:val="auto"/>
              </w:rPr>
            </w:pPr>
          </w:p>
        </w:tc>
      </w:tr>
      <w:tr>
        <w:trPr>
          <w:trHeight w:val="301"/>
        </w:trPr>
        <w:tc>
          <w:tcPr>
            <w:tcW w:w="40" w:type="dxa"/>
            <w:vAlign w:val="bottom"/>
          </w:tcPr>
          <w:p>
            <w:pPr>
              <w:spacing w:after="0"/>
              <w:rPr>
                <w:sz w:val="24"/>
                <w:szCs w:val="24"/>
                <w:color w:val="auto"/>
              </w:rPr>
            </w:pPr>
          </w:p>
        </w:tc>
        <w:tc>
          <w:tcPr>
            <w:tcW w:w="5180" w:type="dxa"/>
            <w:vAlign w:val="bottom"/>
            <w:gridSpan w:val="2"/>
          </w:tcPr>
          <w:p>
            <w:pPr>
              <w:ind w:left="40"/>
              <w:spacing w:after="0"/>
              <w:rPr>
                <w:sz w:val="20"/>
                <w:szCs w:val="20"/>
                <w:color w:val="auto"/>
              </w:rPr>
            </w:pPr>
            <w:r>
              <w:rPr>
                <w:rFonts w:ascii="Arial" w:cs="Arial" w:eastAsia="Arial" w:hAnsi="Arial"/>
                <w:sz w:val="18"/>
                <w:szCs w:val="18"/>
                <w:color w:val="auto"/>
              </w:rPr>
              <w:t>Joan S. Hooper</w:t>
            </w:r>
          </w:p>
        </w:tc>
        <w:tc>
          <w:tcPr>
            <w:tcW w:w="1300" w:type="dxa"/>
            <w:vAlign w:val="bottom"/>
            <w:gridSpan w:val="2"/>
          </w:tcPr>
          <w:p>
            <w:pPr>
              <w:jc w:val="center"/>
              <w:ind w:left="433"/>
              <w:spacing w:after="0"/>
              <w:rPr>
                <w:sz w:val="20"/>
                <w:szCs w:val="20"/>
                <w:color w:val="auto"/>
              </w:rPr>
            </w:pPr>
            <w:r>
              <w:rPr>
                <w:rFonts w:ascii="Arial" w:cs="Arial" w:eastAsia="Arial" w:hAnsi="Arial"/>
                <w:sz w:val="18"/>
                <w:szCs w:val="18"/>
                <w:color w:val="auto"/>
                <w:w w:val="98"/>
              </w:rPr>
              <w:t>$520,000</w:t>
            </w:r>
          </w:p>
        </w:tc>
        <w:tc>
          <w:tcPr>
            <w:tcW w:w="1300" w:type="dxa"/>
            <w:vAlign w:val="bottom"/>
            <w:gridSpan w:val="2"/>
          </w:tcPr>
          <w:p>
            <w:pPr>
              <w:jc w:val="center"/>
              <w:ind w:left="433"/>
              <w:spacing w:after="0"/>
              <w:rPr>
                <w:sz w:val="20"/>
                <w:szCs w:val="20"/>
                <w:color w:val="auto"/>
              </w:rPr>
            </w:pPr>
            <w:r>
              <w:rPr>
                <w:rFonts w:ascii="Arial" w:cs="Arial" w:eastAsia="Arial" w:hAnsi="Arial"/>
                <w:sz w:val="18"/>
                <w:szCs w:val="18"/>
                <w:color w:val="auto"/>
                <w:w w:val="98"/>
              </w:rPr>
              <w:t>$530,000</w:t>
            </w:r>
          </w:p>
        </w:tc>
        <w:tc>
          <w:tcPr>
            <w:tcW w:w="5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w:t>
            </w:r>
          </w:p>
        </w:tc>
        <w:tc>
          <w:tcPr>
            <w:tcW w:w="60" w:type="dxa"/>
            <w:vAlign w:val="bottom"/>
          </w:tcPr>
          <w:p>
            <w:pPr>
              <w:spacing w:after="0"/>
              <w:rPr>
                <w:sz w:val="24"/>
                <w:szCs w:val="24"/>
                <w:color w:val="auto"/>
              </w:rPr>
            </w:pPr>
          </w:p>
        </w:tc>
      </w:tr>
      <w:tr>
        <w:trPr>
          <w:trHeight w:val="64"/>
        </w:trPr>
        <w:tc>
          <w:tcPr>
            <w:tcW w:w="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9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301"/>
        </w:trPr>
        <w:tc>
          <w:tcPr>
            <w:tcW w:w="40" w:type="dxa"/>
            <w:vAlign w:val="bottom"/>
            <w:shd w:val="clear" w:color="auto" w:fill="B2B2B2"/>
          </w:tcPr>
          <w:p>
            <w:pPr>
              <w:spacing w:after="0"/>
              <w:rPr>
                <w:sz w:val="24"/>
                <w:szCs w:val="24"/>
                <w:color w:val="auto"/>
              </w:rPr>
            </w:pPr>
          </w:p>
        </w:tc>
        <w:tc>
          <w:tcPr>
            <w:tcW w:w="5180" w:type="dxa"/>
            <w:vAlign w:val="bottom"/>
            <w:gridSpan w:val="2"/>
            <w:shd w:val="clear" w:color="auto" w:fill="B2B2B2"/>
          </w:tcPr>
          <w:p>
            <w:pPr>
              <w:ind w:left="40"/>
              <w:spacing w:after="0"/>
              <w:rPr>
                <w:sz w:val="20"/>
                <w:szCs w:val="20"/>
                <w:color w:val="auto"/>
              </w:rPr>
            </w:pPr>
            <w:r>
              <w:rPr>
                <w:rFonts w:ascii="Arial" w:cs="Arial" w:eastAsia="Arial" w:hAnsi="Arial"/>
                <w:sz w:val="18"/>
                <w:szCs w:val="18"/>
                <w:color w:val="auto"/>
              </w:rPr>
              <w:t>Michel C. Cadieux</w:t>
            </w:r>
          </w:p>
        </w:tc>
        <w:tc>
          <w:tcPr>
            <w:tcW w:w="1300" w:type="dxa"/>
            <w:vAlign w:val="bottom"/>
            <w:gridSpan w:val="2"/>
            <w:shd w:val="clear" w:color="auto" w:fill="B2B2B2"/>
          </w:tcPr>
          <w:p>
            <w:pPr>
              <w:jc w:val="center"/>
              <w:ind w:left="433"/>
              <w:spacing w:after="0"/>
              <w:rPr>
                <w:sz w:val="20"/>
                <w:szCs w:val="20"/>
                <w:color w:val="auto"/>
              </w:rPr>
            </w:pPr>
            <w:r>
              <w:rPr>
                <w:rFonts w:ascii="Arial" w:cs="Arial" w:eastAsia="Arial" w:hAnsi="Arial"/>
                <w:sz w:val="18"/>
                <w:szCs w:val="18"/>
                <w:color w:val="auto"/>
                <w:w w:val="98"/>
              </w:rPr>
              <w:t>$410,000</w:t>
            </w:r>
          </w:p>
        </w:tc>
        <w:tc>
          <w:tcPr>
            <w:tcW w:w="1300" w:type="dxa"/>
            <w:vAlign w:val="bottom"/>
            <w:gridSpan w:val="2"/>
            <w:shd w:val="clear" w:color="auto" w:fill="B2B2B2"/>
          </w:tcPr>
          <w:p>
            <w:pPr>
              <w:jc w:val="center"/>
              <w:ind w:left="433"/>
              <w:spacing w:after="0"/>
              <w:rPr>
                <w:sz w:val="20"/>
                <w:szCs w:val="20"/>
                <w:color w:val="auto"/>
              </w:rPr>
            </w:pPr>
            <w:r>
              <w:rPr>
                <w:rFonts w:ascii="Arial" w:cs="Arial" w:eastAsia="Arial" w:hAnsi="Arial"/>
                <w:sz w:val="18"/>
                <w:szCs w:val="18"/>
                <w:color w:val="auto"/>
                <w:w w:val="98"/>
              </w:rPr>
              <w:t>$410,000</w:t>
            </w:r>
          </w:p>
        </w:tc>
        <w:tc>
          <w:tcPr>
            <w:tcW w:w="540" w:type="dxa"/>
            <w:vAlign w:val="bottom"/>
            <w:shd w:val="clear" w:color="auto" w:fill="B2B2B2"/>
          </w:tcPr>
          <w:p>
            <w:pPr>
              <w:spacing w:after="0"/>
              <w:rPr>
                <w:sz w:val="24"/>
                <w:szCs w:val="24"/>
                <w:color w:val="auto"/>
              </w:rPr>
            </w:pPr>
          </w:p>
        </w:tc>
        <w:tc>
          <w:tcPr>
            <w:tcW w:w="7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B2B2B2"/>
          </w:tcPr>
          <w:p>
            <w:pPr>
              <w:spacing w:after="0"/>
              <w:rPr>
                <w:sz w:val="24"/>
                <w:szCs w:val="24"/>
                <w:color w:val="auto"/>
              </w:rPr>
            </w:pPr>
          </w:p>
        </w:tc>
      </w:tr>
      <w:tr>
        <w:trPr>
          <w:trHeight w:val="64"/>
        </w:trPr>
        <w:tc>
          <w:tcPr>
            <w:tcW w:w="40" w:type="dxa"/>
            <w:vAlign w:val="bottom"/>
            <w:shd w:val="clear" w:color="auto" w:fill="B2B2B2"/>
          </w:tcPr>
          <w:p>
            <w:pPr>
              <w:spacing w:after="0"/>
              <w:rPr>
                <w:sz w:val="5"/>
                <w:szCs w:val="5"/>
                <w:color w:val="auto"/>
              </w:rPr>
            </w:pPr>
          </w:p>
        </w:tc>
        <w:tc>
          <w:tcPr>
            <w:tcW w:w="1240" w:type="dxa"/>
            <w:vAlign w:val="bottom"/>
            <w:shd w:val="clear" w:color="auto" w:fill="B2B2B2"/>
          </w:tcPr>
          <w:p>
            <w:pPr>
              <w:spacing w:after="0"/>
              <w:rPr>
                <w:sz w:val="5"/>
                <w:szCs w:val="5"/>
                <w:color w:val="auto"/>
              </w:rPr>
            </w:pPr>
          </w:p>
        </w:tc>
        <w:tc>
          <w:tcPr>
            <w:tcW w:w="3940" w:type="dxa"/>
            <w:vAlign w:val="bottom"/>
            <w:shd w:val="clear" w:color="auto" w:fill="B2B2B2"/>
          </w:tcPr>
          <w:p>
            <w:pPr>
              <w:spacing w:after="0"/>
              <w:rPr>
                <w:sz w:val="5"/>
                <w:szCs w:val="5"/>
                <w:color w:val="auto"/>
              </w:rPr>
            </w:pPr>
          </w:p>
        </w:tc>
        <w:tc>
          <w:tcPr>
            <w:tcW w:w="540" w:type="dxa"/>
            <w:vAlign w:val="bottom"/>
            <w:shd w:val="clear" w:color="auto" w:fill="B2B2B2"/>
          </w:tcPr>
          <w:p>
            <w:pPr>
              <w:spacing w:after="0"/>
              <w:rPr>
                <w:sz w:val="5"/>
                <w:szCs w:val="5"/>
                <w:color w:val="auto"/>
              </w:rPr>
            </w:pPr>
          </w:p>
        </w:tc>
        <w:tc>
          <w:tcPr>
            <w:tcW w:w="760" w:type="dxa"/>
            <w:vAlign w:val="bottom"/>
            <w:shd w:val="clear" w:color="auto" w:fill="B2B2B2"/>
          </w:tcPr>
          <w:p>
            <w:pPr>
              <w:spacing w:after="0"/>
              <w:rPr>
                <w:sz w:val="5"/>
                <w:szCs w:val="5"/>
                <w:color w:val="auto"/>
              </w:rPr>
            </w:pPr>
          </w:p>
        </w:tc>
        <w:tc>
          <w:tcPr>
            <w:tcW w:w="540" w:type="dxa"/>
            <w:vAlign w:val="bottom"/>
            <w:shd w:val="clear" w:color="auto" w:fill="B2B2B2"/>
          </w:tcPr>
          <w:p>
            <w:pPr>
              <w:spacing w:after="0"/>
              <w:rPr>
                <w:sz w:val="5"/>
                <w:szCs w:val="5"/>
                <w:color w:val="auto"/>
              </w:rPr>
            </w:pPr>
          </w:p>
        </w:tc>
        <w:tc>
          <w:tcPr>
            <w:tcW w:w="760" w:type="dxa"/>
            <w:vAlign w:val="bottom"/>
            <w:shd w:val="clear" w:color="auto" w:fill="B2B2B2"/>
          </w:tcPr>
          <w:p>
            <w:pPr>
              <w:spacing w:after="0"/>
              <w:rPr>
                <w:sz w:val="5"/>
                <w:szCs w:val="5"/>
                <w:color w:val="auto"/>
              </w:rPr>
            </w:pPr>
          </w:p>
        </w:tc>
        <w:tc>
          <w:tcPr>
            <w:tcW w:w="540" w:type="dxa"/>
            <w:vAlign w:val="bottom"/>
            <w:shd w:val="clear" w:color="auto" w:fill="B2B2B2"/>
          </w:tcPr>
          <w:p>
            <w:pPr>
              <w:spacing w:after="0"/>
              <w:rPr>
                <w:sz w:val="5"/>
                <w:szCs w:val="5"/>
                <w:color w:val="auto"/>
              </w:rPr>
            </w:pPr>
          </w:p>
        </w:tc>
        <w:tc>
          <w:tcPr>
            <w:tcW w:w="760" w:type="dxa"/>
            <w:vAlign w:val="bottom"/>
            <w:shd w:val="clear" w:color="auto" w:fill="B2B2B2"/>
          </w:tcPr>
          <w:p>
            <w:pPr>
              <w:spacing w:after="0"/>
              <w:rPr>
                <w:sz w:val="5"/>
                <w:szCs w:val="5"/>
                <w:color w:val="auto"/>
              </w:rPr>
            </w:pPr>
          </w:p>
        </w:tc>
        <w:tc>
          <w:tcPr>
            <w:tcW w:w="60" w:type="dxa"/>
            <w:vAlign w:val="bottom"/>
            <w:shd w:val="clear" w:color="auto" w:fill="B2B2B2"/>
          </w:tcPr>
          <w:p>
            <w:pPr>
              <w:spacing w:after="0"/>
              <w:rPr>
                <w:sz w:val="5"/>
                <w:szCs w:val="5"/>
                <w:color w:val="auto"/>
              </w:rPr>
            </w:pPr>
          </w:p>
        </w:tc>
      </w:tr>
      <w:tr>
        <w:trPr>
          <w:trHeight w:val="301"/>
        </w:trPr>
        <w:tc>
          <w:tcPr>
            <w:tcW w:w="40" w:type="dxa"/>
            <w:vAlign w:val="bottom"/>
          </w:tcPr>
          <w:p>
            <w:pPr>
              <w:spacing w:after="0"/>
              <w:rPr>
                <w:sz w:val="24"/>
                <w:szCs w:val="24"/>
                <w:color w:val="auto"/>
              </w:rPr>
            </w:pPr>
          </w:p>
        </w:tc>
        <w:tc>
          <w:tcPr>
            <w:tcW w:w="5180" w:type="dxa"/>
            <w:vAlign w:val="bottom"/>
            <w:gridSpan w:val="2"/>
          </w:tcPr>
          <w:p>
            <w:pPr>
              <w:ind w:left="40"/>
              <w:spacing w:after="0"/>
              <w:rPr>
                <w:sz w:val="20"/>
                <w:szCs w:val="20"/>
                <w:color w:val="auto"/>
              </w:rPr>
            </w:pPr>
            <w:r>
              <w:rPr>
                <w:rFonts w:ascii="Arial" w:cs="Arial" w:eastAsia="Arial" w:hAnsi="Arial"/>
                <w:sz w:val="18"/>
                <w:szCs w:val="18"/>
                <w:color w:val="auto"/>
              </w:rPr>
              <w:t>Donald L. Reeves</w:t>
            </w:r>
          </w:p>
        </w:tc>
        <w:tc>
          <w:tcPr>
            <w:tcW w:w="1300" w:type="dxa"/>
            <w:vAlign w:val="bottom"/>
            <w:gridSpan w:val="2"/>
          </w:tcPr>
          <w:p>
            <w:pPr>
              <w:jc w:val="center"/>
              <w:ind w:left="433"/>
              <w:spacing w:after="0"/>
              <w:rPr>
                <w:sz w:val="20"/>
                <w:szCs w:val="20"/>
                <w:color w:val="auto"/>
              </w:rPr>
            </w:pPr>
            <w:r>
              <w:rPr>
                <w:rFonts w:ascii="Arial" w:cs="Arial" w:eastAsia="Arial" w:hAnsi="Arial"/>
                <w:sz w:val="18"/>
                <w:szCs w:val="18"/>
                <w:color w:val="auto"/>
                <w:w w:val="98"/>
              </w:rPr>
              <w:t>$425,000</w:t>
            </w:r>
          </w:p>
        </w:tc>
        <w:tc>
          <w:tcPr>
            <w:tcW w:w="1300" w:type="dxa"/>
            <w:vAlign w:val="bottom"/>
            <w:gridSpan w:val="2"/>
          </w:tcPr>
          <w:p>
            <w:pPr>
              <w:jc w:val="center"/>
              <w:ind w:left="433"/>
              <w:spacing w:after="0"/>
              <w:rPr>
                <w:sz w:val="20"/>
                <w:szCs w:val="20"/>
                <w:color w:val="auto"/>
              </w:rPr>
            </w:pPr>
            <w:r>
              <w:rPr>
                <w:rFonts w:ascii="Arial" w:cs="Arial" w:eastAsia="Arial" w:hAnsi="Arial"/>
                <w:sz w:val="18"/>
                <w:szCs w:val="18"/>
                <w:color w:val="auto"/>
                <w:w w:val="98"/>
              </w:rPr>
              <w:t>$425,000</w:t>
            </w:r>
          </w:p>
        </w:tc>
        <w:tc>
          <w:tcPr>
            <w:tcW w:w="5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0 %</w:t>
            </w:r>
          </w:p>
        </w:tc>
        <w:tc>
          <w:tcPr>
            <w:tcW w:w="60" w:type="dxa"/>
            <w:vAlign w:val="bottom"/>
          </w:tcPr>
          <w:p>
            <w:pPr>
              <w:spacing w:after="0"/>
              <w:rPr>
                <w:sz w:val="24"/>
                <w:szCs w:val="24"/>
                <w:color w:val="auto"/>
              </w:rPr>
            </w:pPr>
          </w:p>
        </w:tc>
      </w:tr>
      <w:tr>
        <w:trPr>
          <w:trHeight w:val="63"/>
        </w:trPr>
        <w:tc>
          <w:tcPr>
            <w:tcW w:w="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9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311"/>
        </w:trPr>
        <w:tc>
          <w:tcPr>
            <w:tcW w:w="40" w:type="dxa"/>
            <w:vAlign w:val="bottom"/>
            <w:shd w:val="clear" w:color="auto" w:fill="B2B2B2"/>
          </w:tcPr>
          <w:p>
            <w:pPr>
              <w:spacing w:after="0"/>
              <w:rPr>
                <w:sz w:val="24"/>
                <w:szCs w:val="24"/>
                <w:color w:val="auto"/>
              </w:rPr>
            </w:pPr>
          </w:p>
        </w:tc>
        <w:tc>
          <w:tcPr>
            <w:tcW w:w="5180" w:type="dxa"/>
            <w:vAlign w:val="bottom"/>
            <w:gridSpan w:val="2"/>
            <w:shd w:val="clear" w:color="auto" w:fill="B2B2B2"/>
          </w:tcPr>
          <w:p>
            <w:pPr>
              <w:ind w:left="40"/>
              <w:spacing w:after="0"/>
              <w:rPr>
                <w:sz w:val="20"/>
                <w:szCs w:val="20"/>
                <w:color w:val="auto"/>
              </w:rPr>
            </w:pPr>
            <w:r>
              <w:rPr>
                <w:rFonts w:ascii="Arial" w:cs="Arial" w:eastAsia="Arial" w:hAnsi="Arial"/>
                <w:sz w:val="18"/>
                <w:szCs w:val="18"/>
                <w:color w:val="auto"/>
              </w:rPr>
              <w:t>John F. Marcolini*</w:t>
            </w:r>
          </w:p>
        </w:tc>
        <w:tc>
          <w:tcPr>
            <w:tcW w:w="1300" w:type="dxa"/>
            <w:vAlign w:val="bottom"/>
            <w:gridSpan w:val="2"/>
            <w:shd w:val="clear" w:color="auto" w:fill="B2B2B2"/>
          </w:tcPr>
          <w:p>
            <w:pPr>
              <w:jc w:val="center"/>
              <w:ind w:left="433"/>
              <w:spacing w:after="0"/>
              <w:rPr>
                <w:sz w:val="20"/>
                <w:szCs w:val="20"/>
                <w:color w:val="auto"/>
              </w:rPr>
            </w:pPr>
            <w:r>
              <w:rPr>
                <w:rFonts w:ascii="Arial" w:cs="Arial" w:eastAsia="Arial" w:hAnsi="Arial"/>
                <w:sz w:val="18"/>
                <w:szCs w:val="18"/>
                <w:color w:val="auto"/>
                <w:w w:val="98"/>
              </w:rPr>
              <w:t>$360,000</w:t>
            </w:r>
          </w:p>
        </w:tc>
        <w:tc>
          <w:tcPr>
            <w:tcW w:w="1300" w:type="dxa"/>
            <w:vAlign w:val="bottom"/>
            <w:gridSpan w:val="2"/>
            <w:shd w:val="clear" w:color="auto" w:fill="B2B2B2"/>
          </w:tcPr>
          <w:p>
            <w:pPr>
              <w:jc w:val="center"/>
              <w:ind w:left="433"/>
              <w:spacing w:after="0"/>
              <w:rPr>
                <w:sz w:val="20"/>
                <w:szCs w:val="20"/>
                <w:color w:val="auto"/>
              </w:rPr>
            </w:pPr>
            <w:r>
              <w:rPr>
                <w:rFonts w:ascii="Arial" w:cs="Arial" w:eastAsia="Arial" w:hAnsi="Arial"/>
                <w:sz w:val="18"/>
                <w:szCs w:val="18"/>
                <w:color w:val="auto"/>
                <w:w w:val="98"/>
              </w:rPr>
              <w:t>$385,000</w:t>
            </w:r>
          </w:p>
        </w:tc>
        <w:tc>
          <w:tcPr>
            <w:tcW w:w="540" w:type="dxa"/>
            <w:vAlign w:val="bottom"/>
            <w:shd w:val="clear" w:color="auto" w:fill="B2B2B2"/>
          </w:tcPr>
          <w:p>
            <w:pPr>
              <w:spacing w:after="0"/>
              <w:rPr>
                <w:sz w:val="24"/>
                <w:szCs w:val="24"/>
                <w:color w:val="auto"/>
              </w:rPr>
            </w:pPr>
          </w:p>
        </w:tc>
        <w:tc>
          <w:tcPr>
            <w:tcW w:w="7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6.94%</w:t>
            </w:r>
          </w:p>
        </w:tc>
        <w:tc>
          <w:tcPr>
            <w:tcW w:w="60" w:type="dxa"/>
            <w:vAlign w:val="bottom"/>
            <w:shd w:val="clear" w:color="auto" w:fill="B2B2B2"/>
          </w:tcPr>
          <w:p>
            <w:pPr>
              <w:spacing w:after="0"/>
              <w:rPr>
                <w:sz w:val="24"/>
                <w:szCs w:val="24"/>
                <w:color w:val="auto"/>
              </w:rPr>
            </w:pPr>
          </w:p>
        </w:tc>
      </w:tr>
      <w:tr>
        <w:trPr>
          <w:trHeight w:val="189"/>
        </w:trPr>
        <w:tc>
          <w:tcPr>
            <w:tcW w:w="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6375400</wp:posOffset>
            </wp:positionH>
            <wp:positionV relativeFrom="paragraph">
              <wp:posOffset>-1259205</wp:posOffset>
            </wp:positionV>
            <wp:extent cx="342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5543550</wp:posOffset>
            </wp:positionH>
            <wp:positionV relativeFrom="paragraph">
              <wp:posOffset>-1259205</wp:posOffset>
            </wp:positionV>
            <wp:extent cx="3429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-1259205</wp:posOffset>
            </wp:positionV>
            <wp:extent cx="3429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3897630</wp:posOffset>
            </wp:positionH>
            <wp:positionV relativeFrom="paragraph">
              <wp:posOffset>-1259205</wp:posOffset>
            </wp:positionV>
            <wp:extent cx="3429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-1259205</wp:posOffset>
            </wp:positionV>
            <wp:extent cx="342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9" w:lineRule="exact"/>
        <w:rPr>
          <w:sz w:val="20"/>
          <w:szCs w:val="20"/>
          <w:color w:val="auto"/>
        </w:rPr>
      </w:pPr>
    </w:p>
    <w:p>
      <w:pPr>
        <w:ind w:left="1260" w:hanging="346"/>
        <w:spacing w:after="0"/>
        <w:tabs>
          <w:tab w:leader="none" w:pos="1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Mr. Marcolini was not a NEO during 2021.</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-31-</w:t>
            </w:r>
          </w:p>
        </w:tc>
      </w:tr>
      <w:tr>
        <w:trPr>
          <w:trHeight w:val="233"/>
        </w:trPr>
        <w:tc>
          <w:tcPr>
            <w:tcW w:w="3160" w:type="dxa"/>
            <w:vAlign w:val="bottom"/>
            <w:tcBorders>
              <w:bottom w:val="single" w:sz="8" w:color="auto"/>
            </w:tcBorders>
          </w:tcPr>
          <w:p>
            <w:pPr>
              <w:spacing w:after="0"/>
              <w:rPr>
                <w:sz w:val="20"/>
                <w:szCs w:val="20"/>
                <w:color w:val="auto"/>
              </w:rPr>
            </w:pPr>
          </w:p>
        </w:tc>
        <w:tc>
          <w:tcPr>
            <w:tcW w:w="786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263" w:right="4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Annual Cash Incentives: The Itron Incentive Plan (IIP)</w:t>
      </w:r>
    </w:p>
    <w:p>
      <w:pPr>
        <w:spacing w:after="0" w:line="18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2022 IIP provided our NEOs the opportunity to earn a performance-based annual cash bonus. Actual bonus payouts depend on the achievement of pre-determined financial performance objectives and can range from 0% to 150% of target award amounts, subject to the achievement of a threshold Adjusted EBITDA goal. Target annual bonus opportunities are expressed as a percentage of base salary and were established by the NEO’s level of responsibility and his or her ability to impact overall results. The Committee also considers market data in setting target award amounts. The Committee increased Messrs. Reeves’ and Marcolini’s target annual bonus opportunities from 60% in 2021 to 70% in 2022 to better align with those of their business unit peers. All other NEO target annual bonus opportunities remained unchanged from 2021. As a result, target annual bonus opportunities for 2022 were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2022 Target IIP</w:t>
            </w:r>
          </w:p>
        </w:tc>
      </w:tr>
      <w:tr>
        <w:trPr>
          <w:trHeight w:val="162"/>
        </w:trPr>
        <w:tc>
          <w:tcPr>
            <w:tcW w:w="6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(as a % of</w:t>
            </w:r>
          </w:p>
        </w:tc>
      </w:tr>
      <w:tr>
        <w:trPr>
          <w:trHeight w:val="196"/>
        </w:trPr>
        <w:tc>
          <w:tcPr>
            <w:tcW w:w="60" w:type="dxa"/>
            <w:vAlign w:val="bottom"/>
          </w:tcPr>
          <w:p>
            <w:pPr>
              <w:spacing w:after="0"/>
              <w:rPr>
                <w:sz w:val="17"/>
                <w:szCs w:val="17"/>
                <w:color w:val="auto"/>
              </w:rPr>
            </w:pPr>
          </w:p>
        </w:tc>
        <w:tc>
          <w:tcPr>
            <w:tcW w:w="7760" w:type="dxa"/>
            <w:vAlign w:val="bottom"/>
            <w:gridSpan w:val="2"/>
          </w:tcPr>
          <w:p>
            <w:pPr>
              <w:ind w:left="20"/>
              <w:spacing w:after="0"/>
              <w:rPr>
                <w:sz w:val="20"/>
                <w:szCs w:val="20"/>
                <w:color w:val="auto"/>
              </w:rPr>
            </w:pPr>
            <w:r>
              <w:rPr>
                <w:rFonts w:ascii="Arial" w:cs="Arial" w:eastAsia="Arial" w:hAnsi="Arial"/>
                <w:sz w:val="14"/>
                <w:szCs w:val="14"/>
                <w:b w:val="1"/>
                <w:bCs w:val="1"/>
                <w:color w:val="auto"/>
              </w:rPr>
              <w:t>NEO</w:t>
            </w:r>
          </w:p>
        </w:tc>
        <w:tc>
          <w:tcPr>
            <w:tcW w:w="13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Base Salary)</w:t>
            </w:r>
          </w:p>
        </w:tc>
      </w:tr>
      <w:tr>
        <w:trPr>
          <w:trHeight w:val="56"/>
        </w:trPr>
        <w:tc>
          <w:tcPr>
            <w:tcW w:w="60" w:type="dxa"/>
            <w:vAlign w:val="bottom"/>
            <w:tcBorders>
              <w:bottom w:val="single" w:sz="8" w:color="B2B2B2"/>
            </w:tcBorders>
          </w:tcPr>
          <w:p>
            <w:pPr>
              <w:spacing w:after="0"/>
              <w:rPr>
                <w:sz w:val="4"/>
                <w:szCs w:val="4"/>
                <w:color w:val="auto"/>
              </w:rPr>
            </w:pPr>
          </w:p>
        </w:tc>
        <w:tc>
          <w:tcPr>
            <w:tcW w:w="7540" w:type="dxa"/>
            <w:vAlign w:val="bottom"/>
            <w:tcBorders>
              <w:bottom w:val="single" w:sz="8" w:color="auto"/>
            </w:tcBorders>
          </w:tcPr>
          <w:p>
            <w:pPr>
              <w:spacing w:after="0"/>
              <w:rPr>
                <w:sz w:val="4"/>
                <w:szCs w:val="4"/>
                <w:color w:val="auto"/>
              </w:rPr>
            </w:pPr>
          </w:p>
        </w:tc>
        <w:tc>
          <w:tcPr>
            <w:tcW w:w="220" w:type="dxa"/>
            <w:vAlign w:val="bottom"/>
            <w:tcBorders>
              <w:bottom w:val="single" w:sz="8" w:color="B2B2B2"/>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60" w:type="dxa"/>
            <w:vAlign w:val="bottom"/>
            <w:tcBorders>
              <w:bottom w:val="single" w:sz="8" w:color="B2B2B2"/>
            </w:tcBorders>
          </w:tcPr>
          <w:p>
            <w:pPr>
              <w:spacing w:after="0"/>
              <w:rPr>
                <w:sz w:val="4"/>
                <w:szCs w:val="4"/>
                <w:color w:val="auto"/>
              </w:rPr>
            </w:pPr>
          </w:p>
        </w:tc>
      </w:tr>
      <w:tr>
        <w:trPr>
          <w:trHeight w:val="295"/>
        </w:trPr>
        <w:tc>
          <w:tcPr>
            <w:tcW w:w="60" w:type="dxa"/>
            <w:vAlign w:val="bottom"/>
            <w:shd w:val="clear" w:color="auto" w:fill="B2B2B2"/>
          </w:tcPr>
          <w:p>
            <w:pPr>
              <w:spacing w:after="0"/>
              <w:rPr>
                <w:sz w:val="24"/>
                <w:szCs w:val="24"/>
                <w:color w:val="auto"/>
              </w:rPr>
            </w:pPr>
          </w:p>
        </w:tc>
        <w:tc>
          <w:tcPr>
            <w:tcW w:w="776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Thomas L. Deitrich</w:t>
            </w:r>
          </w:p>
        </w:tc>
        <w:tc>
          <w:tcPr>
            <w:tcW w:w="1300" w:type="dxa"/>
            <w:vAlign w:val="bottom"/>
            <w:shd w:val="clear" w:color="auto" w:fill="B2B2B2"/>
          </w:tcPr>
          <w:p>
            <w:pPr>
              <w:jc w:val="right"/>
              <w:ind w:right="257"/>
              <w:spacing w:after="0"/>
              <w:rPr>
                <w:sz w:val="20"/>
                <w:szCs w:val="20"/>
                <w:color w:val="auto"/>
              </w:rPr>
            </w:pPr>
            <w:r>
              <w:rPr>
                <w:rFonts w:ascii="Arial" w:cs="Arial" w:eastAsia="Arial" w:hAnsi="Arial"/>
                <w:sz w:val="18"/>
                <w:szCs w:val="18"/>
                <w:color w:val="auto"/>
              </w:rPr>
              <w:t>125%</w:t>
            </w:r>
          </w:p>
        </w:tc>
        <w:tc>
          <w:tcPr>
            <w:tcW w:w="60" w:type="dxa"/>
            <w:vAlign w:val="bottom"/>
            <w:shd w:val="clear" w:color="auto" w:fill="B2B2B2"/>
          </w:tcPr>
          <w:p>
            <w:pPr>
              <w:spacing w:after="0"/>
              <w:rPr>
                <w:sz w:val="24"/>
                <w:szCs w:val="24"/>
                <w:color w:val="auto"/>
              </w:rPr>
            </w:pPr>
          </w:p>
        </w:tc>
      </w:tr>
      <w:tr>
        <w:trPr>
          <w:trHeight w:val="63"/>
        </w:trPr>
        <w:tc>
          <w:tcPr>
            <w:tcW w:w="60" w:type="dxa"/>
            <w:vAlign w:val="bottom"/>
            <w:shd w:val="clear" w:color="auto" w:fill="B2B2B2"/>
          </w:tcPr>
          <w:p>
            <w:pPr>
              <w:spacing w:after="0"/>
              <w:rPr>
                <w:sz w:val="5"/>
                <w:szCs w:val="5"/>
                <w:color w:val="auto"/>
              </w:rPr>
            </w:pPr>
          </w:p>
        </w:tc>
        <w:tc>
          <w:tcPr>
            <w:tcW w:w="7540" w:type="dxa"/>
            <w:vAlign w:val="bottom"/>
            <w:shd w:val="clear" w:color="auto" w:fill="B2B2B2"/>
          </w:tcPr>
          <w:p>
            <w:pPr>
              <w:spacing w:after="0"/>
              <w:rPr>
                <w:sz w:val="5"/>
                <w:szCs w:val="5"/>
                <w:color w:val="auto"/>
              </w:rPr>
            </w:pPr>
          </w:p>
        </w:tc>
        <w:tc>
          <w:tcPr>
            <w:tcW w:w="220" w:type="dxa"/>
            <w:vAlign w:val="bottom"/>
            <w:shd w:val="clear" w:color="auto" w:fill="B2B2B2"/>
          </w:tcPr>
          <w:p>
            <w:pPr>
              <w:spacing w:after="0"/>
              <w:rPr>
                <w:sz w:val="5"/>
                <w:szCs w:val="5"/>
                <w:color w:val="auto"/>
              </w:rPr>
            </w:pPr>
          </w:p>
        </w:tc>
        <w:tc>
          <w:tcPr>
            <w:tcW w:w="1300" w:type="dxa"/>
            <w:vAlign w:val="bottom"/>
            <w:shd w:val="clear" w:color="auto" w:fill="B2B2B2"/>
          </w:tcPr>
          <w:p>
            <w:pPr>
              <w:spacing w:after="0"/>
              <w:rPr>
                <w:sz w:val="5"/>
                <w:szCs w:val="5"/>
                <w:color w:val="auto"/>
              </w:rPr>
            </w:pPr>
          </w:p>
        </w:tc>
        <w:tc>
          <w:tcPr>
            <w:tcW w:w="60" w:type="dxa"/>
            <w:vAlign w:val="bottom"/>
            <w:shd w:val="clear" w:color="auto" w:fill="B2B2B2"/>
          </w:tcPr>
          <w:p>
            <w:pPr>
              <w:spacing w:after="0"/>
              <w:rPr>
                <w:sz w:val="5"/>
                <w:szCs w:val="5"/>
                <w:color w:val="auto"/>
              </w:rPr>
            </w:pPr>
          </w:p>
        </w:tc>
      </w:tr>
      <w:tr>
        <w:trPr>
          <w:trHeight w:val="301"/>
        </w:trPr>
        <w:tc>
          <w:tcPr>
            <w:tcW w:w="60" w:type="dxa"/>
            <w:vAlign w:val="bottom"/>
          </w:tcPr>
          <w:p>
            <w:pPr>
              <w:spacing w:after="0"/>
              <w:rPr>
                <w:sz w:val="24"/>
                <w:szCs w:val="24"/>
                <w:color w:val="auto"/>
              </w:rPr>
            </w:pPr>
          </w:p>
        </w:tc>
        <w:tc>
          <w:tcPr>
            <w:tcW w:w="7760" w:type="dxa"/>
            <w:vAlign w:val="bottom"/>
            <w:gridSpan w:val="2"/>
          </w:tcPr>
          <w:p>
            <w:pPr>
              <w:ind w:left="20"/>
              <w:spacing w:after="0"/>
              <w:rPr>
                <w:sz w:val="20"/>
                <w:szCs w:val="20"/>
                <w:color w:val="auto"/>
              </w:rPr>
            </w:pPr>
            <w:r>
              <w:rPr>
                <w:rFonts w:ascii="Arial" w:cs="Arial" w:eastAsia="Arial" w:hAnsi="Arial"/>
                <w:sz w:val="18"/>
                <w:szCs w:val="18"/>
                <w:color w:val="auto"/>
              </w:rPr>
              <w:t>Joan S. Hooper</w:t>
            </w:r>
          </w:p>
        </w:tc>
        <w:tc>
          <w:tcPr>
            <w:tcW w:w="1300" w:type="dxa"/>
            <w:vAlign w:val="bottom"/>
          </w:tcPr>
          <w:p>
            <w:pPr>
              <w:jc w:val="right"/>
              <w:ind w:right="257"/>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24"/>
                <w:szCs w:val="24"/>
                <w:color w:val="auto"/>
              </w:rPr>
            </w:pPr>
          </w:p>
        </w:tc>
      </w:tr>
      <w:tr>
        <w:trPr>
          <w:trHeight w:val="63"/>
        </w:trPr>
        <w:tc>
          <w:tcPr>
            <w:tcW w:w="60" w:type="dxa"/>
            <w:vAlign w:val="bottom"/>
          </w:tcPr>
          <w:p>
            <w:pPr>
              <w:spacing w:after="0"/>
              <w:rPr>
                <w:sz w:val="5"/>
                <w:szCs w:val="5"/>
                <w:color w:val="auto"/>
              </w:rPr>
            </w:pPr>
          </w:p>
        </w:tc>
        <w:tc>
          <w:tcPr>
            <w:tcW w:w="7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301"/>
        </w:trPr>
        <w:tc>
          <w:tcPr>
            <w:tcW w:w="60" w:type="dxa"/>
            <w:vAlign w:val="bottom"/>
            <w:shd w:val="clear" w:color="auto" w:fill="B2B2B2"/>
          </w:tcPr>
          <w:p>
            <w:pPr>
              <w:spacing w:after="0"/>
              <w:rPr>
                <w:sz w:val="24"/>
                <w:szCs w:val="24"/>
                <w:color w:val="auto"/>
              </w:rPr>
            </w:pPr>
          </w:p>
        </w:tc>
        <w:tc>
          <w:tcPr>
            <w:tcW w:w="776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Michel C. Cadieux</w:t>
            </w:r>
          </w:p>
        </w:tc>
        <w:tc>
          <w:tcPr>
            <w:tcW w:w="1300" w:type="dxa"/>
            <w:vAlign w:val="bottom"/>
            <w:shd w:val="clear" w:color="auto" w:fill="B2B2B2"/>
          </w:tcPr>
          <w:p>
            <w:pPr>
              <w:jc w:val="right"/>
              <w:ind w:right="257"/>
              <w:spacing w:after="0"/>
              <w:rPr>
                <w:sz w:val="20"/>
                <w:szCs w:val="20"/>
                <w:color w:val="auto"/>
              </w:rPr>
            </w:pPr>
            <w:r>
              <w:rPr>
                <w:rFonts w:ascii="Arial" w:cs="Arial" w:eastAsia="Arial" w:hAnsi="Arial"/>
                <w:sz w:val="18"/>
                <w:szCs w:val="18"/>
                <w:color w:val="auto"/>
              </w:rPr>
              <w:t>75%</w:t>
            </w:r>
          </w:p>
        </w:tc>
        <w:tc>
          <w:tcPr>
            <w:tcW w:w="60" w:type="dxa"/>
            <w:vAlign w:val="bottom"/>
            <w:shd w:val="clear" w:color="auto" w:fill="B2B2B2"/>
          </w:tcPr>
          <w:p>
            <w:pPr>
              <w:spacing w:after="0"/>
              <w:rPr>
                <w:sz w:val="24"/>
                <w:szCs w:val="24"/>
                <w:color w:val="auto"/>
              </w:rPr>
            </w:pPr>
          </w:p>
        </w:tc>
      </w:tr>
      <w:tr>
        <w:trPr>
          <w:trHeight w:val="63"/>
        </w:trPr>
        <w:tc>
          <w:tcPr>
            <w:tcW w:w="60" w:type="dxa"/>
            <w:vAlign w:val="bottom"/>
            <w:shd w:val="clear" w:color="auto" w:fill="B2B2B2"/>
          </w:tcPr>
          <w:p>
            <w:pPr>
              <w:spacing w:after="0"/>
              <w:rPr>
                <w:sz w:val="5"/>
                <w:szCs w:val="5"/>
                <w:color w:val="auto"/>
              </w:rPr>
            </w:pPr>
          </w:p>
        </w:tc>
        <w:tc>
          <w:tcPr>
            <w:tcW w:w="7540" w:type="dxa"/>
            <w:vAlign w:val="bottom"/>
            <w:shd w:val="clear" w:color="auto" w:fill="B2B2B2"/>
          </w:tcPr>
          <w:p>
            <w:pPr>
              <w:spacing w:after="0"/>
              <w:rPr>
                <w:sz w:val="5"/>
                <w:szCs w:val="5"/>
                <w:color w:val="auto"/>
              </w:rPr>
            </w:pPr>
          </w:p>
        </w:tc>
        <w:tc>
          <w:tcPr>
            <w:tcW w:w="220" w:type="dxa"/>
            <w:vAlign w:val="bottom"/>
            <w:shd w:val="clear" w:color="auto" w:fill="B2B2B2"/>
          </w:tcPr>
          <w:p>
            <w:pPr>
              <w:spacing w:after="0"/>
              <w:rPr>
                <w:sz w:val="5"/>
                <w:szCs w:val="5"/>
                <w:color w:val="auto"/>
              </w:rPr>
            </w:pPr>
          </w:p>
        </w:tc>
        <w:tc>
          <w:tcPr>
            <w:tcW w:w="1300" w:type="dxa"/>
            <w:vAlign w:val="bottom"/>
            <w:shd w:val="clear" w:color="auto" w:fill="B2B2B2"/>
          </w:tcPr>
          <w:p>
            <w:pPr>
              <w:spacing w:after="0"/>
              <w:rPr>
                <w:sz w:val="5"/>
                <w:szCs w:val="5"/>
                <w:color w:val="auto"/>
              </w:rPr>
            </w:pPr>
          </w:p>
        </w:tc>
        <w:tc>
          <w:tcPr>
            <w:tcW w:w="60" w:type="dxa"/>
            <w:vAlign w:val="bottom"/>
            <w:shd w:val="clear" w:color="auto" w:fill="B2B2B2"/>
          </w:tcPr>
          <w:p>
            <w:pPr>
              <w:spacing w:after="0"/>
              <w:rPr>
                <w:sz w:val="5"/>
                <w:szCs w:val="5"/>
                <w:color w:val="auto"/>
              </w:rPr>
            </w:pPr>
          </w:p>
        </w:tc>
      </w:tr>
      <w:tr>
        <w:trPr>
          <w:trHeight w:val="301"/>
        </w:trPr>
        <w:tc>
          <w:tcPr>
            <w:tcW w:w="60" w:type="dxa"/>
            <w:vAlign w:val="bottom"/>
          </w:tcPr>
          <w:p>
            <w:pPr>
              <w:spacing w:after="0"/>
              <w:rPr>
                <w:sz w:val="24"/>
                <w:szCs w:val="24"/>
                <w:color w:val="auto"/>
              </w:rPr>
            </w:pPr>
          </w:p>
        </w:tc>
        <w:tc>
          <w:tcPr>
            <w:tcW w:w="7760" w:type="dxa"/>
            <w:vAlign w:val="bottom"/>
            <w:gridSpan w:val="2"/>
          </w:tcPr>
          <w:p>
            <w:pPr>
              <w:ind w:left="20"/>
              <w:spacing w:after="0"/>
              <w:rPr>
                <w:sz w:val="20"/>
                <w:szCs w:val="20"/>
                <w:color w:val="auto"/>
              </w:rPr>
            </w:pPr>
            <w:r>
              <w:rPr>
                <w:rFonts w:ascii="Arial" w:cs="Arial" w:eastAsia="Arial" w:hAnsi="Arial"/>
                <w:sz w:val="18"/>
                <w:szCs w:val="18"/>
                <w:color w:val="auto"/>
              </w:rPr>
              <w:t>Donald L. Reeves</w:t>
            </w:r>
          </w:p>
        </w:tc>
        <w:tc>
          <w:tcPr>
            <w:tcW w:w="1300" w:type="dxa"/>
            <w:vAlign w:val="bottom"/>
          </w:tcPr>
          <w:p>
            <w:pPr>
              <w:jc w:val="right"/>
              <w:ind w:right="257"/>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24"/>
                <w:szCs w:val="24"/>
                <w:color w:val="auto"/>
              </w:rPr>
            </w:pPr>
          </w:p>
        </w:tc>
      </w:tr>
      <w:tr>
        <w:trPr>
          <w:trHeight w:val="63"/>
        </w:trPr>
        <w:tc>
          <w:tcPr>
            <w:tcW w:w="60" w:type="dxa"/>
            <w:vAlign w:val="bottom"/>
          </w:tcPr>
          <w:p>
            <w:pPr>
              <w:spacing w:after="0"/>
              <w:rPr>
                <w:sz w:val="5"/>
                <w:szCs w:val="5"/>
                <w:color w:val="auto"/>
              </w:rPr>
            </w:pPr>
          </w:p>
        </w:tc>
        <w:tc>
          <w:tcPr>
            <w:tcW w:w="7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311"/>
        </w:trPr>
        <w:tc>
          <w:tcPr>
            <w:tcW w:w="60" w:type="dxa"/>
            <w:vAlign w:val="bottom"/>
            <w:shd w:val="clear" w:color="auto" w:fill="B2B2B2"/>
          </w:tcPr>
          <w:p>
            <w:pPr>
              <w:spacing w:after="0"/>
              <w:rPr>
                <w:sz w:val="24"/>
                <w:szCs w:val="24"/>
                <w:color w:val="auto"/>
              </w:rPr>
            </w:pPr>
          </w:p>
        </w:tc>
        <w:tc>
          <w:tcPr>
            <w:tcW w:w="7760" w:type="dxa"/>
            <w:vAlign w:val="bottom"/>
            <w:gridSpan w:val="2"/>
            <w:shd w:val="clear" w:color="auto" w:fill="B2B2B2"/>
          </w:tcPr>
          <w:p>
            <w:pPr>
              <w:ind w:left="20"/>
              <w:spacing w:after="0"/>
              <w:rPr>
                <w:sz w:val="20"/>
                <w:szCs w:val="20"/>
                <w:color w:val="auto"/>
              </w:rPr>
            </w:pPr>
            <w:r>
              <w:rPr>
                <w:rFonts w:ascii="Arial" w:cs="Arial" w:eastAsia="Arial" w:hAnsi="Arial"/>
                <w:sz w:val="18"/>
                <w:szCs w:val="18"/>
                <w:color w:val="auto"/>
              </w:rPr>
              <w:t>John F. Marcolini</w:t>
            </w:r>
          </w:p>
        </w:tc>
        <w:tc>
          <w:tcPr>
            <w:tcW w:w="1300" w:type="dxa"/>
            <w:vAlign w:val="bottom"/>
            <w:shd w:val="clear" w:color="auto" w:fill="B2B2B2"/>
          </w:tcPr>
          <w:p>
            <w:pPr>
              <w:jc w:val="right"/>
              <w:ind w:right="257"/>
              <w:spacing w:after="0"/>
              <w:rPr>
                <w:sz w:val="20"/>
                <w:szCs w:val="20"/>
                <w:color w:val="auto"/>
              </w:rPr>
            </w:pPr>
            <w:r>
              <w:rPr>
                <w:rFonts w:ascii="Arial" w:cs="Arial" w:eastAsia="Arial" w:hAnsi="Arial"/>
                <w:sz w:val="18"/>
                <w:szCs w:val="18"/>
                <w:color w:val="auto"/>
              </w:rPr>
              <w:t>70%</w:t>
            </w:r>
          </w:p>
        </w:tc>
        <w:tc>
          <w:tcPr>
            <w:tcW w:w="60" w:type="dxa"/>
            <w:vAlign w:val="bottom"/>
            <w:shd w:val="clear" w:color="auto" w:fill="B2B2B2"/>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-1130935</wp:posOffset>
            </wp:positionV>
            <wp:extent cx="342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-1130935</wp:posOffset>
            </wp:positionV>
            <wp:extent cx="1371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-1130935</wp:posOffset>
            </wp:positionV>
            <wp:extent cx="431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91" w:lineRule="exact"/>
        <w:rPr>
          <w:sz w:val="20"/>
          <w:szCs w:val="20"/>
          <w:color w:val="auto"/>
        </w:rPr>
      </w:pPr>
    </w:p>
    <w:p>
      <w:pPr>
        <w:jc w:val="both"/>
        <w:ind w:right="280"/>
        <w:spacing w:after="0" w:line="271" w:lineRule="auto"/>
        <w:rPr>
          <w:sz w:val="20"/>
          <w:szCs w:val="20"/>
          <w:color w:val="auto"/>
        </w:rPr>
      </w:pPr>
      <w:r>
        <w:rPr>
          <w:rFonts w:ascii="Arial" w:cs="Arial" w:eastAsia="Arial" w:hAnsi="Arial"/>
          <w:sz w:val="18"/>
          <w:szCs w:val="18"/>
          <w:i w:val="1"/>
          <w:iCs w:val="1"/>
          <w:color w:val="auto"/>
        </w:rPr>
        <w:t xml:space="preserve">2022 Financial Performance Objectives. </w:t>
      </w:r>
      <w:r>
        <w:rPr>
          <w:rFonts w:ascii="Arial" w:cs="Arial" w:eastAsia="Arial" w:hAnsi="Arial"/>
          <w:sz w:val="18"/>
          <w:szCs w:val="18"/>
          <w:color w:val="auto"/>
        </w:rPr>
        <w:t>An individual NEO’s IIP award is based on the following mix of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w:t>
      </w:r>
    </w:p>
    <w:p>
      <w:pPr>
        <w:spacing w:after="0" w:line="85"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258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Performance Objectives</w:t>
            </w:r>
          </w:p>
        </w:tc>
        <w:tc>
          <w:tcPr>
            <w:tcW w:w="4500" w:type="dxa"/>
            <w:vAlign w:val="bottom"/>
            <w:tcBorders>
              <w:top w:val="single" w:sz="8" w:color="auto"/>
              <w:right w:val="single" w:sz="8" w:color="auto"/>
            </w:tcBorders>
          </w:tcPr>
          <w:p>
            <w:pPr>
              <w:ind w:left="760"/>
              <w:spacing w:after="0"/>
              <w:rPr>
                <w:sz w:val="20"/>
                <w:szCs w:val="20"/>
                <w:color w:val="auto"/>
              </w:rPr>
            </w:pPr>
            <w:r>
              <w:rPr>
                <w:rFonts w:ascii="Arial" w:cs="Arial" w:eastAsia="Arial" w:hAnsi="Arial"/>
                <w:sz w:val="18"/>
                <w:szCs w:val="18"/>
                <w:b w:val="1"/>
                <w:bCs w:val="1"/>
                <w:color w:val="auto"/>
              </w:rPr>
              <w:t>Performance Metrics &amp; Weightings</w:t>
            </w:r>
          </w:p>
        </w:tc>
        <w:tc>
          <w:tcPr>
            <w:tcW w:w="2100" w:type="dxa"/>
            <w:vAlign w:val="bottom"/>
            <w:tcBorders>
              <w:top w:val="single" w:sz="8" w:color="auto"/>
              <w:right w:val="single" w:sz="8" w:color="auto"/>
            </w:tcBorders>
          </w:tcPr>
          <w:p>
            <w:pPr>
              <w:ind w:left="600"/>
              <w:spacing w:after="0"/>
              <w:rPr>
                <w:sz w:val="20"/>
                <w:szCs w:val="20"/>
                <w:color w:val="auto"/>
              </w:rPr>
            </w:pPr>
            <w:r>
              <w:rPr>
                <w:rFonts w:ascii="Arial" w:cs="Arial" w:eastAsia="Arial" w:hAnsi="Arial"/>
                <w:sz w:val="18"/>
                <w:szCs w:val="18"/>
                <w:b w:val="1"/>
                <w:bCs w:val="1"/>
                <w:color w:val="auto"/>
              </w:rPr>
              <w:t>IIP Weighting</w:t>
            </w:r>
          </w:p>
        </w:tc>
      </w:tr>
      <w:tr>
        <w:trPr>
          <w:trHeight w:val="42"/>
        </w:trPr>
        <w:tc>
          <w:tcPr>
            <w:tcW w:w="2580" w:type="dxa"/>
            <w:vAlign w:val="bottom"/>
            <w:tcBorders>
              <w:left w:val="single" w:sz="8" w:color="auto"/>
              <w:bottom w:val="single" w:sz="8" w:color="auto"/>
              <w:right w:val="single" w:sz="8" w:color="auto"/>
            </w:tcBorders>
          </w:tcPr>
          <w:p>
            <w:pPr>
              <w:spacing w:after="0"/>
              <w:rPr>
                <w:sz w:val="3"/>
                <w:szCs w:val="3"/>
                <w:color w:val="auto"/>
              </w:rPr>
            </w:pPr>
          </w:p>
        </w:tc>
        <w:tc>
          <w:tcPr>
            <w:tcW w:w="4500" w:type="dxa"/>
            <w:vAlign w:val="bottom"/>
            <w:tcBorders>
              <w:bottom w:val="single" w:sz="8" w:color="auto"/>
              <w:right w:val="single" w:sz="8" w:color="auto"/>
            </w:tcBorders>
          </w:tcPr>
          <w:p>
            <w:pPr>
              <w:spacing w:after="0"/>
              <w:rPr>
                <w:sz w:val="3"/>
                <w:szCs w:val="3"/>
                <w:color w:val="auto"/>
              </w:rPr>
            </w:pPr>
          </w:p>
        </w:tc>
        <w:tc>
          <w:tcPr>
            <w:tcW w:w="2100" w:type="dxa"/>
            <w:vAlign w:val="bottom"/>
            <w:tcBorders>
              <w:bottom w:val="single" w:sz="8" w:color="auto"/>
              <w:right w:val="single" w:sz="8" w:color="auto"/>
            </w:tcBorders>
          </w:tcPr>
          <w:p>
            <w:pPr>
              <w:spacing w:after="0"/>
              <w:rPr>
                <w:sz w:val="3"/>
                <w:szCs w:val="3"/>
                <w:color w:val="auto"/>
              </w:rPr>
            </w:pPr>
          </w:p>
        </w:tc>
      </w:tr>
      <w:tr>
        <w:trPr>
          <w:trHeight w:val="281"/>
        </w:trPr>
        <w:tc>
          <w:tcPr>
            <w:tcW w:w="25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Financial (100%)</w:t>
            </w:r>
          </w:p>
        </w:tc>
        <w:tc>
          <w:tcPr>
            <w:tcW w:w="45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Adjusted EBITDA</w:t>
            </w:r>
          </w:p>
        </w:tc>
        <w:tc>
          <w:tcPr>
            <w:tcW w:w="2100" w:type="dxa"/>
            <w:vAlign w:val="bottom"/>
            <w:tcBorders>
              <w:right w:val="single" w:sz="8" w:color="auto"/>
            </w:tcBorders>
          </w:tcPr>
          <w:p>
            <w:pPr>
              <w:jc w:val="center"/>
              <w:ind w:left="130"/>
              <w:spacing w:after="0"/>
              <w:rPr>
                <w:sz w:val="20"/>
                <w:szCs w:val="20"/>
                <w:color w:val="auto"/>
              </w:rPr>
            </w:pPr>
            <w:r>
              <w:rPr>
                <w:rFonts w:ascii="Arial" w:cs="Arial" w:eastAsia="Arial" w:hAnsi="Arial"/>
                <w:sz w:val="18"/>
                <w:szCs w:val="18"/>
                <w:color w:val="auto"/>
                <w:w w:val="99"/>
              </w:rPr>
              <w:t>60%</w:t>
            </w:r>
          </w:p>
        </w:tc>
      </w:tr>
      <w:tr>
        <w:trPr>
          <w:trHeight w:val="50"/>
        </w:trPr>
        <w:tc>
          <w:tcPr>
            <w:tcW w:w="2580" w:type="dxa"/>
            <w:vAlign w:val="bottom"/>
            <w:tcBorders>
              <w:left w:val="single" w:sz="8" w:color="auto"/>
              <w:right w:val="single" w:sz="8" w:color="auto"/>
            </w:tcBorders>
          </w:tcPr>
          <w:p>
            <w:pPr>
              <w:spacing w:after="0"/>
              <w:rPr>
                <w:sz w:val="4"/>
                <w:szCs w:val="4"/>
                <w:color w:val="auto"/>
              </w:rPr>
            </w:pPr>
          </w:p>
        </w:tc>
        <w:tc>
          <w:tcPr>
            <w:tcW w:w="450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r>
      <w:tr>
        <w:trPr>
          <w:trHeight w:val="281"/>
        </w:trPr>
        <w:tc>
          <w:tcPr>
            <w:tcW w:w="2580" w:type="dxa"/>
            <w:vAlign w:val="bottom"/>
            <w:tcBorders>
              <w:left w:val="single" w:sz="8" w:color="auto"/>
              <w:right w:val="single" w:sz="8" w:color="auto"/>
            </w:tcBorders>
          </w:tcPr>
          <w:p>
            <w:pPr>
              <w:spacing w:after="0"/>
              <w:rPr>
                <w:sz w:val="24"/>
                <w:szCs w:val="24"/>
                <w:color w:val="auto"/>
              </w:rPr>
            </w:pPr>
          </w:p>
        </w:tc>
        <w:tc>
          <w:tcPr>
            <w:tcW w:w="45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Revenue</w:t>
            </w:r>
          </w:p>
        </w:tc>
        <w:tc>
          <w:tcPr>
            <w:tcW w:w="2100" w:type="dxa"/>
            <w:vAlign w:val="bottom"/>
            <w:tcBorders>
              <w:right w:val="single" w:sz="8" w:color="auto"/>
            </w:tcBorders>
          </w:tcPr>
          <w:p>
            <w:pPr>
              <w:jc w:val="center"/>
              <w:ind w:left="130"/>
              <w:spacing w:after="0"/>
              <w:rPr>
                <w:sz w:val="20"/>
                <w:szCs w:val="20"/>
                <w:color w:val="auto"/>
              </w:rPr>
            </w:pPr>
            <w:r>
              <w:rPr>
                <w:rFonts w:ascii="Arial" w:cs="Arial" w:eastAsia="Arial" w:hAnsi="Arial"/>
                <w:sz w:val="18"/>
                <w:szCs w:val="18"/>
                <w:color w:val="auto"/>
                <w:w w:val="99"/>
              </w:rPr>
              <w:t>30%</w:t>
            </w:r>
          </w:p>
        </w:tc>
      </w:tr>
      <w:tr>
        <w:trPr>
          <w:trHeight w:val="50"/>
        </w:trPr>
        <w:tc>
          <w:tcPr>
            <w:tcW w:w="2580" w:type="dxa"/>
            <w:vAlign w:val="bottom"/>
            <w:tcBorders>
              <w:left w:val="single" w:sz="8" w:color="auto"/>
              <w:right w:val="single" w:sz="8" w:color="auto"/>
            </w:tcBorders>
          </w:tcPr>
          <w:p>
            <w:pPr>
              <w:spacing w:after="0"/>
              <w:rPr>
                <w:sz w:val="4"/>
                <w:szCs w:val="4"/>
                <w:color w:val="auto"/>
              </w:rPr>
            </w:pPr>
          </w:p>
        </w:tc>
        <w:tc>
          <w:tcPr>
            <w:tcW w:w="450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r>
      <w:tr>
        <w:trPr>
          <w:trHeight w:val="281"/>
        </w:trPr>
        <w:tc>
          <w:tcPr>
            <w:tcW w:w="2580" w:type="dxa"/>
            <w:vAlign w:val="bottom"/>
            <w:tcBorders>
              <w:left w:val="single" w:sz="8" w:color="auto"/>
              <w:right w:val="single" w:sz="8" w:color="auto"/>
            </w:tcBorders>
          </w:tcPr>
          <w:p>
            <w:pPr>
              <w:spacing w:after="0"/>
              <w:rPr>
                <w:sz w:val="24"/>
                <w:szCs w:val="24"/>
                <w:color w:val="auto"/>
              </w:rPr>
            </w:pPr>
          </w:p>
        </w:tc>
        <w:tc>
          <w:tcPr>
            <w:tcW w:w="450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Free Cash Flow</w:t>
            </w:r>
          </w:p>
        </w:tc>
        <w:tc>
          <w:tcPr>
            <w:tcW w:w="2100" w:type="dxa"/>
            <w:vAlign w:val="bottom"/>
            <w:tcBorders>
              <w:right w:val="single" w:sz="8" w:color="auto"/>
            </w:tcBorders>
          </w:tcPr>
          <w:p>
            <w:pPr>
              <w:jc w:val="center"/>
              <w:ind w:left="130"/>
              <w:spacing w:after="0"/>
              <w:rPr>
                <w:sz w:val="20"/>
                <w:szCs w:val="20"/>
                <w:color w:val="auto"/>
              </w:rPr>
            </w:pPr>
            <w:r>
              <w:rPr>
                <w:rFonts w:ascii="Arial" w:cs="Arial" w:eastAsia="Arial" w:hAnsi="Arial"/>
                <w:sz w:val="18"/>
                <w:szCs w:val="18"/>
                <w:color w:val="auto"/>
                <w:w w:val="99"/>
              </w:rPr>
              <w:t>10%</w:t>
            </w:r>
          </w:p>
        </w:tc>
      </w:tr>
      <w:tr>
        <w:trPr>
          <w:trHeight w:val="50"/>
        </w:trPr>
        <w:tc>
          <w:tcPr>
            <w:tcW w:w="2580" w:type="dxa"/>
            <w:vAlign w:val="bottom"/>
            <w:tcBorders>
              <w:left w:val="single" w:sz="8" w:color="auto"/>
              <w:bottom w:val="single" w:sz="8" w:color="auto"/>
              <w:right w:val="single" w:sz="8" w:color="auto"/>
            </w:tcBorders>
          </w:tcPr>
          <w:p>
            <w:pPr>
              <w:spacing w:after="0"/>
              <w:rPr>
                <w:sz w:val="4"/>
                <w:szCs w:val="4"/>
                <w:color w:val="auto"/>
              </w:rPr>
            </w:pPr>
          </w:p>
        </w:tc>
        <w:tc>
          <w:tcPr>
            <w:tcW w:w="450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right w:val="single" w:sz="8" w:color="auto"/>
            </w:tcBorders>
          </w:tcPr>
          <w:p>
            <w:pPr>
              <w:spacing w:after="0"/>
              <w:rPr>
                <w:sz w:val="4"/>
                <w:szCs w:val="4"/>
                <w:color w:val="auto"/>
              </w:rPr>
            </w:pPr>
          </w:p>
        </w:tc>
      </w:tr>
      <w:tr>
        <w:trPr>
          <w:trHeight w:val="286"/>
        </w:trPr>
        <w:tc>
          <w:tcPr>
            <w:tcW w:w="258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Total</w:t>
            </w:r>
          </w:p>
        </w:tc>
        <w:tc>
          <w:tcPr>
            <w:tcW w:w="450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jc w:val="center"/>
              <w:ind w:left="150"/>
              <w:spacing w:after="0"/>
              <w:rPr>
                <w:sz w:val="20"/>
                <w:szCs w:val="20"/>
                <w:color w:val="auto"/>
              </w:rPr>
            </w:pPr>
            <w:r>
              <w:rPr>
                <w:rFonts w:ascii="Arial" w:cs="Arial" w:eastAsia="Arial" w:hAnsi="Arial"/>
                <w:sz w:val="18"/>
                <w:szCs w:val="18"/>
                <w:color w:val="auto"/>
                <w:w w:val="99"/>
              </w:rPr>
              <w:t>100%</w:t>
            </w:r>
          </w:p>
        </w:tc>
      </w:tr>
    </w:tbl>
    <w:p>
      <w:pPr>
        <w:spacing w:after="0" w:line="21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Adjusted EBITDA provides a more useful illustration of our financial performance and the ongoing operations of our business, since the adjustments exclude certain expenses that are not indicative of our recurring core operating results. This facilitates better comparisons to our historical performance and our competitors’ operating results.</w:t>
      </w:r>
    </w:p>
    <w:p>
      <w:pPr>
        <w:spacing w:after="0" w:line="125"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Each year, the Committee reviews the financial performance and considers adjustments for items that are not reflective of normal operating performance for that year. These adjustments are items that the Committee believes are fair to both participants and shareholders, encourage appropriate actions that foster the long-term health of the business, and are consistent with the objectives underlying our predetermined performance goals. Such exclusions may consist of the costs and financial effects of restructuring, acquisitions, and dispositions, selected legal costs and settlements, pandemics, and the effects of foreign currency translation. No adjustments were made in 2022.</w:t>
      </w:r>
    </w:p>
    <w:p>
      <w:pPr>
        <w:spacing w:after="0" w:line="125"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i w:val="1"/>
          <w:iCs w:val="1"/>
          <w:color w:val="auto"/>
        </w:rPr>
        <w:t xml:space="preserve">2022 Financial Performance Levels &amp; Results. </w:t>
      </w:r>
      <w:r>
        <w:rPr>
          <w:rFonts w:ascii="Arial" w:cs="Arial" w:eastAsia="Arial" w:hAnsi="Arial"/>
          <w:sz w:val="18"/>
          <w:szCs w:val="18"/>
          <w:color w:val="auto"/>
        </w:rPr>
        <w:t>The following table shows the financial performance necessary to</w:t>
      </w:r>
      <w:r>
        <w:rPr>
          <w:rFonts w:ascii="Arial" w:cs="Arial" w:eastAsia="Arial" w:hAnsi="Arial"/>
          <w:sz w:val="18"/>
          <w:szCs w:val="18"/>
          <w:i w:val="1"/>
          <w:iCs w:val="1"/>
          <w:color w:val="auto"/>
        </w:rPr>
        <w:t xml:space="preserve"> </w:t>
      </w:r>
      <w:r>
        <w:rPr>
          <w:rFonts w:ascii="Arial" w:cs="Arial" w:eastAsia="Arial" w:hAnsi="Arial"/>
          <w:sz w:val="18"/>
          <w:szCs w:val="18"/>
          <w:color w:val="auto"/>
        </w:rPr>
        <w:t>achieve threshold (0% payout), target (100% payout), and maximum (150% payout) bonus amounts, along with actual results for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Actual</w:t>
            </w:r>
          </w:p>
        </w:tc>
      </w:tr>
      <w:tr>
        <w:trPr>
          <w:trHeight w:val="162"/>
        </w:trPr>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Threshold</w:t>
            </w:r>
          </w:p>
        </w:tc>
        <w:tc>
          <w:tcPr>
            <w:tcW w:w="9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8"/>
              </w:rPr>
              <w:t>Target</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Maximum</w:t>
            </w:r>
          </w:p>
        </w:tc>
        <w:tc>
          <w:tcPr>
            <w:tcW w:w="3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Results</w:t>
            </w:r>
          </w:p>
        </w:tc>
      </w:tr>
      <w:tr>
        <w:trPr>
          <w:trHeight w:val="196"/>
        </w:trPr>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($M)</w:t>
            </w:r>
          </w:p>
        </w:tc>
        <w:tc>
          <w:tcPr>
            <w:tcW w:w="100" w:type="dxa"/>
            <w:vAlign w:val="bottom"/>
          </w:tcPr>
          <w:p>
            <w:pPr>
              <w:spacing w:after="0"/>
              <w:rPr>
                <w:sz w:val="17"/>
                <w:szCs w:val="17"/>
                <w:color w:val="auto"/>
              </w:rPr>
            </w:pPr>
          </w:p>
        </w:tc>
        <w:tc>
          <w:tcPr>
            <w:tcW w:w="8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($M)</w:t>
            </w:r>
          </w:p>
        </w:tc>
        <w:tc>
          <w:tcPr>
            <w:tcW w:w="160" w:type="dxa"/>
            <w:vAlign w:val="bottom"/>
          </w:tcPr>
          <w:p>
            <w:pPr>
              <w:spacing w:after="0"/>
              <w:rPr>
                <w:sz w:val="17"/>
                <w:szCs w:val="17"/>
                <w:color w:val="auto"/>
              </w:rPr>
            </w:pPr>
          </w:p>
        </w:tc>
        <w:tc>
          <w:tcPr>
            <w:tcW w:w="520" w:type="dxa"/>
            <w:vAlign w:val="bottom"/>
          </w:tcPr>
          <w:p>
            <w:pPr>
              <w:jc w:val="right"/>
              <w:ind w:right="115"/>
              <w:spacing w:after="0"/>
              <w:rPr>
                <w:sz w:val="20"/>
                <w:szCs w:val="20"/>
                <w:color w:val="auto"/>
              </w:rPr>
            </w:pPr>
            <w:r>
              <w:rPr>
                <w:rFonts w:ascii="Arial" w:cs="Arial" w:eastAsia="Arial" w:hAnsi="Arial"/>
                <w:sz w:val="14"/>
                <w:szCs w:val="14"/>
                <w:b w:val="1"/>
                <w:bCs w:val="1"/>
                <w:color w:val="auto"/>
              </w:rPr>
              <w:t>($M)</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w:t>
            </w:r>
          </w:p>
        </w:tc>
      </w:tr>
      <w:tr>
        <w:trPr>
          <w:trHeight w:val="56"/>
        </w:trPr>
        <w:tc>
          <w:tcPr>
            <w:tcW w:w="60" w:type="dxa"/>
            <w:vAlign w:val="bottom"/>
            <w:tcBorders>
              <w:bottom w:val="single" w:sz="8" w:color="B2B2B2"/>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3960" w:type="dxa"/>
            <w:vAlign w:val="bottom"/>
            <w:tcBorders>
              <w:bottom w:val="single" w:sz="8" w:color="auto"/>
            </w:tcBorders>
          </w:tcPr>
          <w:p>
            <w:pPr>
              <w:spacing w:after="0"/>
              <w:rPr>
                <w:sz w:val="4"/>
                <w:szCs w:val="4"/>
                <w:color w:val="auto"/>
              </w:rPr>
            </w:pPr>
          </w:p>
        </w:tc>
        <w:tc>
          <w:tcPr>
            <w:tcW w:w="340" w:type="dxa"/>
            <w:vAlign w:val="bottom"/>
            <w:tcBorders>
              <w:bottom w:val="single" w:sz="8" w:color="B2B2B2"/>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60" w:type="dxa"/>
            <w:vAlign w:val="bottom"/>
            <w:tcBorders>
              <w:bottom w:val="single" w:sz="8" w:color="B2B2B2"/>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60" w:type="dxa"/>
            <w:vAlign w:val="bottom"/>
            <w:tcBorders>
              <w:bottom w:val="single" w:sz="8" w:color="B2B2B2"/>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40" w:type="dxa"/>
            <w:vAlign w:val="bottom"/>
            <w:tcBorders>
              <w:bottom w:val="single" w:sz="8" w:color="B2B2B2"/>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B2B2B2"/>
            </w:tcBorders>
          </w:tcPr>
          <w:p>
            <w:pPr>
              <w:spacing w:after="0"/>
              <w:rPr>
                <w:sz w:val="4"/>
                <w:szCs w:val="4"/>
                <w:color w:val="auto"/>
              </w:rPr>
            </w:pPr>
          </w:p>
        </w:tc>
      </w:tr>
      <w:tr>
        <w:trPr>
          <w:trHeight w:val="294"/>
        </w:trPr>
        <w:tc>
          <w:tcPr>
            <w:tcW w:w="60" w:type="dxa"/>
            <w:vAlign w:val="bottom"/>
            <w:shd w:val="clear" w:color="auto" w:fill="B2B2B2"/>
          </w:tcPr>
          <w:p>
            <w:pPr>
              <w:spacing w:after="0"/>
              <w:rPr>
                <w:sz w:val="24"/>
                <w:szCs w:val="24"/>
                <w:color w:val="auto"/>
              </w:rPr>
            </w:pPr>
          </w:p>
        </w:tc>
        <w:tc>
          <w:tcPr>
            <w:tcW w:w="5520" w:type="dxa"/>
            <w:vAlign w:val="bottom"/>
            <w:gridSpan w:val="3"/>
            <w:shd w:val="clear" w:color="auto" w:fill="B2B2B2"/>
          </w:tcPr>
          <w:p>
            <w:pPr>
              <w:ind w:left="20"/>
              <w:spacing w:after="0"/>
              <w:rPr>
                <w:sz w:val="20"/>
                <w:szCs w:val="20"/>
                <w:color w:val="auto"/>
              </w:rPr>
            </w:pPr>
            <w:r>
              <w:rPr>
                <w:rFonts w:ascii="Arial" w:cs="Arial" w:eastAsia="Arial" w:hAnsi="Arial"/>
                <w:sz w:val="18"/>
                <w:szCs w:val="18"/>
                <w:color w:val="auto"/>
              </w:rPr>
              <w:t>Adjusted EBITDA</w:t>
            </w: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110</w:t>
            </w:r>
          </w:p>
        </w:tc>
        <w:tc>
          <w:tcPr>
            <w:tcW w:w="360" w:type="dxa"/>
            <w:vAlign w:val="bottom"/>
            <w:shd w:val="clear" w:color="auto" w:fill="B2B2B2"/>
          </w:tcPr>
          <w:p>
            <w:pPr>
              <w:spacing w:after="0"/>
              <w:rPr>
                <w:sz w:val="24"/>
                <w:szCs w:val="24"/>
                <w:color w:val="auto"/>
              </w:rPr>
            </w:pPr>
          </w:p>
        </w:tc>
        <w:tc>
          <w:tcPr>
            <w:tcW w:w="10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157</w:t>
            </w:r>
          </w:p>
        </w:tc>
        <w:tc>
          <w:tcPr>
            <w:tcW w:w="360" w:type="dxa"/>
            <w:vAlign w:val="bottom"/>
            <w:shd w:val="clear" w:color="auto" w:fill="B2B2B2"/>
          </w:tcPr>
          <w:p>
            <w:pPr>
              <w:spacing w:after="0"/>
              <w:rPr>
                <w:sz w:val="24"/>
                <w:szCs w:val="24"/>
                <w:color w:val="auto"/>
              </w:rPr>
            </w:pPr>
          </w:p>
        </w:tc>
        <w:tc>
          <w:tcPr>
            <w:tcW w:w="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188</w:t>
            </w:r>
          </w:p>
        </w:tc>
        <w:tc>
          <w:tcPr>
            <w:tcW w:w="440" w:type="dxa"/>
            <w:vAlign w:val="bottom"/>
            <w:gridSpan w:val="2"/>
            <w:shd w:val="clear" w:color="auto" w:fill="B2B2B2"/>
          </w:tcPr>
          <w:p>
            <w:pPr>
              <w:ind w:left="34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95</w:t>
            </w:r>
          </w:p>
        </w:tc>
        <w:tc>
          <w:tcPr>
            <w:tcW w:w="60" w:type="dxa"/>
            <w:vAlign w:val="bottom"/>
            <w:shd w:val="clear" w:color="auto" w:fill="B2B2B2"/>
          </w:tcPr>
          <w:p>
            <w:pPr>
              <w:spacing w:after="0"/>
              <w:rPr>
                <w:sz w:val="24"/>
                <w:szCs w:val="24"/>
                <w:color w:val="auto"/>
              </w:rPr>
            </w:pPr>
          </w:p>
        </w:tc>
      </w:tr>
      <w:tr>
        <w:trPr>
          <w:trHeight w:val="64"/>
        </w:trPr>
        <w:tc>
          <w:tcPr>
            <w:tcW w:w="60" w:type="dxa"/>
            <w:vAlign w:val="bottom"/>
            <w:shd w:val="clear" w:color="auto" w:fill="B2B2B2"/>
          </w:tcPr>
          <w:p>
            <w:pPr>
              <w:spacing w:after="0"/>
              <w:rPr>
                <w:sz w:val="5"/>
                <w:szCs w:val="5"/>
                <w:color w:val="auto"/>
              </w:rPr>
            </w:pPr>
          </w:p>
        </w:tc>
        <w:tc>
          <w:tcPr>
            <w:tcW w:w="1220" w:type="dxa"/>
            <w:vAlign w:val="bottom"/>
            <w:shd w:val="clear" w:color="auto" w:fill="B2B2B2"/>
          </w:tcPr>
          <w:p>
            <w:pPr>
              <w:spacing w:after="0"/>
              <w:rPr>
                <w:sz w:val="5"/>
                <w:szCs w:val="5"/>
                <w:color w:val="auto"/>
              </w:rPr>
            </w:pPr>
          </w:p>
        </w:tc>
        <w:tc>
          <w:tcPr>
            <w:tcW w:w="3960" w:type="dxa"/>
            <w:vAlign w:val="bottom"/>
            <w:shd w:val="clear" w:color="auto" w:fill="B2B2B2"/>
          </w:tcPr>
          <w:p>
            <w:pPr>
              <w:spacing w:after="0"/>
              <w:rPr>
                <w:sz w:val="5"/>
                <w:szCs w:val="5"/>
                <w:color w:val="auto"/>
              </w:rPr>
            </w:pPr>
          </w:p>
        </w:tc>
        <w:tc>
          <w:tcPr>
            <w:tcW w:w="340" w:type="dxa"/>
            <w:vAlign w:val="bottom"/>
            <w:shd w:val="clear" w:color="auto" w:fill="B2B2B2"/>
          </w:tcPr>
          <w:p>
            <w:pPr>
              <w:spacing w:after="0"/>
              <w:rPr>
                <w:sz w:val="5"/>
                <w:szCs w:val="5"/>
                <w:color w:val="auto"/>
              </w:rPr>
            </w:pPr>
          </w:p>
        </w:tc>
        <w:tc>
          <w:tcPr>
            <w:tcW w:w="180" w:type="dxa"/>
            <w:vAlign w:val="bottom"/>
            <w:shd w:val="clear" w:color="auto" w:fill="B2B2B2"/>
          </w:tcPr>
          <w:p>
            <w:pPr>
              <w:spacing w:after="0"/>
              <w:rPr>
                <w:sz w:val="5"/>
                <w:szCs w:val="5"/>
                <w:color w:val="auto"/>
              </w:rPr>
            </w:pPr>
          </w:p>
        </w:tc>
        <w:tc>
          <w:tcPr>
            <w:tcW w:w="520" w:type="dxa"/>
            <w:vAlign w:val="bottom"/>
            <w:shd w:val="clear" w:color="auto" w:fill="B2B2B2"/>
          </w:tcPr>
          <w:p>
            <w:pPr>
              <w:spacing w:after="0"/>
              <w:rPr>
                <w:sz w:val="5"/>
                <w:szCs w:val="5"/>
                <w:color w:val="auto"/>
              </w:rPr>
            </w:pPr>
          </w:p>
        </w:tc>
        <w:tc>
          <w:tcPr>
            <w:tcW w:w="360" w:type="dxa"/>
            <w:vAlign w:val="bottom"/>
            <w:shd w:val="clear" w:color="auto" w:fill="B2B2B2"/>
          </w:tcPr>
          <w:p>
            <w:pPr>
              <w:spacing w:after="0"/>
              <w:rPr>
                <w:sz w:val="5"/>
                <w:szCs w:val="5"/>
                <w:color w:val="auto"/>
              </w:rPr>
            </w:pPr>
          </w:p>
        </w:tc>
        <w:tc>
          <w:tcPr>
            <w:tcW w:w="100" w:type="dxa"/>
            <w:vAlign w:val="bottom"/>
            <w:shd w:val="clear" w:color="auto" w:fill="B2B2B2"/>
          </w:tcPr>
          <w:p>
            <w:pPr>
              <w:spacing w:after="0"/>
              <w:rPr>
                <w:sz w:val="5"/>
                <w:szCs w:val="5"/>
                <w:color w:val="auto"/>
              </w:rPr>
            </w:pPr>
          </w:p>
        </w:tc>
        <w:tc>
          <w:tcPr>
            <w:tcW w:w="440" w:type="dxa"/>
            <w:vAlign w:val="bottom"/>
            <w:shd w:val="clear" w:color="auto" w:fill="B2B2B2"/>
          </w:tcPr>
          <w:p>
            <w:pPr>
              <w:spacing w:after="0"/>
              <w:rPr>
                <w:sz w:val="5"/>
                <w:szCs w:val="5"/>
                <w:color w:val="auto"/>
              </w:rPr>
            </w:pPr>
          </w:p>
        </w:tc>
        <w:tc>
          <w:tcPr>
            <w:tcW w:w="360" w:type="dxa"/>
            <w:vAlign w:val="bottom"/>
            <w:shd w:val="clear" w:color="auto" w:fill="B2B2B2"/>
          </w:tcPr>
          <w:p>
            <w:pPr>
              <w:spacing w:after="0"/>
              <w:rPr>
                <w:sz w:val="5"/>
                <w:szCs w:val="5"/>
                <w:color w:val="auto"/>
              </w:rPr>
            </w:pPr>
          </w:p>
        </w:tc>
        <w:tc>
          <w:tcPr>
            <w:tcW w:w="160" w:type="dxa"/>
            <w:vAlign w:val="bottom"/>
            <w:shd w:val="clear" w:color="auto" w:fill="B2B2B2"/>
          </w:tcPr>
          <w:p>
            <w:pPr>
              <w:spacing w:after="0"/>
              <w:rPr>
                <w:sz w:val="5"/>
                <w:szCs w:val="5"/>
                <w:color w:val="auto"/>
              </w:rPr>
            </w:pPr>
          </w:p>
        </w:tc>
        <w:tc>
          <w:tcPr>
            <w:tcW w:w="520" w:type="dxa"/>
            <w:vAlign w:val="bottom"/>
            <w:shd w:val="clear" w:color="auto" w:fill="B2B2B2"/>
          </w:tcPr>
          <w:p>
            <w:pPr>
              <w:spacing w:after="0"/>
              <w:rPr>
                <w:sz w:val="5"/>
                <w:szCs w:val="5"/>
                <w:color w:val="auto"/>
              </w:rPr>
            </w:pPr>
          </w:p>
        </w:tc>
        <w:tc>
          <w:tcPr>
            <w:tcW w:w="340" w:type="dxa"/>
            <w:vAlign w:val="bottom"/>
            <w:shd w:val="clear" w:color="auto" w:fill="B2B2B2"/>
          </w:tcPr>
          <w:p>
            <w:pPr>
              <w:spacing w:after="0"/>
              <w:rPr>
                <w:sz w:val="5"/>
                <w:szCs w:val="5"/>
                <w:color w:val="auto"/>
              </w:rPr>
            </w:pPr>
          </w:p>
        </w:tc>
        <w:tc>
          <w:tcPr>
            <w:tcW w:w="100" w:type="dxa"/>
            <w:vAlign w:val="bottom"/>
            <w:shd w:val="clear" w:color="auto" w:fill="B2B2B2"/>
          </w:tcPr>
          <w:p>
            <w:pPr>
              <w:spacing w:after="0"/>
              <w:rPr>
                <w:sz w:val="5"/>
                <w:szCs w:val="5"/>
                <w:color w:val="auto"/>
              </w:rPr>
            </w:pPr>
          </w:p>
        </w:tc>
        <w:tc>
          <w:tcPr>
            <w:tcW w:w="460" w:type="dxa"/>
            <w:vAlign w:val="bottom"/>
            <w:shd w:val="clear" w:color="auto" w:fill="B2B2B2"/>
          </w:tcPr>
          <w:p>
            <w:pPr>
              <w:spacing w:after="0"/>
              <w:rPr>
                <w:sz w:val="5"/>
                <w:szCs w:val="5"/>
                <w:color w:val="auto"/>
              </w:rPr>
            </w:pPr>
          </w:p>
        </w:tc>
        <w:tc>
          <w:tcPr>
            <w:tcW w:w="60" w:type="dxa"/>
            <w:vAlign w:val="bottom"/>
            <w:shd w:val="clear" w:color="auto" w:fill="B2B2B2"/>
          </w:tcPr>
          <w:p>
            <w:pPr>
              <w:spacing w:after="0"/>
              <w:rPr>
                <w:sz w:val="5"/>
                <w:szCs w:val="5"/>
                <w:color w:val="auto"/>
              </w:rPr>
            </w:pPr>
          </w:p>
        </w:tc>
      </w:tr>
      <w:tr>
        <w:trPr>
          <w:trHeight w:val="301"/>
        </w:trPr>
        <w:tc>
          <w:tcPr>
            <w:tcW w:w="60" w:type="dxa"/>
            <w:vAlign w:val="bottom"/>
          </w:tcPr>
          <w:p>
            <w:pPr>
              <w:spacing w:after="0"/>
              <w:rPr>
                <w:sz w:val="24"/>
                <w:szCs w:val="24"/>
                <w:color w:val="auto"/>
              </w:rPr>
            </w:pPr>
          </w:p>
        </w:tc>
        <w:tc>
          <w:tcPr>
            <w:tcW w:w="5520" w:type="dxa"/>
            <w:vAlign w:val="bottom"/>
            <w:gridSpan w:val="3"/>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1,890</w:t>
            </w:r>
          </w:p>
        </w:tc>
        <w:tc>
          <w:tcPr>
            <w:tcW w:w="3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2,100</w:t>
            </w:r>
          </w:p>
        </w:tc>
        <w:tc>
          <w:tcPr>
            <w:tcW w:w="3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2,310</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1,796</w:t>
            </w:r>
          </w:p>
        </w:tc>
        <w:tc>
          <w:tcPr>
            <w:tcW w:w="60" w:type="dxa"/>
            <w:vAlign w:val="bottom"/>
          </w:tcPr>
          <w:p>
            <w:pPr>
              <w:spacing w:after="0"/>
              <w:rPr>
                <w:sz w:val="24"/>
                <w:szCs w:val="24"/>
                <w:color w:val="auto"/>
              </w:rPr>
            </w:pPr>
          </w:p>
        </w:tc>
      </w:tr>
      <w:tr>
        <w:trPr>
          <w:trHeight w:val="64"/>
        </w:trPr>
        <w:tc>
          <w:tcPr>
            <w:tcW w:w="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39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310"/>
        </w:trPr>
        <w:tc>
          <w:tcPr>
            <w:tcW w:w="60" w:type="dxa"/>
            <w:vAlign w:val="bottom"/>
            <w:shd w:val="clear" w:color="auto" w:fill="B2B2B2"/>
          </w:tcPr>
          <w:p>
            <w:pPr>
              <w:spacing w:after="0"/>
              <w:rPr>
                <w:sz w:val="24"/>
                <w:szCs w:val="24"/>
                <w:color w:val="auto"/>
              </w:rPr>
            </w:pPr>
          </w:p>
        </w:tc>
        <w:tc>
          <w:tcPr>
            <w:tcW w:w="5520" w:type="dxa"/>
            <w:vAlign w:val="bottom"/>
            <w:gridSpan w:val="3"/>
            <w:shd w:val="clear" w:color="auto" w:fill="B2B2B2"/>
          </w:tcPr>
          <w:p>
            <w:pPr>
              <w:ind w:left="20"/>
              <w:spacing w:after="0"/>
              <w:rPr>
                <w:sz w:val="20"/>
                <w:szCs w:val="20"/>
                <w:color w:val="auto"/>
              </w:rPr>
            </w:pPr>
            <w:r>
              <w:rPr>
                <w:rFonts w:ascii="Arial" w:cs="Arial" w:eastAsia="Arial" w:hAnsi="Arial"/>
                <w:sz w:val="18"/>
                <w:szCs w:val="18"/>
                <w:color w:val="auto"/>
              </w:rPr>
              <w:t>Free Cash Flow</w:t>
            </w:r>
          </w:p>
        </w:tc>
        <w:tc>
          <w:tcPr>
            <w:tcW w:w="1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B2B2B2"/>
          </w:tcPr>
          <w:p>
            <w:pPr>
              <w:spacing w:after="0"/>
              <w:rPr>
                <w:sz w:val="24"/>
                <w:szCs w:val="24"/>
                <w:color w:val="auto"/>
              </w:rPr>
            </w:pPr>
          </w:p>
        </w:tc>
        <w:tc>
          <w:tcPr>
            <w:tcW w:w="10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w:t>
            </w:r>
          </w:p>
        </w:tc>
        <w:tc>
          <w:tcPr>
            <w:tcW w:w="360" w:type="dxa"/>
            <w:vAlign w:val="bottom"/>
            <w:shd w:val="clear" w:color="auto" w:fill="B2B2B2"/>
          </w:tcPr>
          <w:p>
            <w:pPr>
              <w:spacing w:after="0"/>
              <w:rPr>
                <w:sz w:val="24"/>
                <w:szCs w:val="24"/>
                <w:color w:val="auto"/>
              </w:rPr>
            </w:pPr>
          </w:p>
        </w:tc>
        <w:tc>
          <w:tcPr>
            <w:tcW w:w="1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10</w:t>
            </w:r>
          </w:p>
        </w:tc>
        <w:tc>
          <w:tcPr>
            <w:tcW w:w="440" w:type="dxa"/>
            <w:vAlign w:val="bottom"/>
            <w:gridSpan w:val="2"/>
            <w:shd w:val="clear" w:color="auto" w:fill="B2B2B2"/>
          </w:tcPr>
          <w:p>
            <w:pPr>
              <w:ind w:left="34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B2B2B2"/>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B2B2B2"/>
          </w:tcPr>
          <w:p>
            <w:pPr>
              <w:spacing w:after="0"/>
              <w:rPr>
                <w:sz w:val="24"/>
                <w:szCs w:val="24"/>
                <w:color w:val="auto"/>
              </w:rPr>
            </w:pPr>
          </w:p>
        </w:tc>
      </w:tr>
      <w:tr>
        <w:trPr>
          <w:trHeight w:val="189"/>
        </w:trPr>
        <w:tc>
          <w:tcPr>
            <w:tcW w:w="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-796290</wp:posOffset>
            </wp:positionV>
            <wp:extent cx="342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5216525</wp:posOffset>
            </wp:positionH>
            <wp:positionV relativeFrom="paragraph">
              <wp:posOffset>-796290</wp:posOffset>
            </wp:positionV>
            <wp:extent cx="22288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-796290</wp:posOffset>
            </wp:positionV>
            <wp:extent cx="22288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-796290</wp:posOffset>
            </wp:positionV>
            <wp:extent cx="22288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-796290</wp:posOffset>
            </wp:positionV>
            <wp:extent cx="22288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-796290</wp:posOffset>
            </wp:positionV>
            <wp:extent cx="431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Note: Payouts are linearly interpolated for performance between threshold and maximum.</w:t>
      </w:r>
    </w:p>
    <w:p>
      <w:pPr>
        <w:sectPr>
          <w:pgSz w:w="11900" w:h="16838" w:orient="portrait"/>
          <w:cols w:equalWidth="0" w:num="1">
            <w:col w:w="9180"/>
          </w:cols>
          <w:pgMar w:left="1360" w:top="263" w:right="1359" w:bottom="1440" w:gutter="0" w:footer="0" w:header="0"/>
        </w:sectPr>
      </w:pPr>
    </w:p>
    <w:p>
      <w:pPr>
        <w:spacing w:after="0" w:line="315" w:lineRule="exact"/>
        <w:rPr>
          <w:sz w:val="20"/>
          <w:szCs w:val="20"/>
          <w:color w:val="auto"/>
        </w:rPr>
      </w:pPr>
    </w:p>
    <w:p>
      <w:pPr>
        <w:spacing w:after="0"/>
        <w:tabs>
          <w:tab w:leader="none" w:pos="4420" w:val="left"/>
        </w:tabs>
        <w:rPr>
          <w:sz w:val="20"/>
          <w:szCs w:val="20"/>
          <w:color w:val="auto"/>
        </w:rPr>
      </w:pPr>
      <w:r>
        <w:rPr>
          <w:rFonts w:ascii="Arial" w:cs="Arial" w:eastAsia="Arial" w:hAnsi="Arial"/>
          <w:sz w:val="12"/>
          <w:szCs w:val="12"/>
          <w:color w:val="auto"/>
        </w:rPr>
        <w:t> </w:t>
      </w:r>
      <w:r>
        <w:rPr>
          <w:sz w:val="20"/>
          <w:szCs w:val="20"/>
          <w:color w:val="auto"/>
        </w:rPr>
        <w:tab/>
      </w: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170815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0"/>
          </w:cols>
          <w:pgMar w:left="1360" w:top="263" w:right="1359" w:bottom="1440" w:gutter="0" w:footer="0" w:header="0"/>
          <w:type w:val="continuous"/>
        </w:sectPr>
      </w:pPr>
    </w:p>
    <w:bookmarkStart w:id="36" w:name="page37"/>
    <w:bookmarkEnd w:id="36"/>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6" w:right="80"/>
        <w:spacing w:after="0" w:line="247" w:lineRule="auto"/>
        <w:rPr>
          <w:sz w:val="20"/>
          <w:szCs w:val="20"/>
          <w:color w:val="auto"/>
        </w:rPr>
      </w:pPr>
      <w:r>
        <w:rPr>
          <w:rFonts w:ascii="Arial" w:cs="Arial" w:eastAsia="Arial" w:hAnsi="Arial"/>
          <w:sz w:val="18"/>
          <w:szCs w:val="18"/>
          <w:color w:val="auto"/>
        </w:rPr>
        <w:t>Based on the above financial performance results, the 2022 IIP payouts were 0% of each NEO’s applicable target because adequate Adjusted EBITDA goal was not achieved. The Committee retains discretion to further adjust the award upward or downward based on its assessment of individual performance but did not make any adjustments for 2022 awards.</w:t>
      </w:r>
    </w:p>
    <w:p>
      <w:pPr>
        <w:spacing w:after="0" w:line="187" w:lineRule="exact"/>
        <w:rPr>
          <w:sz w:val="20"/>
          <w:szCs w:val="20"/>
          <w:color w:val="auto"/>
        </w:rPr>
      </w:pPr>
    </w:p>
    <w:p>
      <w:pPr>
        <w:ind w:left="6"/>
        <w:spacing w:after="0"/>
        <w:rPr>
          <w:sz w:val="20"/>
          <w:szCs w:val="20"/>
          <w:color w:val="auto"/>
        </w:rPr>
      </w:pPr>
      <w:r>
        <w:rPr>
          <w:rFonts w:ascii="Arial" w:cs="Arial" w:eastAsia="Arial" w:hAnsi="Arial"/>
          <w:sz w:val="18"/>
          <w:szCs w:val="18"/>
          <w:b w:val="1"/>
          <w:bCs w:val="1"/>
          <w:u w:val="single" w:color="auto"/>
          <w:color w:val="auto"/>
        </w:rPr>
        <w:t>Long-Term Incentives</w:t>
      </w:r>
    </w:p>
    <w:p>
      <w:pPr>
        <w:spacing w:after="0" w:line="171" w:lineRule="exact"/>
        <w:rPr>
          <w:sz w:val="20"/>
          <w:szCs w:val="20"/>
          <w:color w:val="auto"/>
        </w:rPr>
      </w:pPr>
    </w:p>
    <w:p>
      <w:pPr>
        <w:ind w:left="6" w:right="260"/>
        <w:spacing w:after="0" w:line="253" w:lineRule="auto"/>
        <w:rPr>
          <w:sz w:val="20"/>
          <w:szCs w:val="20"/>
          <w:color w:val="auto"/>
        </w:rPr>
      </w:pPr>
      <w:r>
        <w:rPr>
          <w:rFonts w:ascii="Arial" w:cs="Arial" w:eastAsia="Arial" w:hAnsi="Arial"/>
          <w:sz w:val="18"/>
          <w:szCs w:val="18"/>
          <w:color w:val="auto"/>
        </w:rPr>
        <w:t>The NEOs are eligible for long-term incentives, all of which were issued under the terms of our Second A&amp;R 2010 Plan. The Compensation Committee considers a mix of equity vehicles when granting long-term incentives and uses PRSUs and RSUs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wp:posOffset>
            </wp:positionH>
            <wp:positionV relativeFrom="paragraph">
              <wp:posOffset>205105</wp:posOffset>
            </wp:positionV>
            <wp:extent cx="4757420" cy="25971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75742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
        <w:spacing w:after="0"/>
        <w:rPr>
          <w:sz w:val="20"/>
          <w:szCs w:val="20"/>
          <w:color w:val="auto"/>
        </w:rPr>
      </w:pPr>
      <w:r>
        <w:rPr>
          <w:rFonts w:ascii="Arial" w:cs="Arial" w:eastAsia="Arial" w:hAnsi="Arial"/>
          <w:sz w:val="18"/>
          <w:szCs w:val="18"/>
          <w:color w:val="auto"/>
        </w:rPr>
        <w:t> </w:t>
      </w:r>
    </w:p>
    <w:p>
      <w:pPr>
        <w:spacing w:after="0" w:line="171" w:lineRule="exact"/>
        <w:rPr>
          <w:sz w:val="20"/>
          <w:szCs w:val="20"/>
          <w:color w:val="auto"/>
        </w:rPr>
      </w:pPr>
    </w:p>
    <w:p>
      <w:pPr>
        <w:ind w:left="706" w:hanging="346"/>
        <w:spacing w:after="0"/>
        <w:tabs>
          <w:tab w:leader="none" w:pos="706"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PRSUs reward the achievement of financial goals over a three-year performance period.</w:t>
      </w:r>
    </w:p>
    <w:p>
      <w:pPr>
        <w:spacing w:after="0" w:line="184" w:lineRule="exact"/>
        <w:rPr>
          <w:rFonts w:ascii="Arial" w:cs="Arial" w:eastAsia="Arial" w:hAnsi="Arial"/>
          <w:sz w:val="18"/>
          <w:szCs w:val="18"/>
          <w:color w:val="auto"/>
        </w:rPr>
      </w:pPr>
    </w:p>
    <w:p>
      <w:pPr>
        <w:ind w:left="706" w:hanging="346"/>
        <w:spacing w:after="0"/>
        <w:tabs>
          <w:tab w:leader="none" w:pos="706" w:val="left"/>
        </w:tabs>
        <w:numPr>
          <w:ilvl w:val="0"/>
          <w:numId w:val="35"/>
        </w:numPr>
        <w:rPr>
          <w:rFonts w:ascii="Arial" w:cs="Arial" w:eastAsia="Arial" w:hAnsi="Arial"/>
          <w:sz w:val="18"/>
          <w:szCs w:val="18"/>
          <w:color w:val="auto"/>
        </w:rPr>
      </w:pPr>
      <w:r>
        <w:rPr>
          <w:rFonts w:ascii="Arial" w:cs="Arial" w:eastAsia="Arial" w:hAnsi="Arial"/>
          <w:sz w:val="18"/>
          <w:szCs w:val="18"/>
          <w:color w:val="auto"/>
        </w:rPr>
        <w:t>RSUs support retention; they vest one-third per year on the anniversary of the grant date.</w:t>
      </w:r>
    </w:p>
    <w:p>
      <w:pPr>
        <w:spacing w:after="0" w:line="171" w:lineRule="exact"/>
        <w:rPr>
          <w:sz w:val="20"/>
          <w:szCs w:val="20"/>
          <w:color w:val="auto"/>
        </w:rPr>
      </w:pPr>
    </w:p>
    <w:p>
      <w:pPr>
        <w:ind w:left="6" w:right="60"/>
        <w:spacing w:after="0" w:line="244" w:lineRule="auto"/>
        <w:rPr>
          <w:sz w:val="20"/>
          <w:szCs w:val="20"/>
          <w:color w:val="auto"/>
        </w:rPr>
      </w:pPr>
      <w:r>
        <w:rPr>
          <w:rFonts w:ascii="Arial" w:cs="Arial" w:eastAsia="Arial" w:hAnsi="Arial"/>
          <w:sz w:val="18"/>
          <w:szCs w:val="18"/>
          <w:color w:val="auto"/>
        </w:rPr>
        <w:t>For 2022, the Compensation Committee decided to place a heavier emphasis on performance-based equity for the CEO by changing the annual LTI award mix for his award to 62.5% PRSUs and 37.5% RSUs. The annual LTIP awards for all other NEOs continue to be comprised of 50% PRSUs and 50% RSUs. In addition, for the 2022 portion of the 2020-2022 performance cycle of the PRSUs, the Compensation Committee determined to widen the performance range and lower the payout threshold from 50% of target to 0% of target.</w:t>
      </w:r>
    </w:p>
    <w:p>
      <w:pPr>
        <w:spacing w:after="0" w:line="136"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 xml:space="preserve">2022 Target Long-Term Incentive Award Grants. </w:t>
      </w:r>
      <w:r>
        <w:rPr>
          <w:rFonts w:ascii="Arial" w:cs="Arial" w:eastAsia="Arial" w:hAnsi="Arial"/>
          <w:sz w:val="18"/>
          <w:szCs w:val="18"/>
          <w:color w:val="auto"/>
        </w:rPr>
        <w:t>After its annual review, the Committee determined to increase</w:t>
      </w:r>
    </w:p>
    <w:p>
      <w:pPr>
        <w:spacing w:after="0" w:line="9" w:lineRule="exact"/>
        <w:rPr>
          <w:sz w:val="20"/>
          <w:szCs w:val="20"/>
          <w:color w:val="auto"/>
        </w:rPr>
      </w:pPr>
    </w:p>
    <w:p>
      <w:pPr>
        <w:ind w:left="6"/>
        <w:spacing w:after="0"/>
        <w:rPr>
          <w:sz w:val="20"/>
          <w:szCs w:val="20"/>
          <w:color w:val="auto"/>
        </w:rPr>
      </w:pPr>
      <w:r>
        <w:rPr>
          <w:rFonts w:ascii="Arial" w:cs="Arial" w:eastAsia="Arial" w:hAnsi="Arial"/>
          <w:sz w:val="18"/>
          <w:szCs w:val="18"/>
          <w:color w:val="auto"/>
        </w:rPr>
        <w:t>Mr. Deitrich’s and Ms. Hooper’s target annual long-term incentive awards (from a total value of $3 million and</w:t>
      </w:r>
    </w:p>
    <w:p>
      <w:pPr>
        <w:ind w:left="6"/>
        <w:spacing w:after="0" w:line="234" w:lineRule="auto"/>
        <w:rPr>
          <w:sz w:val="20"/>
          <w:szCs w:val="20"/>
          <w:color w:val="auto"/>
        </w:rPr>
      </w:pPr>
      <w:r>
        <w:rPr>
          <w:rFonts w:ascii="Arial" w:cs="Arial" w:eastAsia="Arial" w:hAnsi="Arial"/>
          <w:sz w:val="18"/>
          <w:szCs w:val="18"/>
          <w:color w:val="auto"/>
        </w:rPr>
        <w:t>$1.4 million in 2021, respectively) to better align with the market. The table below shows the target annual long-</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term incentive award values granted for fiscal year 2022 for each of the NEOs:</w:t>
      </w:r>
    </w:p>
    <w:p>
      <w:pPr>
        <w:spacing w:after="0" w:line="122" w:lineRule="exact"/>
        <w:rPr>
          <w:sz w:val="20"/>
          <w:szCs w:val="20"/>
          <w:color w:val="auto"/>
        </w:rPr>
      </w:pPr>
    </w:p>
    <w:tbl>
      <w:tblPr>
        <w:tblLayout w:type="fixed"/>
        <w:tblInd w:w="6"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PRSUs* (at</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6"/>
        </w:trPr>
        <w:tc>
          <w:tcPr>
            <w:tcW w:w="40" w:type="dxa"/>
            <w:vAlign w:val="bottom"/>
          </w:tcPr>
          <w:p>
            <w:pPr>
              <w:spacing w:after="0"/>
              <w:rPr>
                <w:sz w:val="17"/>
                <w:szCs w:val="17"/>
                <w:color w:val="auto"/>
              </w:rPr>
            </w:pPr>
          </w:p>
        </w:tc>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NEO</w:t>
            </w:r>
          </w:p>
        </w:tc>
        <w:tc>
          <w:tcPr>
            <w:tcW w:w="280" w:type="dxa"/>
            <w:vAlign w:val="bottom"/>
          </w:tcPr>
          <w:p>
            <w:pPr>
              <w:spacing w:after="0"/>
              <w:rPr>
                <w:sz w:val="17"/>
                <w:szCs w:val="17"/>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Target)</w:t>
            </w:r>
          </w:p>
        </w:tc>
        <w:tc>
          <w:tcPr>
            <w:tcW w:w="160" w:type="dxa"/>
            <w:vAlign w:val="bottom"/>
          </w:tcPr>
          <w:p>
            <w:pPr>
              <w:spacing w:after="0"/>
              <w:rPr>
                <w:sz w:val="17"/>
                <w:szCs w:val="17"/>
                <w:color w:val="auto"/>
              </w:rPr>
            </w:pPr>
          </w:p>
        </w:tc>
        <w:tc>
          <w:tcPr>
            <w:tcW w:w="740" w:type="dxa"/>
            <w:vAlign w:val="bottom"/>
          </w:tcPr>
          <w:p>
            <w:pPr>
              <w:jc w:val="right"/>
              <w:ind w:right="154"/>
              <w:spacing w:after="0"/>
              <w:rPr>
                <w:sz w:val="20"/>
                <w:szCs w:val="20"/>
                <w:color w:val="auto"/>
              </w:rPr>
            </w:pPr>
            <w:r>
              <w:rPr>
                <w:rFonts w:ascii="Arial" w:cs="Arial" w:eastAsia="Arial" w:hAnsi="Arial"/>
                <w:sz w:val="14"/>
                <w:szCs w:val="14"/>
                <w:b w:val="1"/>
                <w:bCs w:val="1"/>
                <w:color w:val="auto"/>
              </w:rPr>
              <w:t>RSUs*</w:t>
            </w:r>
          </w:p>
        </w:tc>
        <w:tc>
          <w:tcPr>
            <w:tcW w:w="180" w:type="dxa"/>
            <w:vAlign w:val="bottom"/>
          </w:tcPr>
          <w:p>
            <w:pPr>
              <w:spacing w:after="0"/>
              <w:rPr>
                <w:sz w:val="17"/>
                <w:szCs w:val="17"/>
                <w:color w:val="auto"/>
              </w:rPr>
            </w:pPr>
          </w:p>
        </w:tc>
        <w:tc>
          <w:tcPr>
            <w:tcW w:w="1000" w:type="dxa"/>
            <w:vAlign w:val="bottom"/>
            <w:gridSpan w:val="3"/>
          </w:tcPr>
          <w:p>
            <w:pPr>
              <w:ind w:left="100"/>
              <w:spacing w:after="0"/>
              <w:rPr>
                <w:sz w:val="20"/>
                <w:szCs w:val="20"/>
                <w:color w:val="auto"/>
              </w:rPr>
            </w:pPr>
            <w:r>
              <w:rPr>
                <w:rFonts w:ascii="Arial" w:cs="Arial" w:eastAsia="Arial" w:hAnsi="Arial"/>
                <w:sz w:val="14"/>
                <w:szCs w:val="14"/>
                <w:b w:val="1"/>
                <w:bCs w:val="1"/>
                <w:color w:val="auto"/>
              </w:rPr>
              <w:t>Total Value</w:t>
            </w:r>
          </w:p>
        </w:tc>
      </w:tr>
      <w:tr>
        <w:trPr>
          <w:trHeight w:val="56"/>
        </w:trPr>
        <w:tc>
          <w:tcPr>
            <w:tcW w:w="40" w:type="dxa"/>
            <w:vAlign w:val="bottom"/>
            <w:tcBorders>
              <w:bottom w:val="single" w:sz="8" w:color="B2B2B2"/>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4180" w:type="dxa"/>
            <w:vAlign w:val="bottom"/>
            <w:tcBorders>
              <w:bottom w:val="single" w:sz="8" w:color="auto"/>
            </w:tcBorders>
          </w:tcPr>
          <w:p>
            <w:pPr>
              <w:spacing w:after="0"/>
              <w:rPr>
                <w:sz w:val="4"/>
                <w:szCs w:val="4"/>
                <w:color w:val="auto"/>
              </w:rPr>
            </w:pPr>
          </w:p>
        </w:tc>
        <w:tc>
          <w:tcPr>
            <w:tcW w:w="200" w:type="dxa"/>
            <w:vAlign w:val="bottom"/>
            <w:tcBorders>
              <w:bottom w:val="single" w:sz="8" w:color="B2B2B2"/>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Borders>
              <w:bottom w:val="single" w:sz="8" w:color="B2B2B2"/>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B2B2B2"/>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B2B2B2"/>
            </w:tcBorders>
          </w:tcPr>
          <w:p>
            <w:pPr>
              <w:spacing w:after="0"/>
              <w:rPr>
                <w:sz w:val="4"/>
                <w:szCs w:val="4"/>
                <w:color w:val="auto"/>
              </w:rPr>
            </w:pPr>
          </w:p>
        </w:tc>
      </w:tr>
      <w:tr>
        <w:trPr>
          <w:trHeight w:val="295"/>
        </w:trPr>
        <w:tc>
          <w:tcPr>
            <w:tcW w:w="40" w:type="dxa"/>
            <w:vAlign w:val="bottom"/>
            <w:shd w:val="clear" w:color="auto" w:fill="B2B2B2"/>
          </w:tcPr>
          <w:p>
            <w:pPr>
              <w:spacing w:after="0"/>
              <w:rPr>
                <w:sz w:val="24"/>
                <w:szCs w:val="24"/>
                <w:color w:val="auto"/>
              </w:rPr>
            </w:pPr>
          </w:p>
        </w:tc>
        <w:tc>
          <w:tcPr>
            <w:tcW w:w="5620" w:type="dxa"/>
            <w:vAlign w:val="bottom"/>
            <w:gridSpan w:val="3"/>
            <w:shd w:val="clear" w:color="auto" w:fill="B2B2B2"/>
          </w:tcPr>
          <w:p>
            <w:pPr>
              <w:ind w:left="40"/>
              <w:spacing w:after="0"/>
              <w:rPr>
                <w:sz w:val="20"/>
                <w:szCs w:val="20"/>
                <w:color w:val="auto"/>
              </w:rPr>
            </w:pPr>
            <w:r>
              <w:rPr>
                <w:rFonts w:ascii="Arial" w:cs="Arial" w:eastAsia="Arial" w:hAnsi="Arial"/>
                <w:sz w:val="18"/>
                <w:szCs w:val="18"/>
                <w:color w:val="auto"/>
              </w:rPr>
              <w:t>Thomas L. Deitrich</w:t>
            </w:r>
          </w:p>
        </w:tc>
        <w:tc>
          <w:tcPr>
            <w:tcW w:w="2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B2B2B2"/>
          </w:tcPr>
          <w:p>
            <w:pPr>
              <w:jc w:val="right"/>
              <w:ind w:right="73"/>
              <w:spacing w:after="0"/>
              <w:rPr>
                <w:sz w:val="20"/>
                <w:szCs w:val="20"/>
                <w:color w:val="auto"/>
              </w:rPr>
            </w:pPr>
            <w:r>
              <w:rPr>
                <w:rFonts w:ascii="Arial" w:cs="Arial" w:eastAsia="Arial" w:hAnsi="Arial"/>
                <w:sz w:val="18"/>
                <w:szCs w:val="18"/>
                <w:color w:val="auto"/>
                <w:w w:val="97"/>
              </w:rPr>
              <w:t>2,500,000</w:t>
            </w:r>
          </w:p>
        </w:tc>
        <w:tc>
          <w:tcPr>
            <w:tcW w:w="200" w:type="dxa"/>
            <w:vAlign w:val="bottom"/>
            <w:shd w:val="clear" w:color="auto" w:fill="B2B2B2"/>
          </w:tcPr>
          <w:p>
            <w:pPr>
              <w:spacing w:after="0"/>
              <w:rPr>
                <w:sz w:val="24"/>
                <w:szCs w:val="24"/>
                <w:color w:val="auto"/>
              </w:rPr>
            </w:pPr>
          </w:p>
        </w:tc>
        <w:tc>
          <w:tcPr>
            <w:tcW w:w="90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1,500,000</w:t>
            </w:r>
          </w:p>
        </w:tc>
        <w:tc>
          <w:tcPr>
            <w:tcW w:w="28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B2B2B2"/>
          </w:tcPr>
          <w:p>
            <w:pPr>
              <w:jc w:val="right"/>
              <w:spacing w:after="0"/>
              <w:rPr>
                <w:sz w:val="20"/>
                <w:szCs w:val="20"/>
                <w:color w:val="auto"/>
              </w:rPr>
            </w:pPr>
            <w:r>
              <w:rPr>
                <w:rFonts w:ascii="Arial" w:cs="Arial" w:eastAsia="Arial" w:hAnsi="Arial"/>
                <w:sz w:val="18"/>
                <w:szCs w:val="18"/>
                <w:color w:val="auto"/>
                <w:w w:val="97"/>
              </w:rPr>
              <w:t>4,000,000</w:t>
            </w:r>
          </w:p>
        </w:tc>
        <w:tc>
          <w:tcPr>
            <w:tcW w:w="80" w:type="dxa"/>
            <w:vAlign w:val="bottom"/>
            <w:shd w:val="clear" w:color="auto" w:fill="B2B2B2"/>
          </w:tcPr>
          <w:p>
            <w:pPr>
              <w:spacing w:after="0"/>
              <w:rPr>
                <w:sz w:val="24"/>
                <w:szCs w:val="24"/>
                <w:color w:val="auto"/>
              </w:rPr>
            </w:pPr>
          </w:p>
        </w:tc>
      </w:tr>
      <w:tr>
        <w:trPr>
          <w:trHeight w:val="63"/>
        </w:trPr>
        <w:tc>
          <w:tcPr>
            <w:tcW w:w="40" w:type="dxa"/>
            <w:vAlign w:val="bottom"/>
            <w:shd w:val="clear" w:color="auto" w:fill="B2B2B2"/>
          </w:tcPr>
          <w:p>
            <w:pPr>
              <w:spacing w:after="0"/>
              <w:rPr>
                <w:sz w:val="5"/>
                <w:szCs w:val="5"/>
                <w:color w:val="auto"/>
              </w:rPr>
            </w:pPr>
          </w:p>
        </w:tc>
        <w:tc>
          <w:tcPr>
            <w:tcW w:w="1240" w:type="dxa"/>
            <w:vAlign w:val="bottom"/>
            <w:shd w:val="clear" w:color="auto" w:fill="B2B2B2"/>
          </w:tcPr>
          <w:p>
            <w:pPr>
              <w:spacing w:after="0"/>
              <w:rPr>
                <w:sz w:val="5"/>
                <w:szCs w:val="5"/>
                <w:color w:val="auto"/>
              </w:rPr>
            </w:pPr>
          </w:p>
        </w:tc>
        <w:tc>
          <w:tcPr>
            <w:tcW w:w="4180" w:type="dxa"/>
            <w:vAlign w:val="bottom"/>
            <w:shd w:val="clear" w:color="auto" w:fill="B2B2B2"/>
          </w:tcPr>
          <w:p>
            <w:pPr>
              <w:spacing w:after="0"/>
              <w:rPr>
                <w:sz w:val="5"/>
                <w:szCs w:val="5"/>
                <w:color w:val="auto"/>
              </w:rPr>
            </w:pPr>
          </w:p>
        </w:tc>
        <w:tc>
          <w:tcPr>
            <w:tcW w:w="200" w:type="dxa"/>
            <w:vAlign w:val="bottom"/>
            <w:shd w:val="clear" w:color="auto" w:fill="B2B2B2"/>
          </w:tcPr>
          <w:p>
            <w:pPr>
              <w:spacing w:after="0"/>
              <w:rPr>
                <w:sz w:val="5"/>
                <w:szCs w:val="5"/>
                <w:color w:val="auto"/>
              </w:rPr>
            </w:pPr>
          </w:p>
        </w:tc>
        <w:tc>
          <w:tcPr>
            <w:tcW w:w="280" w:type="dxa"/>
            <w:vAlign w:val="bottom"/>
            <w:shd w:val="clear" w:color="auto" w:fill="B2B2B2"/>
          </w:tcPr>
          <w:p>
            <w:pPr>
              <w:spacing w:after="0"/>
              <w:rPr>
                <w:sz w:val="5"/>
                <w:szCs w:val="5"/>
                <w:color w:val="auto"/>
              </w:rPr>
            </w:pPr>
          </w:p>
        </w:tc>
        <w:tc>
          <w:tcPr>
            <w:tcW w:w="960" w:type="dxa"/>
            <w:vAlign w:val="bottom"/>
            <w:shd w:val="clear" w:color="auto" w:fill="B2B2B2"/>
          </w:tcPr>
          <w:p>
            <w:pPr>
              <w:spacing w:after="0"/>
              <w:rPr>
                <w:sz w:val="5"/>
                <w:szCs w:val="5"/>
                <w:color w:val="auto"/>
              </w:rPr>
            </w:pPr>
          </w:p>
        </w:tc>
        <w:tc>
          <w:tcPr>
            <w:tcW w:w="200" w:type="dxa"/>
            <w:vAlign w:val="bottom"/>
            <w:shd w:val="clear" w:color="auto" w:fill="B2B2B2"/>
          </w:tcPr>
          <w:p>
            <w:pPr>
              <w:spacing w:after="0"/>
              <w:rPr>
                <w:sz w:val="5"/>
                <w:szCs w:val="5"/>
                <w:color w:val="auto"/>
              </w:rPr>
            </w:pPr>
          </w:p>
        </w:tc>
        <w:tc>
          <w:tcPr>
            <w:tcW w:w="160" w:type="dxa"/>
            <w:vAlign w:val="bottom"/>
            <w:shd w:val="clear" w:color="auto" w:fill="B2B2B2"/>
          </w:tcPr>
          <w:p>
            <w:pPr>
              <w:spacing w:after="0"/>
              <w:rPr>
                <w:sz w:val="5"/>
                <w:szCs w:val="5"/>
                <w:color w:val="auto"/>
              </w:rPr>
            </w:pPr>
          </w:p>
        </w:tc>
        <w:tc>
          <w:tcPr>
            <w:tcW w:w="740" w:type="dxa"/>
            <w:vAlign w:val="bottom"/>
            <w:shd w:val="clear" w:color="auto" w:fill="B2B2B2"/>
          </w:tcPr>
          <w:p>
            <w:pPr>
              <w:spacing w:after="0"/>
              <w:rPr>
                <w:sz w:val="5"/>
                <w:szCs w:val="5"/>
                <w:color w:val="auto"/>
              </w:rPr>
            </w:pPr>
          </w:p>
        </w:tc>
        <w:tc>
          <w:tcPr>
            <w:tcW w:w="180" w:type="dxa"/>
            <w:vAlign w:val="bottom"/>
            <w:shd w:val="clear" w:color="auto" w:fill="B2B2B2"/>
          </w:tcPr>
          <w:p>
            <w:pPr>
              <w:spacing w:after="0"/>
              <w:rPr>
                <w:sz w:val="5"/>
                <w:szCs w:val="5"/>
                <w:color w:val="auto"/>
              </w:rPr>
            </w:pPr>
          </w:p>
        </w:tc>
        <w:tc>
          <w:tcPr>
            <w:tcW w:w="100" w:type="dxa"/>
            <w:vAlign w:val="bottom"/>
            <w:shd w:val="clear" w:color="auto" w:fill="B2B2B2"/>
          </w:tcPr>
          <w:p>
            <w:pPr>
              <w:spacing w:after="0"/>
              <w:rPr>
                <w:sz w:val="5"/>
                <w:szCs w:val="5"/>
                <w:color w:val="auto"/>
              </w:rPr>
            </w:pPr>
          </w:p>
        </w:tc>
        <w:tc>
          <w:tcPr>
            <w:tcW w:w="820" w:type="dxa"/>
            <w:vAlign w:val="bottom"/>
            <w:shd w:val="clear" w:color="auto" w:fill="B2B2B2"/>
          </w:tcPr>
          <w:p>
            <w:pPr>
              <w:spacing w:after="0"/>
              <w:rPr>
                <w:sz w:val="5"/>
                <w:szCs w:val="5"/>
                <w:color w:val="auto"/>
              </w:rPr>
            </w:pPr>
          </w:p>
        </w:tc>
        <w:tc>
          <w:tcPr>
            <w:tcW w:w="80" w:type="dxa"/>
            <w:vAlign w:val="bottom"/>
            <w:shd w:val="clear" w:color="auto" w:fill="B2B2B2"/>
          </w:tcPr>
          <w:p>
            <w:pPr>
              <w:spacing w:after="0"/>
              <w:rPr>
                <w:sz w:val="5"/>
                <w:szCs w:val="5"/>
                <w:color w:val="auto"/>
              </w:rPr>
            </w:pPr>
          </w:p>
        </w:tc>
      </w:tr>
      <w:tr>
        <w:trPr>
          <w:trHeight w:val="301"/>
        </w:trPr>
        <w:tc>
          <w:tcPr>
            <w:tcW w:w="40" w:type="dxa"/>
            <w:vAlign w:val="bottom"/>
          </w:tcPr>
          <w:p>
            <w:pPr>
              <w:spacing w:after="0"/>
              <w:rPr>
                <w:sz w:val="24"/>
                <w:szCs w:val="24"/>
                <w:color w:val="auto"/>
              </w:rPr>
            </w:pPr>
          </w:p>
        </w:tc>
        <w:tc>
          <w:tcPr>
            <w:tcW w:w="5620" w:type="dxa"/>
            <w:vAlign w:val="bottom"/>
            <w:gridSpan w:val="3"/>
          </w:tcPr>
          <w:p>
            <w:pPr>
              <w:ind w:left="40"/>
              <w:spacing w:after="0"/>
              <w:rPr>
                <w:sz w:val="20"/>
                <w:szCs w:val="20"/>
                <w:color w:val="auto"/>
              </w:rPr>
            </w:pPr>
            <w:r>
              <w:rPr>
                <w:rFonts w:ascii="Arial" w:cs="Arial" w:eastAsia="Arial" w:hAnsi="Arial"/>
                <w:sz w:val="18"/>
                <w:szCs w:val="18"/>
                <w:color w:val="auto"/>
              </w:rPr>
              <w:t>Joan S. Hooper</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750,000</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750,000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1,500,000</w:t>
            </w:r>
          </w:p>
        </w:tc>
        <w:tc>
          <w:tcPr>
            <w:tcW w:w="80" w:type="dxa"/>
            <w:vAlign w:val="bottom"/>
          </w:tcPr>
          <w:p>
            <w:pPr>
              <w:spacing w:after="0"/>
              <w:rPr>
                <w:sz w:val="24"/>
                <w:szCs w:val="24"/>
                <w:color w:val="auto"/>
              </w:rPr>
            </w:pPr>
          </w:p>
        </w:tc>
      </w:tr>
      <w:tr>
        <w:trPr>
          <w:trHeight w:val="64"/>
        </w:trPr>
        <w:tc>
          <w:tcPr>
            <w:tcW w:w="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301"/>
        </w:trPr>
        <w:tc>
          <w:tcPr>
            <w:tcW w:w="40" w:type="dxa"/>
            <w:vAlign w:val="bottom"/>
            <w:shd w:val="clear" w:color="auto" w:fill="B2B2B2"/>
          </w:tcPr>
          <w:p>
            <w:pPr>
              <w:spacing w:after="0"/>
              <w:rPr>
                <w:sz w:val="24"/>
                <w:szCs w:val="24"/>
                <w:color w:val="auto"/>
              </w:rPr>
            </w:pPr>
          </w:p>
        </w:tc>
        <w:tc>
          <w:tcPr>
            <w:tcW w:w="5620" w:type="dxa"/>
            <w:vAlign w:val="bottom"/>
            <w:gridSpan w:val="3"/>
            <w:shd w:val="clear" w:color="auto" w:fill="B2B2B2"/>
          </w:tcPr>
          <w:p>
            <w:pPr>
              <w:ind w:left="40"/>
              <w:spacing w:after="0"/>
              <w:rPr>
                <w:sz w:val="20"/>
                <w:szCs w:val="20"/>
                <w:color w:val="auto"/>
              </w:rPr>
            </w:pPr>
            <w:r>
              <w:rPr>
                <w:rFonts w:ascii="Arial" w:cs="Arial" w:eastAsia="Arial" w:hAnsi="Arial"/>
                <w:sz w:val="18"/>
                <w:szCs w:val="18"/>
                <w:color w:val="auto"/>
              </w:rPr>
              <w:t>Michel C. Cadieux</w:t>
            </w:r>
          </w:p>
        </w:tc>
        <w:tc>
          <w:tcPr>
            <w:tcW w:w="2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B2B2B2"/>
          </w:tcPr>
          <w:p>
            <w:pPr>
              <w:jc w:val="right"/>
              <w:ind w:right="73"/>
              <w:spacing w:after="0"/>
              <w:rPr>
                <w:sz w:val="20"/>
                <w:szCs w:val="20"/>
                <w:color w:val="auto"/>
              </w:rPr>
            </w:pPr>
            <w:r>
              <w:rPr>
                <w:rFonts w:ascii="Arial" w:cs="Arial" w:eastAsia="Arial" w:hAnsi="Arial"/>
                <w:sz w:val="18"/>
                <w:szCs w:val="18"/>
                <w:color w:val="auto"/>
              </w:rPr>
              <w:t>400,000</w:t>
            </w:r>
          </w:p>
        </w:tc>
        <w:tc>
          <w:tcPr>
            <w:tcW w:w="200" w:type="dxa"/>
            <w:vAlign w:val="bottom"/>
            <w:shd w:val="clear" w:color="auto" w:fill="B2B2B2"/>
          </w:tcPr>
          <w:p>
            <w:pPr>
              <w:spacing w:after="0"/>
              <w:rPr>
                <w:sz w:val="24"/>
                <w:szCs w:val="24"/>
                <w:color w:val="auto"/>
              </w:rPr>
            </w:pPr>
          </w:p>
        </w:tc>
        <w:tc>
          <w:tcPr>
            <w:tcW w:w="16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400,000</w:t>
            </w:r>
          </w:p>
        </w:tc>
        <w:tc>
          <w:tcPr>
            <w:tcW w:w="28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800,000</w:t>
            </w:r>
          </w:p>
        </w:tc>
        <w:tc>
          <w:tcPr>
            <w:tcW w:w="80" w:type="dxa"/>
            <w:vAlign w:val="bottom"/>
            <w:shd w:val="clear" w:color="auto" w:fill="B2B2B2"/>
          </w:tcPr>
          <w:p>
            <w:pPr>
              <w:spacing w:after="0"/>
              <w:rPr>
                <w:sz w:val="24"/>
                <w:szCs w:val="24"/>
                <w:color w:val="auto"/>
              </w:rPr>
            </w:pPr>
          </w:p>
        </w:tc>
      </w:tr>
      <w:tr>
        <w:trPr>
          <w:trHeight w:val="64"/>
        </w:trPr>
        <w:tc>
          <w:tcPr>
            <w:tcW w:w="40" w:type="dxa"/>
            <w:vAlign w:val="bottom"/>
            <w:shd w:val="clear" w:color="auto" w:fill="B2B2B2"/>
          </w:tcPr>
          <w:p>
            <w:pPr>
              <w:spacing w:after="0"/>
              <w:rPr>
                <w:sz w:val="5"/>
                <w:szCs w:val="5"/>
                <w:color w:val="auto"/>
              </w:rPr>
            </w:pPr>
          </w:p>
        </w:tc>
        <w:tc>
          <w:tcPr>
            <w:tcW w:w="1240" w:type="dxa"/>
            <w:vAlign w:val="bottom"/>
            <w:shd w:val="clear" w:color="auto" w:fill="B2B2B2"/>
          </w:tcPr>
          <w:p>
            <w:pPr>
              <w:spacing w:after="0"/>
              <w:rPr>
                <w:sz w:val="5"/>
                <w:szCs w:val="5"/>
                <w:color w:val="auto"/>
              </w:rPr>
            </w:pPr>
          </w:p>
        </w:tc>
        <w:tc>
          <w:tcPr>
            <w:tcW w:w="4180" w:type="dxa"/>
            <w:vAlign w:val="bottom"/>
            <w:shd w:val="clear" w:color="auto" w:fill="B2B2B2"/>
          </w:tcPr>
          <w:p>
            <w:pPr>
              <w:spacing w:after="0"/>
              <w:rPr>
                <w:sz w:val="5"/>
                <w:szCs w:val="5"/>
                <w:color w:val="auto"/>
              </w:rPr>
            </w:pPr>
          </w:p>
        </w:tc>
        <w:tc>
          <w:tcPr>
            <w:tcW w:w="200" w:type="dxa"/>
            <w:vAlign w:val="bottom"/>
            <w:shd w:val="clear" w:color="auto" w:fill="B2B2B2"/>
          </w:tcPr>
          <w:p>
            <w:pPr>
              <w:spacing w:after="0"/>
              <w:rPr>
                <w:sz w:val="5"/>
                <w:szCs w:val="5"/>
                <w:color w:val="auto"/>
              </w:rPr>
            </w:pPr>
          </w:p>
        </w:tc>
        <w:tc>
          <w:tcPr>
            <w:tcW w:w="280" w:type="dxa"/>
            <w:vAlign w:val="bottom"/>
            <w:shd w:val="clear" w:color="auto" w:fill="B2B2B2"/>
          </w:tcPr>
          <w:p>
            <w:pPr>
              <w:spacing w:after="0"/>
              <w:rPr>
                <w:sz w:val="5"/>
                <w:szCs w:val="5"/>
                <w:color w:val="auto"/>
              </w:rPr>
            </w:pPr>
          </w:p>
        </w:tc>
        <w:tc>
          <w:tcPr>
            <w:tcW w:w="960" w:type="dxa"/>
            <w:vAlign w:val="bottom"/>
            <w:shd w:val="clear" w:color="auto" w:fill="B2B2B2"/>
          </w:tcPr>
          <w:p>
            <w:pPr>
              <w:spacing w:after="0"/>
              <w:rPr>
                <w:sz w:val="5"/>
                <w:szCs w:val="5"/>
                <w:color w:val="auto"/>
              </w:rPr>
            </w:pPr>
          </w:p>
        </w:tc>
        <w:tc>
          <w:tcPr>
            <w:tcW w:w="200" w:type="dxa"/>
            <w:vAlign w:val="bottom"/>
            <w:shd w:val="clear" w:color="auto" w:fill="B2B2B2"/>
          </w:tcPr>
          <w:p>
            <w:pPr>
              <w:spacing w:after="0"/>
              <w:rPr>
                <w:sz w:val="5"/>
                <w:szCs w:val="5"/>
                <w:color w:val="auto"/>
              </w:rPr>
            </w:pPr>
          </w:p>
        </w:tc>
        <w:tc>
          <w:tcPr>
            <w:tcW w:w="160" w:type="dxa"/>
            <w:vAlign w:val="bottom"/>
            <w:shd w:val="clear" w:color="auto" w:fill="B2B2B2"/>
          </w:tcPr>
          <w:p>
            <w:pPr>
              <w:spacing w:after="0"/>
              <w:rPr>
                <w:sz w:val="5"/>
                <w:szCs w:val="5"/>
                <w:color w:val="auto"/>
              </w:rPr>
            </w:pPr>
          </w:p>
        </w:tc>
        <w:tc>
          <w:tcPr>
            <w:tcW w:w="740" w:type="dxa"/>
            <w:vAlign w:val="bottom"/>
            <w:shd w:val="clear" w:color="auto" w:fill="B2B2B2"/>
          </w:tcPr>
          <w:p>
            <w:pPr>
              <w:spacing w:after="0"/>
              <w:rPr>
                <w:sz w:val="5"/>
                <w:szCs w:val="5"/>
                <w:color w:val="auto"/>
              </w:rPr>
            </w:pPr>
          </w:p>
        </w:tc>
        <w:tc>
          <w:tcPr>
            <w:tcW w:w="180" w:type="dxa"/>
            <w:vAlign w:val="bottom"/>
            <w:shd w:val="clear" w:color="auto" w:fill="B2B2B2"/>
          </w:tcPr>
          <w:p>
            <w:pPr>
              <w:spacing w:after="0"/>
              <w:rPr>
                <w:sz w:val="5"/>
                <w:szCs w:val="5"/>
                <w:color w:val="auto"/>
              </w:rPr>
            </w:pPr>
          </w:p>
        </w:tc>
        <w:tc>
          <w:tcPr>
            <w:tcW w:w="100" w:type="dxa"/>
            <w:vAlign w:val="bottom"/>
            <w:shd w:val="clear" w:color="auto" w:fill="B2B2B2"/>
          </w:tcPr>
          <w:p>
            <w:pPr>
              <w:spacing w:after="0"/>
              <w:rPr>
                <w:sz w:val="5"/>
                <w:szCs w:val="5"/>
                <w:color w:val="auto"/>
              </w:rPr>
            </w:pPr>
          </w:p>
        </w:tc>
        <w:tc>
          <w:tcPr>
            <w:tcW w:w="820" w:type="dxa"/>
            <w:vAlign w:val="bottom"/>
            <w:shd w:val="clear" w:color="auto" w:fill="B2B2B2"/>
          </w:tcPr>
          <w:p>
            <w:pPr>
              <w:spacing w:after="0"/>
              <w:rPr>
                <w:sz w:val="5"/>
                <w:szCs w:val="5"/>
                <w:color w:val="auto"/>
              </w:rPr>
            </w:pPr>
          </w:p>
        </w:tc>
        <w:tc>
          <w:tcPr>
            <w:tcW w:w="80" w:type="dxa"/>
            <w:vAlign w:val="bottom"/>
            <w:shd w:val="clear" w:color="auto" w:fill="B2B2B2"/>
          </w:tcPr>
          <w:p>
            <w:pPr>
              <w:spacing w:after="0"/>
              <w:rPr>
                <w:sz w:val="5"/>
                <w:szCs w:val="5"/>
                <w:color w:val="auto"/>
              </w:rPr>
            </w:pPr>
          </w:p>
        </w:tc>
      </w:tr>
      <w:tr>
        <w:trPr>
          <w:trHeight w:val="301"/>
        </w:trPr>
        <w:tc>
          <w:tcPr>
            <w:tcW w:w="40" w:type="dxa"/>
            <w:vAlign w:val="bottom"/>
          </w:tcPr>
          <w:p>
            <w:pPr>
              <w:spacing w:after="0"/>
              <w:rPr>
                <w:sz w:val="24"/>
                <w:szCs w:val="24"/>
                <w:color w:val="auto"/>
              </w:rPr>
            </w:pPr>
          </w:p>
        </w:tc>
        <w:tc>
          <w:tcPr>
            <w:tcW w:w="5620" w:type="dxa"/>
            <w:vAlign w:val="bottom"/>
            <w:gridSpan w:val="3"/>
          </w:tcPr>
          <w:p>
            <w:pPr>
              <w:ind w:left="40"/>
              <w:spacing w:after="0"/>
              <w:rPr>
                <w:sz w:val="20"/>
                <w:szCs w:val="20"/>
                <w:color w:val="auto"/>
              </w:rPr>
            </w:pPr>
            <w:r>
              <w:rPr>
                <w:rFonts w:ascii="Arial" w:cs="Arial" w:eastAsia="Arial" w:hAnsi="Arial"/>
                <w:sz w:val="18"/>
                <w:szCs w:val="18"/>
                <w:color w:val="auto"/>
              </w:rPr>
              <w:t>Donald L. Reeves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225,000</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225,000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450,000</w:t>
            </w:r>
          </w:p>
        </w:tc>
        <w:tc>
          <w:tcPr>
            <w:tcW w:w="80" w:type="dxa"/>
            <w:vAlign w:val="bottom"/>
          </w:tcPr>
          <w:p>
            <w:pPr>
              <w:spacing w:after="0"/>
              <w:rPr>
                <w:sz w:val="24"/>
                <w:szCs w:val="24"/>
                <w:color w:val="auto"/>
              </w:rPr>
            </w:pPr>
          </w:p>
        </w:tc>
      </w:tr>
      <w:tr>
        <w:trPr>
          <w:trHeight w:val="64"/>
        </w:trPr>
        <w:tc>
          <w:tcPr>
            <w:tcW w:w="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310"/>
        </w:trPr>
        <w:tc>
          <w:tcPr>
            <w:tcW w:w="40" w:type="dxa"/>
            <w:vAlign w:val="bottom"/>
            <w:shd w:val="clear" w:color="auto" w:fill="B2B2B2"/>
          </w:tcPr>
          <w:p>
            <w:pPr>
              <w:spacing w:after="0"/>
              <w:rPr>
                <w:sz w:val="24"/>
                <w:szCs w:val="24"/>
                <w:color w:val="auto"/>
              </w:rPr>
            </w:pPr>
          </w:p>
        </w:tc>
        <w:tc>
          <w:tcPr>
            <w:tcW w:w="5620" w:type="dxa"/>
            <w:vAlign w:val="bottom"/>
            <w:gridSpan w:val="3"/>
            <w:shd w:val="clear" w:color="auto" w:fill="B2B2B2"/>
          </w:tcPr>
          <w:p>
            <w:pPr>
              <w:ind w:left="40"/>
              <w:spacing w:after="0"/>
              <w:rPr>
                <w:sz w:val="20"/>
                <w:szCs w:val="20"/>
                <w:color w:val="auto"/>
              </w:rPr>
            </w:pPr>
            <w:r>
              <w:rPr>
                <w:rFonts w:ascii="Arial" w:cs="Arial" w:eastAsia="Arial" w:hAnsi="Arial"/>
                <w:sz w:val="18"/>
                <w:szCs w:val="18"/>
                <w:color w:val="auto"/>
              </w:rPr>
              <w:t>John F. Marcolini</w:t>
            </w:r>
          </w:p>
        </w:tc>
        <w:tc>
          <w:tcPr>
            <w:tcW w:w="280" w:type="dxa"/>
            <w:vAlign w:val="bottom"/>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B2B2B2"/>
          </w:tcPr>
          <w:p>
            <w:pPr>
              <w:jc w:val="right"/>
              <w:ind w:right="73"/>
              <w:spacing w:after="0"/>
              <w:rPr>
                <w:sz w:val="20"/>
                <w:szCs w:val="20"/>
                <w:color w:val="auto"/>
              </w:rPr>
            </w:pPr>
            <w:r>
              <w:rPr>
                <w:rFonts w:ascii="Arial" w:cs="Arial" w:eastAsia="Arial" w:hAnsi="Arial"/>
                <w:sz w:val="18"/>
                <w:szCs w:val="18"/>
                <w:color w:val="auto"/>
              </w:rPr>
              <w:t>225,000</w:t>
            </w:r>
          </w:p>
        </w:tc>
        <w:tc>
          <w:tcPr>
            <w:tcW w:w="200" w:type="dxa"/>
            <w:vAlign w:val="bottom"/>
            <w:shd w:val="clear" w:color="auto" w:fill="B2B2B2"/>
          </w:tcPr>
          <w:p>
            <w:pPr>
              <w:spacing w:after="0"/>
              <w:rPr>
                <w:sz w:val="24"/>
                <w:szCs w:val="24"/>
                <w:color w:val="auto"/>
              </w:rPr>
            </w:pPr>
          </w:p>
        </w:tc>
        <w:tc>
          <w:tcPr>
            <w:tcW w:w="160" w:type="dxa"/>
            <w:vAlign w:val="bottom"/>
            <w:shd w:val="clear" w:color="auto" w:fill="B2B2B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B2B2B2"/>
          </w:tcPr>
          <w:p>
            <w:pPr>
              <w:jc w:val="right"/>
              <w:spacing w:after="0"/>
              <w:rPr>
                <w:sz w:val="20"/>
                <w:szCs w:val="20"/>
                <w:color w:val="auto"/>
              </w:rPr>
            </w:pPr>
            <w:r>
              <w:rPr>
                <w:rFonts w:ascii="Arial" w:cs="Arial" w:eastAsia="Arial" w:hAnsi="Arial"/>
                <w:sz w:val="18"/>
                <w:szCs w:val="18"/>
                <w:color w:val="auto"/>
              </w:rPr>
              <w:t>225,000</w:t>
            </w:r>
          </w:p>
        </w:tc>
        <w:tc>
          <w:tcPr>
            <w:tcW w:w="280" w:type="dxa"/>
            <w:vAlign w:val="bottom"/>
            <w:gridSpan w:val="2"/>
            <w:shd w:val="clear" w:color="auto" w:fill="B2B2B2"/>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B2B2B2"/>
          </w:tcPr>
          <w:p>
            <w:pPr>
              <w:jc w:val="right"/>
              <w:spacing w:after="0"/>
              <w:rPr>
                <w:sz w:val="20"/>
                <w:szCs w:val="20"/>
                <w:color w:val="auto"/>
              </w:rPr>
            </w:pPr>
            <w:r>
              <w:rPr>
                <w:rFonts w:ascii="Arial" w:cs="Arial" w:eastAsia="Arial" w:hAnsi="Arial"/>
                <w:sz w:val="18"/>
                <w:szCs w:val="18"/>
                <w:color w:val="auto"/>
              </w:rPr>
              <w:t>450,000</w:t>
            </w:r>
          </w:p>
        </w:tc>
        <w:tc>
          <w:tcPr>
            <w:tcW w:w="80" w:type="dxa"/>
            <w:vAlign w:val="bottom"/>
            <w:shd w:val="clear" w:color="auto" w:fill="B2B2B2"/>
          </w:tcPr>
          <w:p>
            <w:pPr>
              <w:spacing w:after="0"/>
              <w:rPr>
                <w:sz w:val="24"/>
                <w:szCs w:val="24"/>
                <w:color w:val="auto"/>
              </w:rPr>
            </w:pPr>
          </w:p>
        </w:tc>
      </w:tr>
      <w:tr>
        <w:trPr>
          <w:trHeight w:val="189"/>
        </w:trPr>
        <w:tc>
          <w:tcPr>
            <w:tcW w:w="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5786120</wp:posOffset>
            </wp:positionH>
            <wp:positionV relativeFrom="paragraph">
              <wp:posOffset>-1259205</wp:posOffset>
            </wp:positionV>
            <wp:extent cx="431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5083175</wp:posOffset>
            </wp:positionH>
            <wp:positionV relativeFrom="paragraph">
              <wp:posOffset>-1259205</wp:posOffset>
            </wp:positionV>
            <wp:extent cx="12001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-1259205</wp:posOffset>
            </wp:positionV>
            <wp:extent cx="1200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3471545</wp:posOffset>
            </wp:positionH>
            <wp:positionV relativeFrom="paragraph">
              <wp:posOffset>-1259205</wp:posOffset>
            </wp:positionV>
            <wp:extent cx="1200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-1259205</wp:posOffset>
            </wp:positionV>
            <wp:extent cx="342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79" w:lineRule="exact"/>
        <w:rPr>
          <w:sz w:val="20"/>
          <w:szCs w:val="20"/>
          <w:color w:val="auto"/>
        </w:rPr>
      </w:pPr>
    </w:p>
    <w:p>
      <w:pPr>
        <w:ind w:left="346" w:right="740" w:hanging="346"/>
        <w:spacing w:after="0" w:line="285" w:lineRule="auto"/>
        <w:tabs>
          <w:tab w:leader="none" w:pos="346" w:val="left"/>
        </w:tabs>
        <w:numPr>
          <w:ilvl w:val="0"/>
          <w:numId w:val="36"/>
        </w:numPr>
        <w:rPr>
          <w:rFonts w:ascii="Arial" w:cs="Arial" w:eastAsia="Arial" w:hAnsi="Arial"/>
          <w:sz w:val="14"/>
          <w:szCs w:val="14"/>
          <w:color w:val="auto"/>
        </w:rPr>
      </w:pPr>
      <w:r>
        <w:rPr>
          <w:rFonts w:ascii="Arial" w:cs="Arial" w:eastAsia="Arial" w:hAnsi="Arial"/>
          <w:sz w:val="14"/>
          <w:szCs w:val="14"/>
          <w:color w:val="auto"/>
        </w:rPr>
        <w:t>Award amounts for PRSUs and RSUs were determined based on the closing price of our common stock on the date of grant on February 24, 2022, which was $53.95.</w:t>
      </w:r>
    </w:p>
    <w:p>
      <w:pPr>
        <w:sectPr>
          <w:pgSz w:w="11900" w:h="16838" w:orient="portrait"/>
          <w:cols w:equalWidth="0" w:num="1">
            <w:col w:w="9186"/>
          </w:cols>
          <w:pgMar w:left="1354" w:top="263" w:right="1359" w:bottom="1440" w:gutter="0" w:footer="0" w:header="0"/>
        </w:sectPr>
      </w:pPr>
    </w:p>
    <w:p>
      <w:pPr>
        <w:spacing w:after="0" w:line="256" w:lineRule="exact"/>
        <w:rPr>
          <w:sz w:val="20"/>
          <w:szCs w:val="20"/>
          <w:color w:val="auto"/>
        </w:rPr>
      </w:pPr>
    </w:p>
    <w:p>
      <w:pPr>
        <w:ind w:left="6"/>
        <w:spacing w:after="0"/>
        <w:tabs>
          <w:tab w:leader="none" w:pos="4426" w:val="left"/>
        </w:tabs>
        <w:rPr>
          <w:sz w:val="20"/>
          <w:szCs w:val="20"/>
          <w:color w:val="auto"/>
        </w:rPr>
      </w:pPr>
      <w:r>
        <w:rPr>
          <w:rFonts w:ascii="Arial" w:cs="Arial" w:eastAsia="Arial" w:hAnsi="Arial"/>
          <w:sz w:val="12"/>
          <w:szCs w:val="12"/>
          <w:color w:val="auto"/>
        </w:rPr>
        <w:t> </w:t>
      </w:r>
      <w:r>
        <w:rPr>
          <w:sz w:val="20"/>
          <w:szCs w:val="20"/>
          <w:color w:val="auto"/>
        </w:rPr>
        <w:tab/>
      </w: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161925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263" w:right="1359" w:bottom="1440" w:gutter="0" w:footer="0" w:header="0"/>
          <w:type w:val="continuous"/>
        </w:sectPr>
      </w:pPr>
    </w:p>
    <w:bookmarkStart w:id="37" w:name="page38"/>
    <w:bookmarkEnd w:id="37"/>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right="960"/>
        <w:spacing w:after="0" w:line="242" w:lineRule="auto"/>
        <w:rPr>
          <w:sz w:val="20"/>
          <w:szCs w:val="20"/>
          <w:color w:val="auto"/>
        </w:rPr>
      </w:pPr>
      <w:r>
        <w:rPr>
          <w:rFonts w:ascii="Arial" w:cs="Arial" w:eastAsia="Arial" w:hAnsi="Arial"/>
          <w:sz w:val="18"/>
          <w:szCs w:val="18"/>
          <w:i w:val="1"/>
          <w:iCs w:val="1"/>
          <w:color w:val="auto"/>
        </w:rPr>
        <w:t xml:space="preserve">A Closer Look at PRSUs. </w:t>
      </w:r>
      <w:r>
        <w:rPr>
          <w:rFonts w:ascii="Arial" w:cs="Arial" w:eastAsia="Arial" w:hAnsi="Arial"/>
          <w:sz w:val="18"/>
          <w:szCs w:val="18"/>
          <w:color w:val="auto"/>
        </w:rPr>
        <w:t>The actual number of PRSUs that are earned and vested is based on the achievement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non-GAAP diluted EPS goals and relative TSR results. Specifically, actual awards are linked to a three-year performance period that consists of three annual performance cycles. The performance result used to determine the actual award earned is calculated at the end of the three-year performance period by averaging the results of the three annual performance cycles, then is adjusted based on performance relative to TSR as compared to the Russell 3000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202565</wp:posOffset>
            </wp:positionV>
            <wp:extent cx="5477510" cy="16541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477510"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w:t>
      </w:r>
    </w:p>
    <w:p>
      <w:pPr>
        <w:spacing w:after="0" w:line="185" w:lineRule="exact"/>
        <w:rPr>
          <w:sz w:val="20"/>
          <w:szCs w:val="20"/>
          <w:color w:val="auto"/>
        </w:rPr>
      </w:pPr>
    </w:p>
    <w:p>
      <w:pPr>
        <w:ind w:left="920" w:right="940"/>
        <w:spacing w:after="0" w:line="271" w:lineRule="auto"/>
        <w:rPr>
          <w:sz w:val="20"/>
          <w:szCs w:val="20"/>
          <w:color w:val="auto"/>
        </w:rPr>
      </w:pPr>
      <w:r>
        <w:rPr>
          <w:rFonts w:ascii="Arial" w:cs="Arial" w:eastAsia="Arial" w:hAnsi="Arial"/>
          <w:sz w:val="18"/>
          <w:szCs w:val="18"/>
          <w:i w:val="1"/>
          <w:iCs w:val="1"/>
          <w:color w:val="auto"/>
        </w:rPr>
        <w:t xml:space="preserve">2022 Performance Metrics. Non-GAAP Diluted EPS &amp; Relative TSR. </w:t>
      </w:r>
      <w:r>
        <w:rPr>
          <w:rFonts w:ascii="Arial" w:cs="Arial" w:eastAsia="Arial" w:hAnsi="Arial"/>
          <w:sz w:val="18"/>
          <w:szCs w:val="18"/>
          <w:color w:val="auto"/>
        </w:rPr>
        <w:t>PRSUs are driven by the achievement of non-GAAP diluted EPS and relative TSR performance targets.</w:t>
      </w:r>
    </w:p>
    <w:p>
      <w:pPr>
        <w:spacing w:after="0" w:line="113" w:lineRule="exact"/>
        <w:rPr>
          <w:sz w:val="20"/>
          <w:szCs w:val="20"/>
          <w:color w:val="auto"/>
        </w:rPr>
      </w:pPr>
    </w:p>
    <w:p>
      <w:pPr>
        <w:ind w:left="1620" w:right="1120" w:hanging="346"/>
        <w:spacing w:after="0" w:line="253" w:lineRule="auto"/>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Non-GAAP Diluted EPS: </w:t>
      </w:r>
      <w:r>
        <w:rPr>
          <w:rFonts w:ascii="Arial" w:cs="Arial" w:eastAsia="Arial" w:hAnsi="Arial"/>
          <w:sz w:val="18"/>
          <w:szCs w:val="18"/>
          <w:color w:val="auto"/>
        </w:rPr>
        <w:t>Non-GAAP diluted EPS targets are set by the Committee at the beginning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annual performance cycle. Payout levels can range from 0% to 160% of target for the performance cycle and depend on performance results.</w:t>
      </w:r>
    </w:p>
    <w:p>
      <w:pPr>
        <w:spacing w:after="0" w:line="128" w:lineRule="exact"/>
        <w:rPr>
          <w:rFonts w:ascii="Arial" w:cs="Arial" w:eastAsia="Arial" w:hAnsi="Arial"/>
          <w:sz w:val="18"/>
          <w:szCs w:val="18"/>
          <w:color w:val="auto"/>
        </w:rPr>
      </w:pPr>
    </w:p>
    <w:p>
      <w:pPr>
        <w:ind w:left="1620" w:right="1160" w:hanging="346"/>
        <w:spacing w:after="0" w:line="247" w:lineRule="auto"/>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Relative TSR: </w:t>
      </w:r>
      <w:r>
        <w:rPr>
          <w:rFonts w:ascii="Arial" w:cs="Arial" w:eastAsia="Arial" w:hAnsi="Arial"/>
          <w:sz w:val="18"/>
          <w:szCs w:val="18"/>
          <w:color w:val="auto"/>
        </w:rPr>
        <w:t>At the end of the three-year performance period, the non-GAAP diluted EPS attainment</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for each of the annual performance cycles are averaged. The average non-GAAP diluted EPS is then adjusted based on the achievement by the Company of TSR relative to the Russell 3000 index for the same three-year performance cycle as follows:</w:t>
      </w:r>
    </w:p>
    <w:p>
      <w:pPr>
        <w:spacing w:after="0" w:line="108" w:lineRule="exact"/>
        <w:rPr>
          <w:sz w:val="20"/>
          <w:szCs w:val="20"/>
          <w:color w:val="auto"/>
        </w:rPr>
      </w:pPr>
    </w:p>
    <w:tbl>
      <w:tblPr>
        <w:tblLayout w:type="fixed"/>
        <w:tblInd w:w="1000" w:type="dxa"/>
        <w:tblCellMar>
          <w:top w:w="0" w:type="dxa"/>
          <w:left w:w="0" w:type="dxa"/>
          <w:bottom w:w="0" w:type="dxa"/>
          <w:right w:w="0" w:type="dxa"/>
        </w:tblCellMar>
      </w:tblPr>
      <w:tr>
        <w:trPr>
          <w:trHeight w:val="237"/>
        </w:trPr>
        <w:tc>
          <w:tcPr>
            <w:tcW w:w="4620" w:type="dxa"/>
            <w:vAlign w:val="bottom"/>
            <w:gridSpan w:val="2"/>
          </w:tcPr>
          <w:p>
            <w:pPr>
              <w:ind w:left="40"/>
              <w:spacing w:after="0"/>
              <w:rPr>
                <w:sz w:val="20"/>
                <w:szCs w:val="20"/>
                <w:color w:val="auto"/>
              </w:rPr>
            </w:pPr>
            <w:r>
              <w:rPr>
                <w:rFonts w:ascii="Arial" w:cs="Arial" w:eastAsia="Arial" w:hAnsi="Arial"/>
                <w:sz w:val="18"/>
                <w:szCs w:val="18"/>
                <w:i w:val="1"/>
                <w:iCs w:val="1"/>
                <w:color w:val="auto"/>
              </w:rPr>
              <w:t>If relative TSR attainment is</w:t>
            </w:r>
          </w:p>
        </w:tc>
        <w:tc>
          <w:tcPr>
            <w:tcW w:w="4400" w:type="dxa"/>
            <w:vAlign w:val="bottom"/>
          </w:tcPr>
          <w:p>
            <w:pPr>
              <w:spacing w:after="0"/>
              <w:rPr>
                <w:sz w:val="20"/>
                <w:szCs w:val="20"/>
                <w:color w:val="auto"/>
              </w:rPr>
            </w:pPr>
            <w:r>
              <w:rPr>
                <w:rFonts w:ascii="Arial" w:cs="Arial" w:eastAsia="Arial" w:hAnsi="Arial"/>
                <w:sz w:val="18"/>
                <w:szCs w:val="18"/>
                <w:i w:val="1"/>
                <w:iCs w:val="1"/>
                <w:color w:val="auto"/>
                <w:w w:val="99"/>
              </w:rPr>
              <w:t>Then the average non-GAAP diluted EPS attainment is</w:t>
            </w:r>
          </w:p>
        </w:tc>
      </w:tr>
      <w:tr>
        <w:trPr>
          <w:trHeight w:val="50"/>
        </w:trPr>
        <w:tc>
          <w:tcPr>
            <w:tcW w:w="44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400" w:type="dxa"/>
            <w:vAlign w:val="bottom"/>
            <w:tcBorders>
              <w:bottom w:val="single" w:sz="8" w:color="auto"/>
            </w:tcBorders>
          </w:tcPr>
          <w:p>
            <w:pPr>
              <w:spacing w:after="0"/>
              <w:rPr>
                <w:sz w:val="4"/>
                <w:szCs w:val="4"/>
                <w:color w:val="auto"/>
              </w:rPr>
            </w:pPr>
          </w:p>
        </w:tc>
      </w:tr>
      <w:tr>
        <w:trPr>
          <w:trHeight w:val="424"/>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At or below the 25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w:t>
            </w:r>
          </w:p>
        </w:tc>
        <w:tc>
          <w:tcPr>
            <w:tcW w:w="4400" w:type="dxa"/>
            <w:vAlign w:val="bottom"/>
          </w:tcPr>
          <w:p>
            <w:pPr>
              <w:spacing w:after="0"/>
              <w:rPr>
                <w:sz w:val="20"/>
                <w:szCs w:val="20"/>
                <w:color w:val="auto"/>
              </w:rPr>
            </w:pPr>
            <w:r>
              <w:rPr>
                <w:rFonts w:ascii="Arial" w:cs="Arial" w:eastAsia="Arial" w:hAnsi="Arial"/>
                <w:sz w:val="18"/>
                <w:szCs w:val="18"/>
                <w:color w:val="auto"/>
              </w:rPr>
              <w:t>Adjusted down by 25%</w:t>
            </w:r>
          </w:p>
        </w:tc>
      </w:tr>
      <w:tr>
        <w:trPr>
          <w:trHeight w:val="378"/>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At 50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w:t>
            </w:r>
          </w:p>
        </w:tc>
        <w:tc>
          <w:tcPr>
            <w:tcW w:w="4400" w:type="dxa"/>
            <w:vAlign w:val="bottom"/>
          </w:tcPr>
          <w:p>
            <w:pPr>
              <w:spacing w:after="0"/>
              <w:rPr>
                <w:sz w:val="20"/>
                <w:szCs w:val="20"/>
                <w:color w:val="auto"/>
              </w:rPr>
            </w:pPr>
            <w:r>
              <w:rPr>
                <w:rFonts w:ascii="Arial" w:cs="Arial" w:eastAsia="Arial" w:hAnsi="Arial"/>
                <w:sz w:val="18"/>
                <w:szCs w:val="18"/>
                <w:color w:val="auto"/>
              </w:rPr>
              <w:t>No adjustment</w:t>
            </w:r>
          </w:p>
        </w:tc>
      </w:tr>
      <w:tr>
        <w:trPr>
          <w:trHeight w:val="401"/>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At or above the 75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w:t>
            </w:r>
          </w:p>
        </w:tc>
        <w:tc>
          <w:tcPr>
            <w:tcW w:w="4400" w:type="dxa"/>
            <w:vAlign w:val="bottom"/>
          </w:tcPr>
          <w:p>
            <w:pPr>
              <w:spacing w:after="0"/>
              <w:rPr>
                <w:sz w:val="20"/>
                <w:szCs w:val="20"/>
                <w:color w:val="auto"/>
              </w:rPr>
            </w:pPr>
            <w:r>
              <w:rPr>
                <w:rFonts w:ascii="Arial" w:cs="Arial" w:eastAsia="Arial" w:hAnsi="Arial"/>
                <w:sz w:val="18"/>
                <w:szCs w:val="18"/>
                <w:color w:val="auto"/>
              </w:rPr>
              <w:t>Increased by 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37465</wp:posOffset>
            </wp:positionV>
            <wp:extent cx="8229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6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Note: Adjustments for levels achieved between the 25</w:t>
      </w:r>
      <w:r>
        <w:rPr>
          <w:rFonts w:ascii="Arial" w:cs="Arial" w:eastAsia="Arial" w:hAnsi="Arial"/>
          <w:sz w:val="23"/>
          <w:szCs w:val="23"/>
          <w:color w:val="auto"/>
          <w:vertAlign w:val="superscript"/>
        </w:rPr>
        <w:t>th</w:t>
      </w:r>
      <w:r>
        <w:rPr>
          <w:rFonts w:ascii="Arial" w:cs="Arial" w:eastAsia="Arial" w:hAnsi="Arial"/>
          <w:sz w:val="14"/>
          <w:szCs w:val="14"/>
          <w:color w:val="auto"/>
        </w:rPr>
        <w:t>, 50</w:t>
      </w:r>
      <w:r>
        <w:rPr>
          <w:rFonts w:ascii="Arial" w:cs="Arial" w:eastAsia="Arial" w:hAnsi="Arial"/>
          <w:sz w:val="23"/>
          <w:szCs w:val="23"/>
          <w:color w:val="auto"/>
          <w:vertAlign w:val="superscript"/>
        </w:rPr>
        <w:t>th</w:t>
      </w:r>
      <w:r>
        <w:rPr>
          <w:rFonts w:ascii="Arial" w:cs="Arial" w:eastAsia="Arial" w:hAnsi="Arial"/>
          <w:sz w:val="14"/>
          <w:szCs w:val="14"/>
          <w:color w:val="auto"/>
        </w:rPr>
        <w:t>, and 75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percentiles are linearly interpolated.</w:t>
      </w:r>
    </w:p>
    <w:p>
      <w:pPr>
        <w:spacing w:after="0" w:line="107" w:lineRule="exact"/>
        <w:rPr>
          <w:sz w:val="20"/>
          <w:szCs w:val="20"/>
          <w:color w:val="auto"/>
        </w:rPr>
      </w:pPr>
    </w:p>
    <w:p>
      <w:pPr>
        <w:ind w:left="920" w:right="1200"/>
        <w:spacing w:after="0" w:line="271" w:lineRule="auto"/>
        <w:rPr>
          <w:sz w:val="20"/>
          <w:szCs w:val="20"/>
          <w:color w:val="auto"/>
        </w:rPr>
      </w:pPr>
      <w:r>
        <w:rPr>
          <w:rFonts w:ascii="Arial" w:cs="Arial" w:eastAsia="Arial" w:hAnsi="Arial"/>
          <w:sz w:val="18"/>
          <w:szCs w:val="18"/>
          <w:color w:val="auto"/>
        </w:rPr>
        <w:t>For the PRSUs granted in 2022, the TSR targets and point multipliers were all established in December 2021 by the Compensation Committee and by the independent members of the full Board for the CEO.</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-34-</w:t>
            </w:r>
          </w:p>
        </w:tc>
      </w:tr>
      <w:tr>
        <w:trPr>
          <w:trHeight w:val="219"/>
        </w:trPr>
        <w:tc>
          <w:tcPr>
            <w:tcW w:w="316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38" w:name="page39"/>
    <w:bookmarkEnd w:id="38"/>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right="1020"/>
        <w:spacing w:after="0"/>
        <w:rPr>
          <w:sz w:val="20"/>
          <w:szCs w:val="20"/>
          <w:color w:val="auto"/>
        </w:rPr>
      </w:pPr>
      <w:r>
        <w:rPr>
          <w:rFonts w:ascii="Arial" w:cs="Arial" w:eastAsia="Arial" w:hAnsi="Arial"/>
          <w:sz w:val="18"/>
          <w:szCs w:val="18"/>
          <w:i w:val="1"/>
          <w:iCs w:val="1"/>
          <w:color w:val="auto"/>
        </w:rPr>
        <w:t xml:space="preserve">PRSUs Earned and Vested In 2022 (1/1/2020–12/31/2022). </w:t>
      </w:r>
      <w:r>
        <w:rPr>
          <w:rFonts w:ascii="Arial" w:cs="Arial" w:eastAsia="Arial" w:hAnsi="Arial"/>
          <w:sz w:val="18"/>
          <w:szCs w:val="18"/>
          <w:color w:val="auto"/>
        </w:rPr>
        <w:t>In 2020, the NEOs at that time were granted their</w:t>
      </w:r>
      <w:r>
        <w:rPr>
          <w:rFonts w:ascii="Arial" w:cs="Arial" w:eastAsia="Arial" w:hAnsi="Arial"/>
          <w:sz w:val="18"/>
          <w:szCs w:val="18"/>
          <w:i w:val="1"/>
          <w:iCs w:val="1"/>
          <w:color w:val="auto"/>
        </w:rPr>
        <w:t xml:space="preserve"> </w:t>
      </w:r>
      <w:r>
        <w:rPr>
          <w:rFonts w:ascii="Arial" w:cs="Arial" w:eastAsia="Arial" w:hAnsi="Arial"/>
          <w:sz w:val="18"/>
          <w:szCs w:val="18"/>
          <w:color w:val="auto"/>
        </w:rPr>
        <w:t>target PRSUs with vesting based on achievement of the non -GAAP diluted EPS and relative TSR performance targets for 2020, 2021, and 2022. The following table shows the thresholds, targets and maximums for non-GAAP diluted EPS set by the Committee at the beginning of each annual performance cycle and our non-GAAP diluted EPS results used for calculating PRSUs earned for 2020, 2021 and 2022. Note that for the 2022 portion of the 2020-2022 performance cycle of the PRSUs, EPS targets were based on the annual operating budget and aligned with the business conditions at the time. Additionally, the Compensation Committee determined to widen the performance range and lower the payout threshold from 50% of target to 0% of target.</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196"/>
        </w:trPr>
        <w:tc>
          <w:tcPr>
            <w:tcW w:w="12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Performance Range</w:t>
            </w: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56"/>
        </w:trPr>
        <w:tc>
          <w:tcPr>
            <w:tcW w:w="1280" w:type="dxa"/>
            <w:vAlign w:val="bottom"/>
          </w:tcPr>
          <w:p>
            <w:pPr>
              <w:spacing w:after="0"/>
              <w:rPr>
                <w:sz w:val="4"/>
                <w:szCs w:val="4"/>
                <w:color w:val="auto"/>
              </w:rPr>
            </w:pPr>
          </w:p>
        </w:tc>
        <w:tc>
          <w:tcPr>
            <w:tcW w:w="38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80" w:type="dxa"/>
            <w:vAlign w:val="bottom"/>
          </w:tcPr>
          <w:p>
            <w:pPr>
              <w:spacing w:after="0"/>
              <w:rPr>
                <w:sz w:val="4"/>
                <w:szCs w:val="4"/>
                <w:color w:val="auto"/>
              </w:rPr>
            </w:pPr>
          </w:p>
        </w:tc>
      </w:tr>
      <w:tr>
        <w:trPr>
          <w:trHeight w:val="261"/>
        </w:trPr>
        <w:tc>
          <w:tcPr>
            <w:tcW w:w="5080" w:type="dxa"/>
            <w:vAlign w:val="bottom"/>
            <w:gridSpan w:val="2"/>
          </w:tcPr>
          <w:p>
            <w:pPr>
              <w:jc w:val="center"/>
              <w:ind w:right="4580"/>
              <w:spacing w:after="0"/>
              <w:rPr>
                <w:sz w:val="20"/>
                <w:szCs w:val="20"/>
                <w:color w:val="auto"/>
              </w:rPr>
            </w:pPr>
            <w:r>
              <w:rPr>
                <w:rFonts w:ascii="Arial" w:cs="Arial" w:eastAsia="Arial" w:hAnsi="Arial"/>
                <w:sz w:val="14"/>
                <w:szCs w:val="14"/>
                <w:b w:val="1"/>
                <w:bCs w:val="1"/>
                <w:color w:val="auto"/>
                <w:w w:val="98"/>
              </w:rPr>
              <w:t>Year</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Threshold</w:t>
            </w:r>
          </w:p>
        </w:tc>
        <w:tc>
          <w:tcPr>
            <w:tcW w:w="1480" w:type="dxa"/>
            <w:vAlign w:val="bottom"/>
          </w:tcPr>
          <w:p>
            <w:pPr>
              <w:jc w:val="right"/>
              <w:ind w:right="435"/>
              <w:spacing w:after="0"/>
              <w:rPr>
                <w:sz w:val="20"/>
                <w:szCs w:val="20"/>
                <w:color w:val="auto"/>
              </w:rPr>
            </w:pPr>
            <w:r>
              <w:rPr>
                <w:rFonts w:ascii="Arial" w:cs="Arial" w:eastAsia="Arial" w:hAnsi="Arial"/>
                <w:sz w:val="14"/>
                <w:szCs w:val="14"/>
                <w:b w:val="1"/>
                <w:bCs w:val="1"/>
                <w:color w:val="auto"/>
              </w:rPr>
              <w:t>Target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Maximum</w:t>
            </w:r>
          </w:p>
        </w:tc>
        <w:tc>
          <w:tcPr>
            <w:tcW w:w="1080" w:type="dxa"/>
            <w:vAlign w:val="bottom"/>
          </w:tcPr>
          <w:p>
            <w:pPr>
              <w:ind w:left="480"/>
              <w:spacing w:after="0"/>
              <w:rPr>
                <w:sz w:val="20"/>
                <w:szCs w:val="20"/>
                <w:color w:val="auto"/>
              </w:rPr>
            </w:pPr>
            <w:r>
              <w:rPr>
                <w:rFonts w:ascii="Arial" w:cs="Arial" w:eastAsia="Arial" w:hAnsi="Arial"/>
                <w:sz w:val="14"/>
                <w:szCs w:val="14"/>
                <w:b w:val="1"/>
                <w:bCs w:val="1"/>
                <w:color w:val="auto"/>
              </w:rPr>
              <w:t>Results</w:t>
            </w:r>
          </w:p>
        </w:tc>
      </w:tr>
      <w:tr>
        <w:trPr>
          <w:trHeight w:val="56"/>
        </w:trPr>
        <w:tc>
          <w:tcPr>
            <w:tcW w:w="1280" w:type="dxa"/>
            <w:vAlign w:val="bottom"/>
            <w:tcBorders>
              <w:bottom w:val="single" w:sz="8" w:color="auto"/>
            </w:tcBorders>
          </w:tcPr>
          <w:p>
            <w:pPr>
              <w:spacing w:after="0"/>
              <w:rPr>
                <w:sz w:val="4"/>
                <w:szCs w:val="4"/>
                <w:color w:val="auto"/>
              </w:rPr>
            </w:pPr>
          </w:p>
        </w:tc>
        <w:tc>
          <w:tcPr>
            <w:tcW w:w="38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95"/>
        </w:trPr>
        <w:tc>
          <w:tcPr>
            <w:tcW w:w="5080" w:type="dxa"/>
            <w:vAlign w:val="bottom"/>
            <w:gridSpan w:val="2"/>
            <w:shd w:val="clear" w:color="auto" w:fill="B2B2B2"/>
          </w:tcPr>
          <w:p>
            <w:pPr>
              <w:ind w:left="1260"/>
              <w:spacing w:after="0"/>
              <w:rPr>
                <w:sz w:val="20"/>
                <w:szCs w:val="20"/>
                <w:color w:val="auto"/>
              </w:rPr>
            </w:pPr>
            <w:r>
              <w:rPr>
                <w:rFonts w:ascii="Arial" w:cs="Arial" w:eastAsia="Arial" w:hAnsi="Arial"/>
                <w:sz w:val="18"/>
                <w:szCs w:val="18"/>
                <w:i w:val="1"/>
                <w:iCs w:val="1"/>
                <w:color w:val="auto"/>
              </w:rPr>
              <w:t>Payout Opportunity (as a % of Target)</w:t>
            </w:r>
          </w:p>
        </w:tc>
        <w:tc>
          <w:tcPr>
            <w:tcW w:w="780" w:type="dxa"/>
            <w:vAlign w:val="bottom"/>
            <w:shd w:val="clear" w:color="auto" w:fill="B2B2B2"/>
          </w:tcPr>
          <w:p>
            <w:pPr>
              <w:jc w:val="right"/>
              <w:spacing w:after="0"/>
              <w:rPr>
                <w:sz w:val="20"/>
                <w:szCs w:val="20"/>
                <w:color w:val="auto"/>
              </w:rPr>
            </w:pPr>
            <w:r>
              <w:rPr>
                <w:rFonts w:ascii="Arial" w:cs="Arial" w:eastAsia="Arial" w:hAnsi="Arial"/>
                <w:sz w:val="18"/>
                <w:szCs w:val="18"/>
                <w:i w:val="1"/>
                <w:iCs w:val="1"/>
                <w:color w:val="auto"/>
              </w:rPr>
              <w:t>50%</w:t>
            </w:r>
          </w:p>
        </w:tc>
        <w:tc>
          <w:tcPr>
            <w:tcW w:w="1480" w:type="dxa"/>
            <w:vAlign w:val="bottom"/>
            <w:shd w:val="clear" w:color="auto" w:fill="B2B2B2"/>
          </w:tcPr>
          <w:p>
            <w:pPr>
              <w:jc w:val="right"/>
              <w:ind w:right="355"/>
              <w:spacing w:after="0"/>
              <w:rPr>
                <w:sz w:val="20"/>
                <w:szCs w:val="20"/>
                <w:color w:val="auto"/>
              </w:rPr>
            </w:pPr>
            <w:r>
              <w:rPr>
                <w:rFonts w:ascii="Arial" w:cs="Arial" w:eastAsia="Arial" w:hAnsi="Arial"/>
                <w:sz w:val="18"/>
                <w:szCs w:val="18"/>
                <w:i w:val="1"/>
                <w:iCs w:val="1"/>
                <w:color w:val="auto"/>
              </w:rPr>
              <w:t>100%</w:t>
            </w:r>
          </w:p>
        </w:tc>
        <w:tc>
          <w:tcPr>
            <w:tcW w:w="760" w:type="dxa"/>
            <w:vAlign w:val="bottom"/>
            <w:shd w:val="clear" w:color="auto" w:fill="B2B2B2"/>
          </w:tcPr>
          <w:p>
            <w:pPr>
              <w:jc w:val="right"/>
              <w:spacing w:after="0"/>
              <w:rPr>
                <w:sz w:val="20"/>
                <w:szCs w:val="20"/>
                <w:color w:val="auto"/>
              </w:rPr>
            </w:pPr>
            <w:r>
              <w:rPr>
                <w:rFonts w:ascii="Arial" w:cs="Arial" w:eastAsia="Arial" w:hAnsi="Arial"/>
                <w:sz w:val="18"/>
                <w:szCs w:val="18"/>
                <w:i w:val="1"/>
                <w:iCs w:val="1"/>
                <w:color w:val="auto"/>
              </w:rPr>
              <w:t>160%</w:t>
            </w:r>
          </w:p>
        </w:tc>
        <w:tc>
          <w:tcPr>
            <w:tcW w:w="1080" w:type="dxa"/>
            <w:vAlign w:val="bottom"/>
            <w:shd w:val="clear" w:color="auto" w:fill="B2B2B2"/>
          </w:tcPr>
          <w:p>
            <w:pPr>
              <w:spacing w:after="0"/>
              <w:rPr>
                <w:sz w:val="24"/>
                <w:szCs w:val="24"/>
                <w:color w:val="auto"/>
              </w:rPr>
            </w:pPr>
          </w:p>
        </w:tc>
      </w:tr>
      <w:tr>
        <w:trPr>
          <w:trHeight w:val="63"/>
        </w:trPr>
        <w:tc>
          <w:tcPr>
            <w:tcW w:w="1280" w:type="dxa"/>
            <w:vAlign w:val="bottom"/>
            <w:shd w:val="clear" w:color="auto" w:fill="B2B2B2"/>
          </w:tcPr>
          <w:p>
            <w:pPr>
              <w:spacing w:after="0"/>
              <w:rPr>
                <w:sz w:val="5"/>
                <w:szCs w:val="5"/>
                <w:color w:val="auto"/>
              </w:rPr>
            </w:pPr>
          </w:p>
        </w:tc>
        <w:tc>
          <w:tcPr>
            <w:tcW w:w="3800" w:type="dxa"/>
            <w:vAlign w:val="bottom"/>
            <w:shd w:val="clear" w:color="auto" w:fill="B2B2B2"/>
          </w:tcPr>
          <w:p>
            <w:pPr>
              <w:spacing w:after="0"/>
              <w:rPr>
                <w:sz w:val="5"/>
                <w:szCs w:val="5"/>
                <w:color w:val="auto"/>
              </w:rPr>
            </w:pPr>
          </w:p>
        </w:tc>
        <w:tc>
          <w:tcPr>
            <w:tcW w:w="780" w:type="dxa"/>
            <w:vAlign w:val="bottom"/>
            <w:shd w:val="clear" w:color="auto" w:fill="B2B2B2"/>
          </w:tcPr>
          <w:p>
            <w:pPr>
              <w:spacing w:after="0"/>
              <w:rPr>
                <w:sz w:val="5"/>
                <w:szCs w:val="5"/>
                <w:color w:val="auto"/>
              </w:rPr>
            </w:pPr>
          </w:p>
        </w:tc>
        <w:tc>
          <w:tcPr>
            <w:tcW w:w="1480" w:type="dxa"/>
            <w:vAlign w:val="bottom"/>
            <w:shd w:val="clear" w:color="auto" w:fill="B2B2B2"/>
          </w:tcPr>
          <w:p>
            <w:pPr>
              <w:spacing w:after="0"/>
              <w:rPr>
                <w:sz w:val="5"/>
                <w:szCs w:val="5"/>
                <w:color w:val="auto"/>
              </w:rPr>
            </w:pPr>
          </w:p>
        </w:tc>
        <w:tc>
          <w:tcPr>
            <w:tcW w:w="760" w:type="dxa"/>
            <w:vAlign w:val="bottom"/>
            <w:shd w:val="clear" w:color="auto" w:fill="B2B2B2"/>
          </w:tcPr>
          <w:p>
            <w:pPr>
              <w:spacing w:after="0"/>
              <w:rPr>
                <w:sz w:val="5"/>
                <w:szCs w:val="5"/>
                <w:color w:val="auto"/>
              </w:rPr>
            </w:pPr>
          </w:p>
        </w:tc>
        <w:tc>
          <w:tcPr>
            <w:tcW w:w="1080" w:type="dxa"/>
            <w:vAlign w:val="bottom"/>
            <w:shd w:val="clear" w:color="auto" w:fill="B2B2B2"/>
          </w:tcPr>
          <w:p>
            <w:pPr>
              <w:spacing w:after="0"/>
              <w:rPr>
                <w:sz w:val="5"/>
                <w:szCs w:val="5"/>
                <w:color w:val="auto"/>
              </w:rPr>
            </w:pPr>
          </w:p>
        </w:tc>
      </w:tr>
      <w:tr>
        <w:trPr>
          <w:trHeight w:val="301"/>
        </w:trPr>
        <w:tc>
          <w:tcPr>
            <w:tcW w:w="1280" w:type="dxa"/>
            <w:vAlign w:val="bottom"/>
          </w:tcPr>
          <w:p>
            <w:pPr>
              <w:jc w:val="center"/>
              <w:ind w:right="673"/>
              <w:spacing w:after="0"/>
              <w:rPr>
                <w:sz w:val="20"/>
                <w:szCs w:val="20"/>
                <w:color w:val="auto"/>
              </w:rPr>
            </w:pPr>
            <w:r>
              <w:rPr>
                <w:rFonts w:ascii="Arial" w:cs="Arial" w:eastAsia="Arial" w:hAnsi="Arial"/>
                <w:sz w:val="18"/>
                <w:szCs w:val="18"/>
                <w:color w:val="auto"/>
                <w:w w:val="99"/>
              </w:rPr>
              <w:t>2020</w:t>
            </w:r>
          </w:p>
        </w:tc>
        <w:tc>
          <w:tcPr>
            <w:tcW w:w="3800" w:type="dxa"/>
            <w:vAlign w:val="bottom"/>
          </w:tcPr>
          <w:p>
            <w:pPr>
              <w:spacing w:after="0"/>
              <w:rPr>
                <w:sz w:val="24"/>
                <w:szCs w:val="24"/>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$3.33</w:t>
            </w:r>
          </w:p>
        </w:tc>
        <w:tc>
          <w:tcPr>
            <w:tcW w:w="1480" w:type="dxa"/>
            <w:vAlign w:val="bottom"/>
          </w:tcPr>
          <w:p>
            <w:pPr>
              <w:jc w:val="right"/>
              <w:ind w:right="515"/>
              <w:spacing w:after="0"/>
              <w:rPr>
                <w:sz w:val="20"/>
                <w:szCs w:val="20"/>
                <w:color w:val="auto"/>
              </w:rPr>
            </w:pPr>
            <w:r>
              <w:rPr>
                <w:rFonts w:ascii="Arial" w:cs="Arial" w:eastAsia="Arial" w:hAnsi="Arial"/>
                <w:sz w:val="18"/>
                <w:szCs w:val="18"/>
                <w:color w:val="auto"/>
              </w:rPr>
              <w:t>$4.00</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$4.67</w:t>
            </w:r>
          </w:p>
        </w:tc>
        <w:tc>
          <w:tcPr>
            <w:tcW w:w="1080" w:type="dxa"/>
            <w:vAlign w:val="bottom"/>
          </w:tcPr>
          <w:p>
            <w:pPr>
              <w:ind w:left="480"/>
              <w:spacing w:after="0"/>
              <w:rPr>
                <w:sz w:val="20"/>
                <w:szCs w:val="20"/>
                <w:color w:val="auto"/>
              </w:rPr>
            </w:pPr>
            <w:r>
              <w:rPr>
                <w:rFonts w:ascii="Arial" w:cs="Arial" w:eastAsia="Arial" w:hAnsi="Arial"/>
                <w:sz w:val="18"/>
                <w:szCs w:val="18"/>
                <w:color w:val="auto"/>
              </w:rPr>
              <w:t>$1.85</w:t>
            </w:r>
          </w:p>
        </w:tc>
      </w:tr>
      <w:tr>
        <w:trPr>
          <w:trHeight w:val="63"/>
        </w:trPr>
        <w:tc>
          <w:tcPr>
            <w:tcW w:w="1280" w:type="dxa"/>
            <w:vAlign w:val="bottom"/>
          </w:tcPr>
          <w:p>
            <w:pPr>
              <w:spacing w:after="0"/>
              <w:rPr>
                <w:sz w:val="5"/>
                <w:szCs w:val="5"/>
                <w:color w:val="auto"/>
              </w:rPr>
            </w:pPr>
          </w:p>
        </w:tc>
        <w:tc>
          <w:tcPr>
            <w:tcW w:w="3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301"/>
        </w:trPr>
        <w:tc>
          <w:tcPr>
            <w:tcW w:w="1280" w:type="dxa"/>
            <w:vAlign w:val="bottom"/>
            <w:shd w:val="clear" w:color="auto" w:fill="B2B2B2"/>
          </w:tcPr>
          <w:p>
            <w:pPr>
              <w:jc w:val="center"/>
              <w:ind w:right="673"/>
              <w:spacing w:after="0"/>
              <w:rPr>
                <w:sz w:val="20"/>
                <w:szCs w:val="20"/>
                <w:color w:val="auto"/>
              </w:rPr>
            </w:pPr>
            <w:r>
              <w:rPr>
                <w:rFonts w:ascii="Arial" w:cs="Arial" w:eastAsia="Arial" w:hAnsi="Arial"/>
                <w:sz w:val="18"/>
                <w:szCs w:val="18"/>
                <w:color w:val="auto"/>
                <w:w w:val="99"/>
              </w:rPr>
              <w:t>2021</w:t>
            </w:r>
          </w:p>
        </w:tc>
        <w:tc>
          <w:tcPr>
            <w:tcW w:w="3800" w:type="dxa"/>
            <w:vAlign w:val="bottom"/>
            <w:shd w:val="clear" w:color="auto" w:fill="B2B2B2"/>
          </w:tcPr>
          <w:p>
            <w:pPr>
              <w:spacing w:after="0"/>
              <w:rPr>
                <w:sz w:val="24"/>
                <w:szCs w:val="24"/>
                <w:color w:val="auto"/>
              </w:rPr>
            </w:pPr>
          </w:p>
        </w:tc>
        <w:tc>
          <w:tcPr>
            <w:tcW w:w="780" w:type="dxa"/>
            <w:vAlign w:val="bottom"/>
            <w:shd w:val="clear" w:color="auto" w:fill="B2B2B2"/>
          </w:tcPr>
          <w:p>
            <w:pPr>
              <w:jc w:val="right"/>
              <w:ind w:right="113"/>
              <w:spacing w:after="0"/>
              <w:rPr>
                <w:sz w:val="20"/>
                <w:szCs w:val="20"/>
                <w:color w:val="auto"/>
              </w:rPr>
            </w:pPr>
            <w:r>
              <w:rPr>
                <w:rFonts w:ascii="Arial" w:cs="Arial" w:eastAsia="Arial" w:hAnsi="Arial"/>
                <w:sz w:val="18"/>
                <w:szCs w:val="18"/>
                <w:color w:val="auto"/>
              </w:rPr>
              <w:t>$2.00</w:t>
            </w:r>
          </w:p>
        </w:tc>
        <w:tc>
          <w:tcPr>
            <w:tcW w:w="1480" w:type="dxa"/>
            <w:vAlign w:val="bottom"/>
            <w:shd w:val="clear" w:color="auto" w:fill="B2B2B2"/>
          </w:tcPr>
          <w:p>
            <w:pPr>
              <w:jc w:val="right"/>
              <w:ind w:right="515"/>
              <w:spacing w:after="0"/>
              <w:rPr>
                <w:sz w:val="20"/>
                <w:szCs w:val="20"/>
                <w:color w:val="auto"/>
              </w:rPr>
            </w:pPr>
            <w:r>
              <w:rPr>
                <w:rFonts w:ascii="Arial" w:cs="Arial" w:eastAsia="Arial" w:hAnsi="Arial"/>
                <w:sz w:val="18"/>
                <w:szCs w:val="18"/>
                <w:color w:val="auto"/>
              </w:rPr>
              <w:t>$2.42</w:t>
            </w:r>
          </w:p>
        </w:tc>
        <w:tc>
          <w:tcPr>
            <w:tcW w:w="760" w:type="dxa"/>
            <w:vAlign w:val="bottom"/>
            <w:shd w:val="clear" w:color="auto" w:fill="B2B2B2"/>
          </w:tcPr>
          <w:p>
            <w:pPr>
              <w:jc w:val="right"/>
              <w:ind w:right="93"/>
              <w:spacing w:after="0"/>
              <w:rPr>
                <w:sz w:val="20"/>
                <w:szCs w:val="20"/>
                <w:color w:val="auto"/>
              </w:rPr>
            </w:pPr>
            <w:r>
              <w:rPr>
                <w:rFonts w:ascii="Arial" w:cs="Arial" w:eastAsia="Arial" w:hAnsi="Arial"/>
                <w:sz w:val="18"/>
                <w:szCs w:val="18"/>
                <w:color w:val="auto"/>
              </w:rPr>
              <w:t>$3.00</w:t>
            </w:r>
          </w:p>
        </w:tc>
        <w:tc>
          <w:tcPr>
            <w:tcW w:w="1080" w:type="dxa"/>
            <w:vAlign w:val="bottom"/>
            <w:shd w:val="clear" w:color="auto" w:fill="B2B2B2"/>
          </w:tcPr>
          <w:p>
            <w:pPr>
              <w:ind w:left="480"/>
              <w:spacing w:after="0"/>
              <w:rPr>
                <w:sz w:val="20"/>
                <w:szCs w:val="20"/>
                <w:color w:val="auto"/>
              </w:rPr>
            </w:pPr>
            <w:r>
              <w:rPr>
                <w:rFonts w:ascii="Arial" w:cs="Arial" w:eastAsia="Arial" w:hAnsi="Arial"/>
                <w:sz w:val="18"/>
                <w:szCs w:val="18"/>
                <w:color w:val="auto"/>
              </w:rPr>
              <w:t>$2.29*</w:t>
            </w:r>
          </w:p>
        </w:tc>
      </w:tr>
      <w:tr>
        <w:trPr>
          <w:trHeight w:val="63"/>
        </w:trPr>
        <w:tc>
          <w:tcPr>
            <w:tcW w:w="1280" w:type="dxa"/>
            <w:vAlign w:val="bottom"/>
            <w:shd w:val="clear" w:color="auto" w:fill="B2B2B2"/>
          </w:tcPr>
          <w:p>
            <w:pPr>
              <w:spacing w:after="0"/>
              <w:rPr>
                <w:sz w:val="5"/>
                <w:szCs w:val="5"/>
                <w:color w:val="auto"/>
              </w:rPr>
            </w:pPr>
          </w:p>
        </w:tc>
        <w:tc>
          <w:tcPr>
            <w:tcW w:w="3800" w:type="dxa"/>
            <w:vAlign w:val="bottom"/>
            <w:shd w:val="clear" w:color="auto" w:fill="B2B2B2"/>
          </w:tcPr>
          <w:p>
            <w:pPr>
              <w:spacing w:after="0"/>
              <w:rPr>
                <w:sz w:val="5"/>
                <w:szCs w:val="5"/>
                <w:color w:val="auto"/>
              </w:rPr>
            </w:pPr>
          </w:p>
        </w:tc>
        <w:tc>
          <w:tcPr>
            <w:tcW w:w="780" w:type="dxa"/>
            <w:vAlign w:val="bottom"/>
            <w:shd w:val="clear" w:color="auto" w:fill="B2B2B2"/>
          </w:tcPr>
          <w:p>
            <w:pPr>
              <w:spacing w:after="0"/>
              <w:rPr>
                <w:sz w:val="5"/>
                <w:szCs w:val="5"/>
                <w:color w:val="auto"/>
              </w:rPr>
            </w:pPr>
          </w:p>
        </w:tc>
        <w:tc>
          <w:tcPr>
            <w:tcW w:w="1480" w:type="dxa"/>
            <w:vAlign w:val="bottom"/>
            <w:shd w:val="clear" w:color="auto" w:fill="B2B2B2"/>
          </w:tcPr>
          <w:p>
            <w:pPr>
              <w:spacing w:after="0"/>
              <w:rPr>
                <w:sz w:val="5"/>
                <w:szCs w:val="5"/>
                <w:color w:val="auto"/>
              </w:rPr>
            </w:pPr>
          </w:p>
        </w:tc>
        <w:tc>
          <w:tcPr>
            <w:tcW w:w="760" w:type="dxa"/>
            <w:vAlign w:val="bottom"/>
            <w:shd w:val="clear" w:color="auto" w:fill="B2B2B2"/>
          </w:tcPr>
          <w:p>
            <w:pPr>
              <w:spacing w:after="0"/>
              <w:rPr>
                <w:sz w:val="5"/>
                <w:szCs w:val="5"/>
                <w:color w:val="auto"/>
              </w:rPr>
            </w:pPr>
          </w:p>
        </w:tc>
        <w:tc>
          <w:tcPr>
            <w:tcW w:w="1080" w:type="dxa"/>
            <w:vAlign w:val="bottom"/>
            <w:shd w:val="clear" w:color="auto" w:fill="B2B2B2"/>
          </w:tcPr>
          <w:p>
            <w:pPr>
              <w:spacing w:after="0"/>
              <w:rPr>
                <w:sz w:val="5"/>
                <w:szCs w:val="5"/>
                <w:color w:val="auto"/>
              </w:rPr>
            </w:pPr>
          </w:p>
        </w:tc>
      </w:tr>
      <w:tr>
        <w:trPr>
          <w:trHeight w:val="301"/>
        </w:trPr>
        <w:tc>
          <w:tcPr>
            <w:tcW w:w="5080" w:type="dxa"/>
            <w:vAlign w:val="bottom"/>
            <w:gridSpan w:val="2"/>
          </w:tcPr>
          <w:p>
            <w:pPr>
              <w:ind w:left="1260"/>
              <w:spacing w:after="0"/>
              <w:rPr>
                <w:sz w:val="20"/>
                <w:szCs w:val="20"/>
                <w:color w:val="auto"/>
              </w:rPr>
            </w:pPr>
            <w:r>
              <w:rPr>
                <w:rFonts w:ascii="Arial" w:cs="Arial" w:eastAsia="Arial" w:hAnsi="Arial"/>
                <w:sz w:val="18"/>
                <w:szCs w:val="18"/>
                <w:i w:val="1"/>
                <w:iCs w:val="1"/>
                <w:color w:val="auto"/>
              </w:rPr>
              <w:t>Payout Opportunity (as a % of Target)</w:t>
            </w:r>
          </w:p>
        </w:tc>
        <w:tc>
          <w:tcPr>
            <w:tcW w:w="780" w:type="dxa"/>
            <w:vAlign w:val="bottom"/>
          </w:tcPr>
          <w:p>
            <w:pPr>
              <w:jc w:val="right"/>
              <w:spacing w:after="0"/>
              <w:rPr>
                <w:sz w:val="20"/>
                <w:szCs w:val="20"/>
                <w:color w:val="auto"/>
              </w:rPr>
            </w:pPr>
            <w:r>
              <w:rPr>
                <w:rFonts w:ascii="Arial" w:cs="Arial" w:eastAsia="Arial" w:hAnsi="Arial"/>
                <w:sz w:val="18"/>
                <w:szCs w:val="18"/>
                <w:i w:val="1"/>
                <w:iCs w:val="1"/>
                <w:color w:val="auto"/>
              </w:rPr>
              <w:t>0%</w:t>
            </w:r>
          </w:p>
        </w:tc>
        <w:tc>
          <w:tcPr>
            <w:tcW w:w="1480" w:type="dxa"/>
            <w:vAlign w:val="bottom"/>
          </w:tcPr>
          <w:p>
            <w:pPr>
              <w:jc w:val="right"/>
              <w:ind w:right="355"/>
              <w:spacing w:after="0"/>
              <w:rPr>
                <w:sz w:val="20"/>
                <w:szCs w:val="20"/>
                <w:color w:val="auto"/>
              </w:rPr>
            </w:pPr>
            <w:r>
              <w:rPr>
                <w:rFonts w:ascii="Arial" w:cs="Arial" w:eastAsia="Arial" w:hAnsi="Arial"/>
                <w:sz w:val="18"/>
                <w:szCs w:val="18"/>
                <w:i w:val="1"/>
                <w:iCs w:val="1"/>
                <w:color w:val="auto"/>
              </w:rPr>
              <w:t>100%</w:t>
            </w: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160%</w:t>
            </w:r>
          </w:p>
        </w:tc>
        <w:tc>
          <w:tcPr>
            <w:tcW w:w="1080" w:type="dxa"/>
            <w:vAlign w:val="bottom"/>
          </w:tcPr>
          <w:p>
            <w:pPr>
              <w:spacing w:after="0"/>
              <w:rPr>
                <w:sz w:val="24"/>
                <w:szCs w:val="24"/>
                <w:color w:val="auto"/>
              </w:rPr>
            </w:pPr>
          </w:p>
        </w:tc>
      </w:tr>
      <w:tr>
        <w:trPr>
          <w:trHeight w:val="63"/>
        </w:trPr>
        <w:tc>
          <w:tcPr>
            <w:tcW w:w="1280" w:type="dxa"/>
            <w:vAlign w:val="bottom"/>
          </w:tcPr>
          <w:p>
            <w:pPr>
              <w:spacing w:after="0"/>
              <w:rPr>
                <w:sz w:val="5"/>
                <w:szCs w:val="5"/>
                <w:color w:val="auto"/>
              </w:rPr>
            </w:pPr>
          </w:p>
        </w:tc>
        <w:tc>
          <w:tcPr>
            <w:tcW w:w="3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310"/>
        </w:trPr>
        <w:tc>
          <w:tcPr>
            <w:tcW w:w="1280" w:type="dxa"/>
            <w:vAlign w:val="bottom"/>
            <w:shd w:val="clear" w:color="auto" w:fill="B2B2B2"/>
          </w:tcPr>
          <w:p>
            <w:pPr>
              <w:jc w:val="center"/>
              <w:ind w:right="673"/>
              <w:spacing w:after="0"/>
              <w:rPr>
                <w:sz w:val="20"/>
                <w:szCs w:val="20"/>
                <w:color w:val="auto"/>
              </w:rPr>
            </w:pPr>
            <w:r>
              <w:rPr>
                <w:rFonts w:ascii="Arial" w:cs="Arial" w:eastAsia="Arial" w:hAnsi="Arial"/>
                <w:sz w:val="18"/>
                <w:szCs w:val="18"/>
                <w:color w:val="auto"/>
                <w:w w:val="99"/>
              </w:rPr>
              <w:t>2022</w:t>
            </w:r>
          </w:p>
        </w:tc>
        <w:tc>
          <w:tcPr>
            <w:tcW w:w="3800" w:type="dxa"/>
            <w:vAlign w:val="bottom"/>
            <w:shd w:val="clear" w:color="auto" w:fill="B2B2B2"/>
          </w:tcPr>
          <w:p>
            <w:pPr>
              <w:spacing w:after="0"/>
              <w:rPr>
                <w:sz w:val="24"/>
                <w:szCs w:val="24"/>
                <w:color w:val="auto"/>
              </w:rPr>
            </w:pPr>
          </w:p>
        </w:tc>
        <w:tc>
          <w:tcPr>
            <w:tcW w:w="780" w:type="dxa"/>
            <w:vAlign w:val="bottom"/>
            <w:shd w:val="clear" w:color="auto" w:fill="B2B2B2"/>
          </w:tcPr>
          <w:p>
            <w:pPr>
              <w:jc w:val="right"/>
              <w:ind w:right="113"/>
              <w:spacing w:after="0"/>
              <w:rPr>
                <w:sz w:val="20"/>
                <w:szCs w:val="20"/>
                <w:color w:val="auto"/>
              </w:rPr>
            </w:pPr>
            <w:r>
              <w:rPr>
                <w:rFonts w:ascii="Arial" w:cs="Arial" w:eastAsia="Arial" w:hAnsi="Arial"/>
                <w:sz w:val="18"/>
                <w:szCs w:val="18"/>
                <w:color w:val="auto"/>
              </w:rPr>
              <w:t>$1.04</w:t>
            </w:r>
          </w:p>
        </w:tc>
        <w:tc>
          <w:tcPr>
            <w:tcW w:w="1480" w:type="dxa"/>
            <w:vAlign w:val="bottom"/>
            <w:shd w:val="clear" w:color="auto" w:fill="B2B2B2"/>
          </w:tcPr>
          <w:p>
            <w:pPr>
              <w:jc w:val="right"/>
              <w:ind w:right="515"/>
              <w:spacing w:after="0"/>
              <w:rPr>
                <w:sz w:val="20"/>
                <w:szCs w:val="20"/>
                <w:color w:val="auto"/>
              </w:rPr>
            </w:pPr>
            <w:r>
              <w:rPr>
                <w:rFonts w:ascii="Arial" w:cs="Arial" w:eastAsia="Arial" w:hAnsi="Arial"/>
                <w:sz w:val="18"/>
                <w:szCs w:val="18"/>
                <w:color w:val="auto"/>
              </w:rPr>
              <w:t>$1.60</w:t>
            </w:r>
          </w:p>
        </w:tc>
        <w:tc>
          <w:tcPr>
            <w:tcW w:w="760" w:type="dxa"/>
            <w:vAlign w:val="bottom"/>
            <w:shd w:val="clear" w:color="auto" w:fill="B2B2B2"/>
          </w:tcPr>
          <w:p>
            <w:pPr>
              <w:jc w:val="right"/>
              <w:ind w:right="93"/>
              <w:spacing w:after="0"/>
              <w:rPr>
                <w:sz w:val="20"/>
                <w:szCs w:val="20"/>
                <w:color w:val="auto"/>
              </w:rPr>
            </w:pPr>
            <w:r>
              <w:rPr>
                <w:rFonts w:ascii="Arial" w:cs="Arial" w:eastAsia="Arial" w:hAnsi="Arial"/>
                <w:sz w:val="18"/>
                <w:szCs w:val="18"/>
                <w:color w:val="auto"/>
              </w:rPr>
              <w:t>$2.00</w:t>
            </w:r>
          </w:p>
        </w:tc>
        <w:tc>
          <w:tcPr>
            <w:tcW w:w="1080" w:type="dxa"/>
            <w:vAlign w:val="bottom"/>
            <w:shd w:val="clear" w:color="auto" w:fill="B2B2B2"/>
          </w:tcPr>
          <w:p>
            <w:pPr>
              <w:ind w:left="480"/>
              <w:spacing w:after="0"/>
              <w:rPr>
                <w:sz w:val="20"/>
                <w:szCs w:val="20"/>
                <w:color w:val="auto"/>
              </w:rPr>
            </w:pPr>
            <w:r>
              <w:rPr>
                <w:rFonts w:ascii="Arial" w:cs="Arial" w:eastAsia="Arial" w:hAnsi="Arial"/>
                <w:sz w:val="18"/>
                <w:szCs w:val="18"/>
                <w:color w:val="auto"/>
              </w:rPr>
              <w:t>$1.13</w:t>
            </w:r>
          </w:p>
        </w:tc>
      </w:tr>
      <w:tr>
        <w:trPr>
          <w:trHeight w:val="189"/>
        </w:trPr>
        <w:tc>
          <w:tcPr>
            <w:tcW w:w="1280" w:type="dxa"/>
            <w:vAlign w:val="bottom"/>
            <w:tcBorders>
              <w:bottom w:val="single" w:sz="8" w:color="auto"/>
            </w:tcBorders>
          </w:tcPr>
          <w:p>
            <w:pPr>
              <w:spacing w:after="0"/>
              <w:rPr>
                <w:sz w:val="16"/>
                <w:szCs w:val="16"/>
                <w:color w:val="auto"/>
              </w:rPr>
            </w:pPr>
          </w:p>
        </w:tc>
        <w:tc>
          <w:tcPr>
            <w:tcW w:w="3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r>
    </w:tbl>
    <w:p>
      <w:pPr>
        <w:spacing w:after="0" w:line="99" w:lineRule="exact"/>
        <w:rPr>
          <w:sz w:val="20"/>
          <w:szCs w:val="20"/>
          <w:color w:val="auto"/>
        </w:rPr>
      </w:pPr>
    </w:p>
    <w:p>
      <w:pPr>
        <w:ind w:left="1260" w:right="1020" w:hanging="346"/>
        <w:spacing w:after="0" w:line="285" w:lineRule="auto"/>
        <w:tabs>
          <w:tab w:leader="none" w:pos="1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As disclosed in last year’s CD&amp;A, for fiscal 2021, the Compensation Committee adjusted results for the impact of supply chain disruptions and approved 2021 non-GAAP diluted EPS achievement of $2.29 or 85% of the target 2021 PRSU award.</w:t>
      </w:r>
    </w:p>
    <w:p>
      <w:pPr>
        <w:spacing w:after="0" w:line="9" w:lineRule="exact"/>
        <w:rPr>
          <w:sz w:val="20"/>
          <w:szCs w:val="20"/>
          <w:color w:val="auto"/>
        </w:rPr>
      </w:pPr>
    </w:p>
    <w:p>
      <w:pPr>
        <w:ind w:left="920" w:right="1100"/>
        <w:spacing w:after="0" w:line="258" w:lineRule="auto"/>
        <w:rPr>
          <w:sz w:val="20"/>
          <w:szCs w:val="20"/>
          <w:color w:val="auto"/>
        </w:rPr>
      </w:pPr>
      <w:r>
        <w:rPr>
          <w:rFonts w:ascii="Arial" w:cs="Arial" w:eastAsia="Arial" w:hAnsi="Arial"/>
          <w:sz w:val="14"/>
          <w:szCs w:val="14"/>
          <w:color w:val="auto"/>
        </w:rPr>
        <w:t>Note: The non-GAAP diluted EPS results shown are based on financial results as reported for 2020 (as reported in our Annual Report on Form 10-K for the year ended December 31, 2020), 2021 (adjusted as disclosed above), and 2022 (as reported in our Annual Report on Form 10-K for the year ended December 31, 2022). Performance for levels achieved between threshold, target, and maximum are linearly interpolated.</w:t>
      </w:r>
    </w:p>
    <w:p>
      <w:pPr>
        <w:spacing w:after="0" w:line="295" w:lineRule="exact"/>
        <w:rPr>
          <w:sz w:val="20"/>
          <w:szCs w:val="20"/>
          <w:color w:val="auto"/>
        </w:rPr>
      </w:pPr>
    </w:p>
    <w:p>
      <w:pPr>
        <w:ind w:left="920" w:right="1100"/>
        <w:spacing w:after="0" w:line="271" w:lineRule="auto"/>
        <w:rPr>
          <w:sz w:val="20"/>
          <w:szCs w:val="20"/>
          <w:color w:val="auto"/>
        </w:rPr>
      </w:pPr>
      <w:r>
        <w:rPr>
          <w:rFonts w:ascii="Arial" w:cs="Arial" w:eastAsia="Arial" w:hAnsi="Arial"/>
          <w:sz w:val="18"/>
          <w:szCs w:val="18"/>
          <w:color w:val="auto"/>
        </w:rPr>
        <w:t>The actual award earned was calculated at the end of the three-year performance period by averaging the results of the three annual performance cycles, as follows:</w:t>
      </w:r>
    </w:p>
    <w:p>
      <w:pPr>
        <w:spacing w:after="0" w:line="82"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Percentage of</w:t>
            </w:r>
          </w:p>
        </w:tc>
      </w:tr>
      <w:tr>
        <w:trPr>
          <w:trHeight w:val="196"/>
        </w:trPr>
        <w:tc>
          <w:tcPr>
            <w:tcW w:w="60" w:type="dxa"/>
            <w:vAlign w:val="bottom"/>
          </w:tcPr>
          <w:p>
            <w:pPr>
              <w:spacing w:after="0"/>
              <w:rPr>
                <w:sz w:val="17"/>
                <w:szCs w:val="17"/>
                <w:color w:val="auto"/>
              </w:rPr>
            </w:pPr>
          </w:p>
        </w:tc>
        <w:tc>
          <w:tcPr>
            <w:tcW w:w="734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1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Attainment</w:t>
            </w:r>
          </w:p>
        </w:tc>
      </w:tr>
      <w:tr>
        <w:trPr>
          <w:trHeight w:val="56"/>
        </w:trPr>
        <w:tc>
          <w:tcPr>
            <w:tcW w:w="60" w:type="dxa"/>
            <w:vAlign w:val="bottom"/>
            <w:tcBorders>
              <w:bottom w:val="single" w:sz="8" w:color="B2B2B2"/>
            </w:tcBorders>
          </w:tcPr>
          <w:p>
            <w:pPr>
              <w:spacing w:after="0"/>
              <w:rPr>
                <w:sz w:val="4"/>
                <w:szCs w:val="4"/>
                <w:color w:val="auto"/>
              </w:rPr>
            </w:pPr>
          </w:p>
        </w:tc>
        <w:tc>
          <w:tcPr>
            <w:tcW w:w="7140" w:type="dxa"/>
            <w:vAlign w:val="bottom"/>
            <w:tcBorders>
              <w:bottom w:val="single" w:sz="8" w:color="auto"/>
            </w:tcBorders>
          </w:tcPr>
          <w:p>
            <w:pPr>
              <w:spacing w:after="0"/>
              <w:rPr>
                <w:sz w:val="4"/>
                <w:szCs w:val="4"/>
                <w:color w:val="auto"/>
              </w:rPr>
            </w:pPr>
          </w:p>
        </w:tc>
        <w:tc>
          <w:tcPr>
            <w:tcW w:w="200" w:type="dxa"/>
            <w:vAlign w:val="bottom"/>
            <w:tcBorders>
              <w:bottom w:val="single" w:sz="8" w:color="B2B2B2"/>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60" w:type="dxa"/>
            <w:vAlign w:val="bottom"/>
            <w:tcBorders>
              <w:bottom w:val="single" w:sz="8" w:color="B2B2B2"/>
            </w:tcBorders>
          </w:tcPr>
          <w:p>
            <w:pPr>
              <w:spacing w:after="0"/>
              <w:rPr>
                <w:sz w:val="4"/>
                <w:szCs w:val="4"/>
                <w:color w:val="auto"/>
              </w:rPr>
            </w:pPr>
          </w:p>
        </w:tc>
      </w:tr>
      <w:tr>
        <w:trPr>
          <w:trHeight w:val="295"/>
        </w:trPr>
        <w:tc>
          <w:tcPr>
            <w:tcW w:w="7200" w:type="dxa"/>
            <w:vAlign w:val="bottom"/>
            <w:gridSpan w:val="2"/>
            <w:shd w:val="clear" w:color="auto" w:fill="B2B2B2"/>
          </w:tcPr>
          <w:p>
            <w:pPr>
              <w:ind w:left="80"/>
              <w:spacing w:after="0"/>
              <w:rPr>
                <w:sz w:val="20"/>
                <w:szCs w:val="20"/>
                <w:color w:val="auto"/>
              </w:rPr>
            </w:pPr>
            <w:r>
              <w:rPr>
                <w:rFonts w:ascii="Arial" w:cs="Arial" w:eastAsia="Arial" w:hAnsi="Arial"/>
                <w:sz w:val="18"/>
                <w:szCs w:val="18"/>
                <w:color w:val="auto"/>
              </w:rPr>
              <w:t>2020</w:t>
            </w:r>
          </w:p>
        </w:tc>
        <w:tc>
          <w:tcPr>
            <w:tcW w:w="200" w:type="dxa"/>
            <w:vAlign w:val="bottom"/>
            <w:shd w:val="clear" w:color="auto" w:fill="B2B2B2"/>
          </w:tcPr>
          <w:p>
            <w:pPr>
              <w:spacing w:after="0"/>
              <w:rPr>
                <w:sz w:val="24"/>
                <w:szCs w:val="24"/>
                <w:color w:val="auto"/>
              </w:rPr>
            </w:pPr>
          </w:p>
        </w:tc>
        <w:tc>
          <w:tcPr>
            <w:tcW w:w="1720" w:type="dxa"/>
            <w:vAlign w:val="bottom"/>
            <w:shd w:val="clear" w:color="auto" w:fill="B2B2B2"/>
          </w:tcPr>
          <w:p>
            <w:pPr>
              <w:jc w:val="right"/>
              <w:ind w:right="396"/>
              <w:spacing w:after="0"/>
              <w:rPr>
                <w:sz w:val="20"/>
                <w:szCs w:val="20"/>
                <w:color w:val="auto"/>
              </w:rPr>
            </w:pPr>
            <w:r>
              <w:rPr>
                <w:rFonts w:ascii="Arial" w:cs="Arial" w:eastAsia="Arial" w:hAnsi="Arial"/>
                <w:sz w:val="18"/>
                <w:szCs w:val="18"/>
                <w:color w:val="auto"/>
              </w:rPr>
              <w:t>0%</w:t>
            </w:r>
          </w:p>
        </w:tc>
        <w:tc>
          <w:tcPr>
            <w:tcW w:w="60" w:type="dxa"/>
            <w:vAlign w:val="bottom"/>
            <w:shd w:val="clear" w:color="auto" w:fill="B2B2B2"/>
          </w:tcPr>
          <w:p>
            <w:pPr>
              <w:spacing w:after="0"/>
              <w:rPr>
                <w:sz w:val="24"/>
                <w:szCs w:val="24"/>
                <w:color w:val="auto"/>
              </w:rPr>
            </w:pPr>
          </w:p>
        </w:tc>
      </w:tr>
      <w:tr>
        <w:trPr>
          <w:trHeight w:val="63"/>
        </w:trPr>
        <w:tc>
          <w:tcPr>
            <w:tcW w:w="60" w:type="dxa"/>
            <w:vAlign w:val="bottom"/>
            <w:shd w:val="clear" w:color="auto" w:fill="B2B2B2"/>
          </w:tcPr>
          <w:p>
            <w:pPr>
              <w:spacing w:after="0"/>
              <w:rPr>
                <w:sz w:val="5"/>
                <w:szCs w:val="5"/>
                <w:color w:val="auto"/>
              </w:rPr>
            </w:pPr>
          </w:p>
        </w:tc>
        <w:tc>
          <w:tcPr>
            <w:tcW w:w="7140" w:type="dxa"/>
            <w:vAlign w:val="bottom"/>
            <w:shd w:val="clear" w:color="auto" w:fill="B2B2B2"/>
          </w:tcPr>
          <w:p>
            <w:pPr>
              <w:spacing w:after="0"/>
              <w:rPr>
                <w:sz w:val="5"/>
                <w:szCs w:val="5"/>
                <w:color w:val="auto"/>
              </w:rPr>
            </w:pPr>
          </w:p>
        </w:tc>
        <w:tc>
          <w:tcPr>
            <w:tcW w:w="200" w:type="dxa"/>
            <w:vAlign w:val="bottom"/>
            <w:shd w:val="clear" w:color="auto" w:fill="B2B2B2"/>
          </w:tcPr>
          <w:p>
            <w:pPr>
              <w:spacing w:after="0"/>
              <w:rPr>
                <w:sz w:val="5"/>
                <w:szCs w:val="5"/>
                <w:color w:val="auto"/>
              </w:rPr>
            </w:pPr>
          </w:p>
        </w:tc>
        <w:tc>
          <w:tcPr>
            <w:tcW w:w="1720" w:type="dxa"/>
            <w:vAlign w:val="bottom"/>
            <w:shd w:val="clear" w:color="auto" w:fill="B2B2B2"/>
          </w:tcPr>
          <w:p>
            <w:pPr>
              <w:spacing w:after="0"/>
              <w:rPr>
                <w:sz w:val="5"/>
                <w:szCs w:val="5"/>
                <w:color w:val="auto"/>
              </w:rPr>
            </w:pPr>
          </w:p>
        </w:tc>
        <w:tc>
          <w:tcPr>
            <w:tcW w:w="60" w:type="dxa"/>
            <w:vAlign w:val="bottom"/>
            <w:shd w:val="clear" w:color="auto" w:fill="B2B2B2"/>
          </w:tcPr>
          <w:p>
            <w:pPr>
              <w:spacing w:after="0"/>
              <w:rPr>
                <w:sz w:val="5"/>
                <w:szCs w:val="5"/>
                <w:color w:val="auto"/>
              </w:rPr>
            </w:pPr>
          </w:p>
        </w:tc>
      </w:tr>
      <w:tr>
        <w:trPr>
          <w:trHeight w:val="301"/>
        </w:trPr>
        <w:tc>
          <w:tcPr>
            <w:tcW w:w="7200" w:type="dxa"/>
            <w:vAlign w:val="bottom"/>
            <w:gridSpan w:val="2"/>
          </w:tcPr>
          <w:p>
            <w:pPr>
              <w:ind w:left="8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4"/>
                <w:szCs w:val="24"/>
                <w:color w:val="auto"/>
              </w:rPr>
            </w:pPr>
          </w:p>
        </w:tc>
        <w:tc>
          <w:tcPr>
            <w:tcW w:w="1720" w:type="dxa"/>
            <w:vAlign w:val="bottom"/>
          </w:tcPr>
          <w:p>
            <w:pPr>
              <w:jc w:val="right"/>
              <w:ind w:right="396"/>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24"/>
                <w:szCs w:val="24"/>
                <w:color w:val="auto"/>
              </w:rPr>
            </w:pPr>
          </w:p>
        </w:tc>
      </w:tr>
      <w:tr>
        <w:trPr>
          <w:trHeight w:val="63"/>
        </w:trPr>
        <w:tc>
          <w:tcPr>
            <w:tcW w:w="60" w:type="dxa"/>
            <w:vAlign w:val="bottom"/>
          </w:tcPr>
          <w:p>
            <w:pPr>
              <w:spacing w:after="0"/>
              <w:rPr>
                <w:sz w:val="5"/>
                <w:szCs w:val="5"/>
                <w:color w:val="auto"/>
              </w:rPr>
            </w:pPr>
          </w:p>
        </w:tc>
        <w:tc>
          <w:tcPr>
            <w:tcW w:w="7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301"/>
        </w:trPr>
        <w:tc>
          <w:tcPr>
            <w:tcW w:w="7200" w:type="dxa"/>
            <w:vAlign w:val="bottom"/>
            <w:gridSpan w:val="2"/>
            <w:shd w:val="clear" w:color="auto" w:fill="B2B2B2"/>
          </w:tcPr>
          <w:p>
            <w:pPr>
              <w:ind w:left="80"/>
              <w:spacing w:after="0"/>
              <w:rPr>
                <w:sz w:val="20"/>
                <w:szCs w:val="20"/>
                <w:color w:val="auto"/>
              </w:rPr>
            </w:pPr>
            <w:r>
              <w:rPr>
                <w:rFonts w:ascii="Arial" w:cs="Arial" w:eastAsia="Arial" w:hAnsi="Arial"/>
                <w:sz w:val="18"/>
                <w:szCs w:val="18"/>
                <w:color w:val="auto"/>
              </w:rPr>
              <w:t>2022</w:t>
            </w:r>
          </w:p>
        </w:tc>
        <w:tc>
          <w:tcPr>
            <w:tcW w:w="200" w:type="dxa"/>
            <w:vAlign w:val="bottom"/>
            <w:shd w:val="clear" w:color="auto" w:fill="B2B2B2"/>
          </w:tcPr>
          <w:p>
            <w:pPr>
              <w:spacing w:after="0"/>
              <w:rPr>
                <w:sz w:val="24"/>
                <w:szCs w:val="24"/>
                <w:color w:val="auto"/>
              </w:rPr>
            </w:pPr>
          </w:p>
        </w:tc>
        <w:tc>
          <w:tcPr>
            <w:tcW w:w="1720" w:type="dxa"/>
            <w:vAlign w:val="bottom"/>
            <w:shd w:val="clear" w:color="auto" w:fill="B2B2B2"/>
          </w:tcPr>
          <w:p>
            <w:pPr>
              <w:jc w:val="right"/>
              <w:ind w:right="396"/>
              <w:spacing w:after="0"/>
              <w:rPr>
                <w:sz w:val="20"/>
                <w:szCs w:val="20"/>
                <w:color w:val="auto"/>
              </w:rPr>
            </w:pPr>
            <w:r>
              <w:rPr>
                <w:rFonts w:ascii="Arial" w:cs="Arial" w:eastAsia="Arial" w:hAnsi="Arial"/>
                <w:sz w:val="18"/>
                <w:szCs w:val="18"/>
                <w:color w:val="auto"/>
              </w:rPr>
              <w:t>16.07%</w:t>
            </w:r>
          </w:p>
        </w:tc>
        <w:tc>
          <w:tcPr>
            <w:tcW w:w="60" w:type="dxa"/>
            <w:vAlign w:val="bottom"/>
            <w:shd w:val="clear" w:color="auto" w:fill="B2B2B2"/>
          </w:tcPr>
          <w:p>
            <w:pPr>
              <w:spacing w:after="0"/>
              <w:rPr>
                <w:sz w:val="24"/>
                <w:szCs w:val="24"/>
                <w:color w:val="auto"/>
              </w:rPr>
            </w:pPr>
          </w:p>
        </w:tc>
      </w:tr>
      <w:tr>
        <w:trPr>
          <w:trHeight w:val="64"/>
        </w:trPr>
        <w:tc>
          <w:tcPr>
            <w:tcW w:w="60" w:type="dxa"/>
            <w:vAlign w:val="bottom"/>
            <w:shd w:val="clear" w:color="auto" w:fill="B2B2B2"/>
          </w:tcPr>
          <w:p>
            <w:pPr>
              <w:spacing w:after="0"/>
              <w:rPr>
                <w:sz w:val="5"/>
                <w:szCs w:val="5"/>
                <w:color w:val="auto"/>
              </w:rPr>
            </w:pPr>
          </w:p>
        </w:tc>
        <w:tc>
          <w:tcPr>
            <w:tcW w:w="7140" w:type="dxa"/>
            <w:vAlign w:val="bottom"/>
            <w:shd w:val="clear" w:color="auto" w:fill="B2B2B2"/>
          </w:tcPr>
          <w:p>
            <w:pPr>
              <w:spacing w:after="0"/>
              <w:rPr>
                <w:sz w:val="5"/>
                <w:szCs w:val="5"/>
                <w:color w:val="auto"/>
              </w:rPr>
            </w:pPr>
          </w:p>
        </w:tc>
        <w:tc>
          <w:tcPr>
            <w:tcW w:w="200" w:type="dxa"/>
            <w:vAlign w:val="bottom"/>
            <w:shd w:val="clear" w:color="auto" w:fill="B2B2B2"/>
          </w:tcPr>
          <w:p>
            <w:pPr>
              <w:spacing w:after="0"/>
              <w:rPr>
                <w:sz w:val="5"/>
                <w:szCs w:val="5"/>
                <w:color w:val="auto"/>
              </w:rPr>
            </w:pPr>
          </w:p>
        </w:tc>
        <w:tc>
          <w:tcPr>
            <w:tcW w:w="1720" w:type="dxa"/>
            <w:vAlign w:val="bottom"/>
            <w:shd w:val="clear" w:color="auto" w:fill="B2B2B2"/>
          </w:tcPr>
          <w:p>
            <w:pPr>
              <w:spacing w:after="0"/>
              <w:rPr>
                <w:sz w:val="5"/>
                <w:szCs w:val="5"/>
                <w:color w:val="auto"/>
              </w:rPr>
            </w:pPr>
          </w:p>
        </w:tc>
        <w:tc>
          <w:tcPr>
            <w:tcW w:w="60" w:type="dxa"/>
            <w:vAlign w:val="bottom"/>
            <w:shd w:val="clear" w:color="auto" w:fill="B2B2B2"/>
          </w:tcPr>
          <w:p>
            <w:pPr>
              <w:spacing w:after="0"/>
              <w:rPr>
                <w:sz w:val="5"/>
                <w:szCs w:val="5"/>
                <w:color w:val="auto"/>
              </w:rPr>
            </w:pPr>
          </w:p>
        </w:tc>
      </w:tr>
      <w:tr>
        <w:trPr>
          <w:trHeight w:val="301"/>
        </w:trPr>
        <w:tc>
          <w:tcPr>
            <w:tcW w:w="60" w:type="dxa"/>
            <w:vAlign w:val="bottom"/>
          </w:tcPr>
          <w:p>
            <w:pPr>
              <w:spacing w:after="0"/>
              <w:rPr>
                <w:sz w:val="24"/>
                <w:szCs w:val="24"/>
                <w:color w:val="auto"/>
              </w:rPr>
            </w:pPr>
          </w:p>
        </w:tc>
        <w:tc>
          <w:tcPr>
            <w:tcW w:w="7340" w:type="dxa"/>
            <w:vAlign w:val="bottom"/>
            <w:gridSpan w:val="2"/>
          </w:tcPr>
          <w:p>
            <w:pPr>
              <w:ind w:left="20"/>
              <w:spacing w:after="0"/>
              <w:rPr>
                <w:sz w:val="20"/>
                <w:szCs w:val="20"/>
                <w:color w:val="auto"/>
              </w:rPr>
            </w:pPr>
            <w:r>
              <w:rPr>
                <w:rFonts w:ascii="Arial" w:cs="Arial" w:eastAsia="Arial" w:hAnsi="Arial"/>
                <w:sz w:val="18"/>
                <w:szCs w:val="18"/>
                <w:color w:val="auto"/>
              </w:rPr>
              <w:t>2020-2022 Average</w:t>
            </w:r>
          </w:p>
        </w:tc>
        <w:tc>
          <w:tcPr>
            <w:tcW w:w="1720" w:type="dxa"/>
            <w:vAlign w:val="bottom"/>
          </w:tcPr>
          <w:p>
            <w:pPr>
              <w:jc w:val="right"/>
              <w:ind w:right="396"/>
              <w:spacing w:after="0"/>
              <w:rPr>
                <w:sz w:val="20"/>
                <w:szCs w:val="20"/>
                <w:color w:val="auto"/>
              </w:rPr>
            </w:pPr>
            <w:r>
              <w:rPr>
                <w:rFonts w:ascii="Arial" w:cs="Arial" w:eastAsia="Arial" w:hAnsi="Arial"/>
                <w:sz w:val="18"/>
                <w:szCs w:val="18"/>
                <w:color w:val="auto"/>
              </w:rPr>
              <w:t>33.69%</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6375400</wp:posOffset>
            </wp:positionH>
            <wp:positionV relativeFrom="paragraph">
              <wp:posOffset>-893445</wp:posOffset>
            </wp:positionV>
            <wp:extent cx="342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-893445</wp:posOffset>
            </wp:positionV>
            <wp:extent cx="12001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-893445</wp:posOffset>
            </wp:positionV>
            <wp:extent cx="431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Based on the above results, the average performance attainment for the 2020-2022 PRSUs was then adjusted</w:t>
      </w:r>
    </w:p>
    <w:p>
      <w:pPr>
        <w:ind w:left="920"/>
        <w:spacing w:after="0" w:line="184" w:lineRule="auto"/>
        <w:rPr>
          <w:sz w:val="20"/>
          <w:szCs w:val="20"/>
          <w:color w:val="auto"/>
        </w:rPr>
      </w:pPr>
      <w:r>
        <w:rPr>
          <w:rFonts w:ascii="Arial" w:cs="Arial" w:eastAsia="Arial" w:hAnsi="Arial"/>
          <w:sz w:val="18"/>
          <w:szCs w:val="18"/>
          <w:color w:val="auto"/>
        </w:rPr>
        <w:t>downward by a factor of 0.75 since our TSR was at the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percentile of the Russell 3000 index. As a result, the</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NEOs earned 25.27% of their target PRSUs for the 2020-2022 performance cycle,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Target</w:t>
            </w:r>
          </w:p>
        </w:tc>
        <w:tc>
          <w:tcPr>
            <w:tcW w:w="1940" w:type="dxa"/>
            <w:vAlign w:val="bottom"/>
            <w:gridSpan w:val="2"/>
          </w:tcPr>
          <w:p>
            <w:pPr>
              <w:ind w:left="260"/>
              <w:spacing w:after="0"/>
              <w:rPr>
                <w:sz w:val="20"/>
                <w:szCs w:val="20"/>
                <w:color w:val="auto"/>
              </w:rPr>
            </w:pPr>
            <w:r>
              <w:rPr>
                <w:rFonts w:ascii="Arial" w:cs="Arial" w:eastAsia="Arial" w:hAnsi="Arial"/>
                <w:sz w:val="14"/>
                <w:szCs w:val="14"/>
                <w:b w:val="1"/>
                <w:bCs w:val="1"/>
                <w:color w:val="auto"/>
              </w:rPr>
              <w:t>Actual</w:t>
            </w:r>
          </w:p>
        </w:tc>
      </w:tr>
      <w:tr>
        <w:trPr>
          <w:trHeight w:val="162"/>
        </w:trPr>
        <w:tc>
          <w:tcPr>
            <w:tcW w:w="9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PRSUs</w:t>
            </w:r>
          </w:p>
        </w:tc>
        <w:tc>
          <w:tcPr>
            <w:tcW w:w="1940" w:type="dxa"/>
            <w:vAlign w:val="bottom"/>
            <w:gridSpan w:val="2"/>
          </w:tcPr>
          <w:p>
            <w:pPr>
              <w:ind w:left="240"/>
              <w:spacing w:after="0"/>
              <w:rPr>
                <w:sz w:val="20"/>
                <w:szCs w:val="20"/>
                <w:color w:val="auto"/>
              </w:rPr>
            </w:pPr>
            <w:r>
              <w:rPr>
                <w:rFonts w:ascii="Arial" w:cs="Arial" w:eastAsia="Arial" w:hAnsi="Arial"/>
                <w:sz w:val="14"/>
                <w:szCs w:val="14"/>
                <w:b w:val="1"/>
                <w:bCs w:val="1"/>
                <w:color w:val="auto"/>
              </w:rPr>
              <w:t>PRSUs</w:t>
            </w:r>
          </w:p>
        </w:tc>
      </w:tr>
      <w:tr>
        <w:trPr>
          <w:trHeight w:val="196"/>
        </w:trPr>
        <w:tc>
          <w:tcPr>
            <w:tcW w:w="920" w:type="dxa"/>
            <w:vAlign w:val="bottom"/>
          </w:tcPr>
          <w:p>
            <w:pPr>
              <w:spacing w:after="0"/>
              <w:rPr>
                <w:sz w:val="17"/>
                <w:szCs w:val="17"/>
                <w:color w:val="auto"/>
              </w:rPr>
            </w:pPr>
          </w:p>
        </w:tc>
        <w:tc>
          <w:tcPr>
            <w:tcW w:w="3020" w:type="dxa"/>
            <w:vAlign w:val="bottom"/>
          </w:tcPr>
          <w:p>
            <w:pPr>
              <w:ind w:left="80"/>
              <w:spacing w:after="0"/>
              <w:rPr>
                <w:sz w:val="20"/>
                <w:szCs w:val="20"/>
                <w:color w:val="auto"/>
              </w:rPr>
            </w:pPr>
            <w:r>
              <w:rPr>
                <w:rFonts w:ascii="Arial" w:cs="Arial" w:eastAsia="Arial" w:hAnsi="Arial"/>
                <w:sz w:val="14"/>
                <w:szCs w:val="14"/>
                <w:b w:val="1"/>
                <w:bCs w:val="1"/>
                <w:color w:val="auto"/>
              </w:rPr>
              <w:t>NEO</w:t>
            </w:r>
          </w:p>
        </w:tc>
        <w:tc>
          <w:tcPr>
            <w:tcW w:w="3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Granted</w:t>
            </w:r>
          </w:p>
        </w:tc>
        <w:tc>
          <w:tcPr>
            <w:tcW w:w="1940" w:type="dxa"/>
            <w:vAlign w:val="bottom"/>
            <w:gridSpan w:val="2"/>
          </w:tcPr>
          <w:p>
            <w:pPr>
              <w:ind w:left="240"/>
              <w:spacing w:after="0"/>
              <w:rPr>
                <w:sz w:val="20"/>
                <w:szCs w:val="20"/>
                <w:color w:val="auto"/>
              </w:rPr>
            </w:pPr>
            <w:r>
              <w:rPr>
                <w:rFonts w:ascii="Arial" w:cs="Arial" w:eastAsia="Arial" w:hAnsi="Arial"/>
                <w:sz w:val="14"/>
                <w:szCs w:val="14"/>
                <w:b w:val="1"/>
                <w:bCs w:val="1"/>
                <w:color w:val="auto"/>
              </w:rPr>
              <w:t>Earned</w:t>
            </w:r>
          </w:p>
        </w:tc>
      </w:tr>
      <w:tr>
        <w:trPr>
          <w:trHeight w:val="56"/>
        </w:trPr>
        <w:tc>
          <w:tcPr>
            <w:tcW w:w="920" w:type="dxa"/>
            <w:vAlign w:val="bottom"/>
          </w:tcPr>
          <w:p>
            <w:pPr>
              <w:spacing w:after="0"/>
              <w:rPr>
                <w:sz w:val="4"/>
                <w:szCs w:val="4"/>
                <w:color w:val="auto"/>
              </w:rPr>
            </w:pPr>
          </w:p>
        </w:tc>
        <w:tc>
          <w:tcPr>
            <w:tcW w:w="302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340" w:type="dxa"/>
            <w:vAlign w:val="bottom"/>
            <w:tcBorders>
              <w:bottom w:val="single" w:sz="8" w:color="B2B2B2"/>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20" w:type="dxa"/>
            <w:vAlign w:val="bottom"/>
            <w:tcBorders>
              <w:bottom w:val="single" w:sz="8" w:color="B2B2B2"/>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r>
      <w:tr>
        <w:trPr>
          <w:trHeight w:val="295"/>
        </w:trPr>
        <w:tc>
          <w:tcPr>
            <w:tcW w:w="920" w:type="dxa"/>
            <w:vAlign w:val="bottom"/>
          </w:tcPr>
          <w:p>
            <w:pPr>
              <w:spacing w:after="0"/>
              <w:rPr>
                <w:sz w:val="24"/>
                <w:szCs w:val="24"/>
                <w:color w:val="auto"/>
              </w:rPr>
            </w:pPr>
          </w:p>
        </w:tc>
        <w:tc>
          <w:tcPr>
            <w:tcW w:w="3020" w:type="dxa"/>
            <w:vAlign w:val="bottom"/>
            <w:tcBorders>
              <w:left w:val="single" w:sz="8" w:color="B2B2B2"/>
            </w:tcBorders>
            <w:shd w:val="clear" w:color="auto" w:fill="B2B2B2"/>
          </w:tcPr>
          <w:p>
            <w:pPr>
              <w:ind w:left="80"/>
              <w:spacing w:after="0"/>
              <w:rPr>
                <w:sz w:val="20"/>
                <w:szCs w:val="20"/>
                <w:color w:val="auto"/>
              </w:rPr>
            </w:pPr>
            <w:r>
              <w:rPr>
                <w:rFonts w:ascii="Arial" w:cs="Arial" w:eastAsia="Arial" w:hAnsi="Arial"/>
                <w:sz w:val="18"/>
                <w:szCs w:val="18"/>
                <w:color w:val="auto"/>
              </w:rPr>
              <w:t>Thomas L. Deitrich</w:t>
            </w:r>
          </w:p>
        </w:tc>
        <w:tc>
          <w:tcPr>
            <w:tcW w:w="4820" w:type="dxa"/>
            <w:vAlign w:val="bottom"/>
            <w:gridSpan w:val="3"/>
            <w:shd w:val="clear" w:color="auto" w:fill="B2B2B2"/>
          </w:tcPr>
          <w:p>
            <w:pPr>
              <w:jc w:val="right"/>
              <w:ind w:right="128"/>
              <w:spacing w:after="0"/>
              <w:rPr>
                <w:sz w:val="20"/>
                <w:szCs w:val="20"/>
                <w:color w:val="auto"/>
              </w:rPr>
            </w:pPr>
            <w:r>
              <w:rPr>
                <w:rFonts w:ascii="Arial" w:cs="Arial" w:eastAsia="Arial" w:hAnsi="Arial"/>
                <w:sz w:val="18"/>
                <w:szCs w:val="18"/>
                <w:color w:val="auto"/>
              </w:rPr>
              <w:t>17,188</w:t>
            </w:r>
          </w:p>
        </w:tc>
        <w:tc>
          <w:tcPr>
            <w:tcW w:w="320" w:type="dxa"/>
            <w:vAlign w:val="bottom"/>
            <w:shd w:val="clear" w:color="auto" w:fill="B2B2B2"/>
          </w:tcPr>
          <w:p>
            <w:pPr>
              <w:spacing w:after="0"/>
              <w:rPr>
                <w:sz w:val="24"/>
                <w:szCs w:val="24"/>
                <w:color w:val="auto"/>
              </w:rPr>
            </w:pPr>
          </w:p>
        </w:tc>
        <w:tc>
          <w:tcPr>
            <w:tcW w:w="1020" w:type="dxa"/>
            <w:vAlign w:val="bottom"/>
            <w:tcBorders>
              <w:right w:val="single" w:sz="8" w:color="B2B2B2"/>
            </w:tcBorders>
            <w:shd w:val="clear" w:color="auto" w:fill="B2B2B2"/>
          </w:tcPr>
          <w:p>
            <w:pPr>
              <w:jc w:val="right"/>
              <w:ind w:right="237"/>
              <w:spacing w:after="0"/>
              <w:rPr>
                <w:sz w:val="20"/>
                <w:szCs w:val="20"/>
                <w:color w:val="auto"/>
              </w:rPr>
            </w:pPr>
            <w:r>
              <w:rPr>
                <w:rFonts w:ascii="Arial" w:cs="Arial" w:eastAsia="Arial" w:hAnsi="Arial"/>
                <w:sz w:val="18"/>
                <w:szCs w:val="18"/>
                <w:color w:val="auto"/>
              </w:rPr>
              <w:t>4,342</w:t>
            </w:r>
          </w:p>
        </w:tc>
        <w:tc>
          <w:tcPr>
            <w:tcW w:w="920" w:type="dxa"/>
            <w:vAlign w:val="bottom"/>
          </w:tcPr>
          <w:p>
            <w:pPr>
              <w:spacing w:after="0"/>
              <w:rPr>
                <w:sz w:val="24"/>
                <w:szCs w:val="24"/>
                <w:color w:val="auto"/>
              </w:rPr>
            </w:pPr>
          </w:p>
        </w:tc>
      </w:tr>
      <w:tr>
        <w:trPr>
          <w:trHeight w:val="63"/>
        </w:trPr>
        <w:tc>
          <w:tcPr>
            <w:tcW w:w="920" w:type="dxa"/>
            <w:vAlign w:val="bottom"/>
          </w:tcPr>
          <w:p>
            <w:pPr>
              <w:spacing w:after="0"/>
              <w:rPr>
                <w:sz w:val="5"/>
                <w:szCs w:val="5"/>
                <w:color w:val="auto"/>
              </w:rPr>
            </w:pPr>
          </w:p>
        </w:tc>
        <w:tc>
          <w:tcPr>
            <w:tcW w:w="3020" w:type="dxa"/>
            <w:vAlign w:val="bottom"/>
            <w:tcBorders>
              <w:left w:val="single" w:sz="8" w:color="B2B2B2"/>
            </w:tcBorders>
            <w:shd w:val="clear" w:color="auto" w:fill="B2B2B2"/>
          </w:tcPr>
          <w:p>
            <w:pPr>
              <w:spacing w:after="0"/>
              <w:rPr>
                <w:sz w:val="5"/>
                <w:szCs w:val="5"/>
                <w:color w:val="auto"/>
              </w:rPr>
            </w:pPr>
          </w:p>
        </w:tc>
        <w:tc>
          <w:tcPr>
            <w:tcW w:w="3540" w:type="dxa"/>
            <w:vAlign w:val="bottom"/>
            <w:shd w:val="clear" w:color="auto" w:fill="B2B2B2"/>
          </w:tcPr>
          <w:p>
            <w:pPr>
              <w:spacing w:after="0"/>
              <w:rPr>
                <w:sz w:val="5"/>
                <w:szCs w:val="5"/>
                <w:color w:val="auto"/>
              </w:rPr>
            </w:pPr>
          </w:p>
        </w:tc>
        <w:tc>
          <w:tcPr>
            <w:tcW w:w="340" w:type="dxa"/>
            <w:vAlign w:val="bottom"/>
            <w:shd w:val="clear" w:color="auto" w:fill="B2B2B2"/>
          </w:tcPr>
          <w:p>
            <w:pPr>
              <w:spacing w:after="0"/>
              <w:rPr>
                <w:sz w:val="5"/>
                <w:szCs w:val="5"/>
                <w:color w:val="auto"/>
              </w:rPr>
            </w:pPr>
          </w:p>
        </w:tc>
        <w:tc>
          <w:tcPr>
            <w:tcW w:w="940" w:type="dxa"/>
            <w:vAlign w:val="bottom"/>
            <w:shd w:val="clear" w:color="auto" w:fill="B2B2B2"/>
          </w:tcPr>
          <w:p>
            <w:pPr>
              <w:spacing w:after="0"/>
              <w:rPr>
                <w:sz w:val="5"/>
                <w:szCs w:val="5"/>
                <w:color w:val="auto"/>
              </w:rPr>
            </w:pPr>
          </w:p>
        </w:tc>
        <w:tc>
          <w:tcPr>
            <w:tcW w:w="320" w:type="dxa"/>
            <w:vAlign w:val="bottom"/>
            <w:shd w:val="clear" w:color="auto" w:fill="B2B2B2"/>
          </w:tcPr>
          <w:p>
            <w:pPr>
              <w:spacing w:after="0"/>
              <w:rPr>
                <w:sz w:val="5"/>
                <w:szCs w:val="5"/>
                <w:color w:val="auto"/>
              </w:rPr>
            </w:pPr>
          </w:p>
        </w:tc>
        <w:tc>
          <w:tcPr>
            <w:tcW w:w="1020" w:type="dxa"/>
            <w:vAlign w:val="bottom"/>
            <w:tcBorders>
              <w:right w:val="single" w:sz="8" w:color="B2B2B2"/>
            </w:tcBorders>
            <w:shd w:val="clear" w:color="auto" w:fill="B2B2B2"/>
          </w:tcPr>
          <w:p>
            <w:pPr>
              <w:spacing w:after="0"/>
              <w:rPr>
                <w:sz w:val="5"/>
                <w:szCs w:val="5"/>
                <w:color w:val="auto"/>
              </w:rPr>
            </w:pPr>
          </w:p>
        </w:tc>
        <w:tc>
          <w:tcPr>
            <w:tcW w:w="920" w:type="dxa"/>
            <w:vAlign w:val="bottom"/>
          </w:tcPr>
          <w:p>
            <w:pPr>
              <w:spacing w:after="0"/>
              <w:rPr>
                <w:sz w:val="5"/>
                <w:szCs w:val="5"/>
                <w:color w:val="auto"/>
              </w:rPr>
            </w:pPr>
          </w:p>
        </w:tc>
      </w:tr>
      <w:tr>
        <w:trPr>
          <w:trHeight w:val="301"/>
        </w:trPr>
        <w:tc>
          <w:tcPr>
            <w:tcW w:w="9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18"/>
                <w:szCs w:val="18"/>
                <w:color w:val="auto"/>
              </w:rPr>
              <w:t>Joan S. Hooper</w:t>
            </w:r>
          </w:p>
        </w:tc>
        <w:tc>
          <w:tcPr>
            <w:tcW w:w="4820" w:type="dxa"/>
            <w:vAlign w:val="bottom"/>
            <w:gridSpan w:val="3"/>
          </w:tcPr>
          <w:p>
            <w:pPr>
              <w:jc w:val="right"/>
              <w:ind w:right="128"/>
              <w:spacing w:after="0"/>
              <w:rPr>
                <w:sz w:val="20"/>
                <w:szCs w:val="20"/>
                <w:color w:val="auto"/>
              </w:rPr>
            </w:pPr>
            <w:r>
              <w:rPr>
                <w:rFonts w:ascii="Arial" w:cs="Arial" w:eastAsia="Arial" w:hAnsi="Arial"/>
                <w:sz w:val="18"/>
                <w:szCs w:val="18"/>
                <w:color w:val="auto"/>
              </w:rPr>
              <w:t>7,161</w:t>
            </w:r>
          </w:p>
        </w:tc>
        <w:tc>
          <w:tcPr>
            <w:tcW w:w="320" w:type="dxa"/>
            <w:vAlign w:val="bottom"/>
          </w:tcPr>
          <w:p>
            <w:pPr>
              <w:spacing w:after="0"/>
              <w:rPr>
                <w:sz w:val="24"/>
                <w:szCs w:val="24"/>
                <w:color w:val="auto"/>
              </w:rPr>
            </w:pPr>
          </w:p>
        </w:tc>
        <w:tc>
          <w:tcPr>
            <w:tcW w:w="1020" w:type="dxa"/>
            <w:vAlign w:val="bottom"/>
          </w:tcPr>
          <w:p>
            <w:pPr>
              <w:jc w:val="right"/>
              <w:ind w:right="237"/>
              <w:spacing w:after="0"/>
              <w:rPr>
                <w:sz w:val="20"/>
                <w:szCs w:val="20"/>
                <w:color w:val="auto"/>
              </w:rPr>
            </w:pPr>
            <w:r>
              <w:rPr>
                <w:rFonts w:ascii="Arial" w:cs="Arial" w:eastAsia="Arial" w:hAnsi="Arial"/>
                <w:sz w:val="18"/>
                <w:szCs w:val="18"/>
                <w:color w:val="auto"/>
              </w:rPr>
              <w:t>1,809</w:t>
            </w:r>
          </w:p>
        </w:tc>
        <w:tc>
          <w:tcPr>
            <w:tcW w:w="920" w:type="dxa"/>
            <w:vAlign w:val="bottom"/>
          </w:tcPr>
          <w:p>
            <w:pPr>
              <w:spacing w:after="0"/>
              <w:rPr>
                <w:sz w:val="24"/>
                <w:szCs w:val="24"/>
                <w:color w:val="auto"/>
              </w:rPr>
            </w:pPr>
          </w:p>
        </w:tc>
      </w:tr>
      <w:tr>
        <w:trPr>
          <w:trHeight w:val="64"/>
        </w:trPr>
        <w:tc>
          <w:tcPr>
            <w:tcW w:w="9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301"/>
        </w:trPr>
        <w:tc>
          <w:tcPr>
            <w:tcW w:w="920" w:type="dxa"/>
            <w:vAlign w:val="bottom"/>
          </w:tcPr>
          <w:p>
            <w:pPr>
              <w:spacing w:after="0"/>
              <w:rPr>
                <w:sz w:val="24"/>
                <w:szCs w:val="24"/>
                <w:color w:val="auto"/>
              </w:rPr>
            </w:pPr>
          </w:p>
        </w:tc>
        <w:tc>
          <w:tcPr>
            <w:tcW w:w="3020" w:type="dxa"/>
            <w:vAlign w:val="bottom"/>
            <w:tcBorders>
              <w:left w:val="single" w:sz="8" w:color="B2B2B2"/>
            </w:tcBorders>
            <w:shd w:val="clear" w:color="auto" w:fill="B2B2B2"/>
          </w:tcPr>
          <w:p>
            <w:pPr>
              <w:ind w:left="80"/>
              <w:spacing w:after="0"/>
              <w:rPr>
                <w:sz w:val="20"/>
                <w:szCs w:val="20"/>
                <w:color w:val="auto"/>
              </w:rPr>
            </w:pPr>
            <w:r>
              <w:rPr>
                <w:rFonts w:ascii="Arial" w:cs="Arial" w:eastAsia="Arial" w:hAnsi="Arial"/>
                <w:sz w:val="18"/>
                <w:szCs w:val="18"/>
                <w:color w:val="auto"/>
              </w:rPr>
              <w:t>Michel C. Cadieux</w:t>
            </w:r>
          </w:p>
        </w:tc>
        <w:tc>
          <w:tcPr>
            <w:tcW w:w="4820" w:type="dxa"/>
            <w:vAlign w:val="bottom"/>
            <w:gridSpan w:val="3"/>
            <w:shd w:val="clear" w:color="auto" w:fill="B2B2B2"/>
          </w:tcPr>
          <w:p>
            <w:pPr>
              <w:jc w:val="right"/>
              <w:ind w:right="128"/>
              <w:spacing w:after="0"/>
              <w:rPr>
                <w:sz w:val="20"/>
                <w:szCs w:val="20"/>
                <w:color w:val="auto"/>
              </w:rPr>
            </w:pPr>
            <w:r>
              <w:rPr>
                <w:rFonts w:ascii="Arial" w:cs="Arial" w:eastAsia="Arial" w:hAnsi="Arial"/>
                <w:sz w:val="18"/>
                <w:szCs w:val="18"/>
                <w:color w:val="auto"/>
              </w:rPr>
              <w:t>4,583</w:t>
            </w:r>
          </w:p>
        </w:tc>
        <w:tc>
          <w:tcPr>
            <w:tcW w:w="320" w:type="dxa"/>
            <w:vAlign w:val="bottom"/>
            <w:shd w:val="clear" w:color="auto" w:fill="B2B2B2"/>
          </w:tcPr>
          <w:p>
            <w:pPr>
              <w:spacing w:after="0"/>
              <w:rPr>
                <w:sz w:val="24"/>
                <w:szCs w:val="24"/>
                <w:color w:val="auto"/>
              </w:rPr>
            </w:pPr>
          </w:p>
        </w:tc>
        <w:tc>
          <w:tcPr>
            <w:tcW w:w="1020" w:type="dxa"/>
            <w:vAlign w:val="bottom"/>
            <w:tcBorders>
              <w:right w:val="single" w:sz="8" w:color="B2B2B2"/>
            </w:tcBorders>
            <w:shd w:val="clear" w:color="auto" w:fill="B2B2B2"/>
          </w:tcPr>
          <w:p>
            <w:pPr>
              <w:jc w:val="right"/>
              <w:ind w:right="237"/>
              <w:spacing w:after="0"/>
              <w:rPr>
                <w:sz w:val="20"/>
                <w:szCs w:val="20"/>
                <w:color w:val="auto"/>
              </w:rPr>
            </w:pPr>
            <w:r>
              <w:rPr>
                <w:rFonts w:ascii="Arial" w:cs="Arial" w:eastAsia="Arial" w:hAnsi="Arial"/>
                <w:sz w:val="18"/>
                <w:szCs w:val="18"/>
                <w:color w:val="auto"/>
              </w:rPr>
              <w:t>1,158</w:t>
            </w:r>
          </w:p>
        </w:tc>
        <w:tc>
          <w:tcPr>
            <w:tcW w:w="920" w:type="dxa"/>
            <w:vAlign w:val="bottom"/>
          </w:tcPr>
          <w:p>
            <w:pPr>
              <w:spacing w:after="0"/>
              <w:rPr>
                <w:sz w:val="24"/>
                <w:szCs w:val="24"/>
                <w:color w:val="auto"/>
              </w:rPr>
            </w:pPr>
          </w:p>
        </w:tc>
      </w:tr>
      <w:tr>
        <w:trPr>
          <w:trHeight w:val="64"/>
        </w:trPr>
        <w:tc>
          <w:tcPr>
            <w:tcW w:w="920" w:type="dxa"/>
            <w:vAlign w:val="bottom"/>
          </w:tcPr>
          <w:p>
            <w:pPr>
              <w:spacing w:after="0"/>
              <w:rPr>
                <w:sz w:val="5"/>
                <w:szCs w:val="5"/>
                <w:color w:val="auto"/>
              </w:rPr>
            </w:pPr>
          </w:p>
        </w:tc>
        <w:tc>
          <w:tcPr>
            <w:tcW w:w="3020" w:type="dxa"/>
            <w:vAlign w:val="bottom"/>
            <w:tcBorders>
              <w:left w:val="single" w:sz="8" w:color="B2B2B2"/>
            </w:tcBorders>
            <w:shd w:val="clear" w:color="auto" w:fill="B2B2B2"/>
          </w:tcPr>
          <w:p>
            <w:pPr>
              <w:spacing w:after="0"/>
              <w:rPr>
                <w:sz w:val="5"/>
                <w:szCs w:val="5"/>
                <w:color w:val="auto"/>
              </w:rPr>
            </w:pPr>
          </w:p>
        </w:tc>
        <w:tc>
          <w:tcPr>
            <w:tcW w:w="3540" w:type="dxa"/>
            <w:vAlign w:val="bottom"/>
            <w:shd w:val="clear" w:color="auto" w:fill="B2B2B2"/>
          </w:tcPr>
          <w:p>
            <w:pPr>
              <w:spacing w:after="0"/>
              <w:rPr>
                <w:sz w:val="5"/>
                <w:szCs w:val="5"/>
                <w:color w:val="auto"/>
              </w:rPr>
            </w:pPr>
          </w:p>
        </w:tc>
        <w:tc>
          <w:tcPr>
            <w:tcW w:w="340" w:type="dxa"/>
            <w:vAlign w:val="bottom"/>
            <w:shd w:val="clear" w:color="auto" w:fill="B2B2B2"/>
          </w:tcPr>
          <w:p>
            <w:pPr>
              <w:spacing w:after="0"/>
              <w:rPr>
                <w:sz w:val="5"/>
                <w:szCs w:val="5"/>
                <w:color w:val="auto"/>
              </w:rPr>
            </w:pPr>
          </w:p>
        </w:tc>
        <w:tc>
          <w:tcPr>
            <w:tcW w:w="940" w:type="dxa"/>
            <w:vAlign w:val="bottom"/>
            <w:shd w:val="clear" w:color="auto" w:fill="B2B2B2"/>
          </w:tcPr>
          <w:p>
            <w:pPr>
              <w:spacing w:after="0"/>
              <w:rPr>
                <w:sz w:val="5"/>
                <w:szCs w:val="5"/>
                <w:color w:val="auto"/>
              </w:rPr>
            </w:pPr>
          </w:p>
        </w:tc>
        <w:tc>
          <w:tcPr>
            <w:tcW w:w="320" w:type="dxa"/>
            <w:vAlign w:val="bottom"/>
            <w:shd w:val="clear" w:color="auto" w:fill="B2B2B2"/>
          </w:tcPr>
          <w:p>
            <w:pPr>
              <w:spacing w:after="0"/>
              <w:rPr>
                <w:sz w:val="5"/>
                <w:szCs w:val="5"/>
                <w:color w:val="auto"/>
              </w:rPr>
            </w:pPr>
          </w:p>
        </w:tc>
        <w:tc>
          <w:tcPr>
            <w:tcW w:w="1020" w:type="dxa"/>
            <w:vAlign w:val="bottom"/>
            <w:tcBorders>
              <w:right w:val="single" w:sz="8" w:color="B2B2B2"/>
            </w:tcBorders>
            <w:shd w:val="clear" w:color="auto" w:fill="B2B2B2"/>
          </w:tcPr>
          <w:p>
            <w:pPr>
              <w:spacing w:after="0"/>
              <w:rPr>
                <w:sz w:val="5"/>
                <w:szCs w:val="5"/>
                <w:color w:val="auto"/>
              </w:rPr>
            </w:pPr>
          </w:p>
        </w:tc>
        <w:tc>
          <w:tcPr>
            <w:tcW w:w="920" w:type="dxa"/>
            <w:vAlign w:val="bottom"/>
          </w:tcPr>
          <w:p>
            <w:pPr>
              <w:spacing w:after="0"/>
              <w:rPr>
                <w:sz w:val="5"/>
                <w:szCs w:val="5"/>
                <w:color w:val="auto"/>
              </w:rPr>
            </w:pPr>
          </w:p>
        </w:tc>
      </w:tr>
      <w:tr>
        <w:trPr>
          <w:trHeight w:val="301"/>
        </w:trPr>
        <w:tc>
          <w:tcPr>
            <w:tcW w:w="9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18"/>
                <w:szCs w:val="18"/>
                <w:color w:val="auto"/>
              </w:rPr>
              <w:t>Donald L. Reeves</w:t>
            </w:r>
          </w:p>
        </w:tc>
        <w:tc>
          <w:tcPr>
            <w:tcW w:w="4820" w:type="dxa"/>
            <w:vAlign w:val="bottom"/>
            <w:gridSpan w:val="3"/>
          </w:tcPr>
          <w:p>
            <w:pPr>
              <w:jc w:val="right"/>
              <w:ind w:right="128"/>
              <w:spacing w:after="0"/>
              <w:rPr>
                <w:sz w:val="20"/>
                <w:szCs w:val="20"/>
                <w:color w:val="auto"/>
              </w:rPr>
            </w:pPr>
            <w:r>
              <w:rPr>
                <w:rFonts w:ascii="Arial" w:cs="Arial" w:eastAsia="Arial" w:hAnsi="Arial"/>
                <w:sz w:val="18"/>
                <w:szCs w:val="18"/>
                <w:color w:val="auto"/>
              </w:rPr>
              <w:t>2,578</w:t>
            </w:r>
          </w:p>
        </w:tc>
        <w:tc>
          <w:tcPr>
            <w:tcW w:w="320" w:type="dxa"/>
            <w:vAlign w:val="bottom"/>
          </w:tcPr>
          <w:p>
            <w:pPr>
              <w:spacing w:after="0"/>
              <w:rPr>
                <w:sz w:val="24"/>
                <w:szCs w:val="24"/>
                <w:color w:val="auto"/>
              </w:rPr>
            </w:pPr>
          </w:p>
        </w:tc>
        <w:tc>
          <w:tcPr>
            <w:tcW w:w="1020" w:type="dxa"/>
            <w:vAlign w:val="bottom"/>
          </w:tcPr>
          <w:p>
            <w:pPr>
              <w:jc w:val="right"/>
              <w:ind w:right="237"/>
              <w:spacing w:after="0"/>
              <w:rPr>
                <w:sz w:val="20"/>
                <w:szCs w:val="20"/>
                <w:color w:val="auto"/>
              </w:rPr>
            </w:pPr>
            <w:r>
              <w:rPr>
                <w:rFonts w:ascii="Arial" w:cs="Arial" w:eastAsia="Arial" w:hAnsi="Arial"/>
                <w:sz w:val="18"/>
                <w:szCs w:val="18"/>
                <w:color w:val="auto"/>
              </w:rPr>
              <w:t>651</w:t>
            </w:r>
          </w:p>
        </w:tc>
        <w:tc>
          <w:tcPr>
            <w:tcW w:w="920" w:type="dxa"/>
            <w:vAlign w:val="bottom"/>
          </w:tcPr>
          <w:p>
            <w:pPr>
              <w:spacing w:after="0"/>
              <w:rPr>
                <w:sz w:val="24"/>
                <w:szCs w:val="24"/>
                <w:color w:val="auto"/>
              </w:rPr>
            </w:pPr>
          </w:p>
        </w:tc>
      </w:tr>
      <w:tr>
        <w:trPr>
          <w:trHeight w:val="63"/>
        </w:trPr>
        <w:tc>
          <w:tcPr>
            <w:tcW w:w="9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311"/>
        </w:trPr>
        <w:tc>
          <w:tcPr>
            <w:tcW w:w="920" w:type="dxa"/>
            <w:vAlign w:val="bottom"/>
          </w:tcPr>
          <w:p>
            <w:pPr>
              <w:spacing w:after="0"/>
              <w:rPr>
                <w:sz w:val="24"/>
                <w:szCs w:val="24"/>
                <w:color w:val="auto"/>
              </w:rPr>
            </w:pPr>
          </w:p>
        </w:tc>
        <w:tc>
          <w:tcPr>
            <w:tcW w:w="3020" w:type="dxa"/>
            <w:vAlign w:val="bottom"/>
            <w:tcBorders>
              <w:left w:val="single" w:sz="8" w:color="B2B2B2"/>
            </w:tcBorders>
            <w:shd w:val="clear" w:color="auto" w:fill="B2B2B2"/>
          </w:tcPr>
          <w:p>
            <w:pPr>
              <w:ind w:left="80"/>
              <w:spacing w:after="0"/>
              <w:rPr>
                <w:sz w:val="20"/>
                <w:szCs w:val="20"/>
                <w:color w:val="auto"/>
              </w:rPr>
            </w:pPr>
            <w:r>
              <w:rPr>
                <w:rFonts w:ascii="Arial" w:cs="Arial" w:eastAsia="Arial" w:hAnsi="Arial"/>
                <w:sz w:val="18"/>
                <w:szCs w:val="18"/>
                <w:color w:val="auto"/>
              </w:rPr>
              <w:t>John F. Marcolini</w:t>
            </w:r>
          </w:p>
        </w:tc>
        <w:tc>
          <w:tcPr>
            <w:tcW w:w="4820" w:type="dxa"/>
            <w:vAlign w:val="bottom"/>
            <w:gridSpan w:val="3"/>
            <w:shd w:val="clear" w:color="auto" w:fill="B2B2B2"/>
          </w:tcPr>
          <w:p>
            <w:pPr>
              <w:jc w:val="right"/>
              <w:ind w:right="128"/>
              <w:spacing w:after="0"/>
              <w:rPr>
                <w:sz w:val="20"/>
                <w:szCs w:val="20"/>
                <w:color w:val="auto"/>
              </w:rPr>
            </w:pPr>
            <w:r>
              <w:rPr>
                <w:rFonts w:ascii="Arial" w:cs="Arial" w:eastAsia="Arial" w:hAnsi="Arial"/>
                <w:sz w:val="18"/>
                <w:szCs w:val="18"/>
                <w:color w:val="auto"/>
              </w:rPr>
              <w:t>2,817</w:t>
            </w:r>
          </w:p>
        </w:tc>
        <w:tc>
          <w:tcPr>
            <w:tcW w:w="320" w:type="dxa"/>
            <w:vAlign w:val="bottom"/>
            <w:shd w:val="clear" w:color="auto" w:fill="B2B2B2"/>
          </w:tcPr>
          <w:p>
            <w:pPr>
              <w:spacing w:after="0"/>
              <w:rPr>
                <w:sz w:val="24"/>
                <w:szCs w:val="24"/>
                <w:color w:val="auto"/>
              </w:rPr>
            </w:pPr>
          </w:p>
        </w:tc>
        <w:tc>
          <w:tcPr>
            <w:tcW w:w="1020" w:type="dxa"/>
            <w:vAlign w:val="bottom"/>
            <w:tcBorders>
              <w:right w:val="single" w:sz="8" w:color="B2B2B2"/>
            </w:tcBorders>
            <w:shd w:val="clear" w:color="auto" w:fill="B2B2B2"/>
          </w:tcPr>
          <w:p>
            <w:pPr>
              <w:jc w:val="right"/>
              <w:ind w:right="237"/>
              <w:spacing w:after="0"/>
              <w:rPr>
                <w:sz w:val="20"/>
                <w:szCs w:val="20"/>
                <w:color w:val="auto"/>
              </w:rPr>
            </w:pPr>
            <w:r>
              <w:rPr>
                <w:rFonts w:ascii="Arial" w:cs="Arial" w:eastAsia="Arial" w:hAnsi="Arial"/>
                <w:sz w:val="18"/>
                <w:szCs w:val="18"/>
                <w:color w:val="auto"/>
              </w:rPr>
              <w:t>711</w:t>
            </w:r>
          </w:p>
        </w:tc>
        <w:tc>
          <w:tcPr>
            <w:tcW w:w="920" w:type="dxa"/>
            <w:vAlign w:val="bottom"/>
          </w:tcPr>
          <w:p>
            <w:pPr>
              <w:spacing w:after="0"/>
              <w:rPr>
                <w:sz w:val="24"/>
                <w:szCs w:val="24"/>
                <w:color w:val="auto"/>
              </w:rPr>
            </w:pPr>
          </w:p>
        </w:tc>
      </w:tr>
      <w:tr>
        <w:trPr>
          <w:trHeight w:val="544"/>
        </w:trPr>
        <w:tc>
          <w:tcPr>
            <w:tcW w:w="920" w:type="dxa"/>
            <w:vAlign w:val="bottom"/>
          </w:tcPr>
          <w:p>
            <w:pPr>
              <w:spacing w:after="0"/>
              <w:rPr>
                <w:sz w:val="24"/>
                <w:szCs w:val="24"/>
                <w:color w:val="auto"/>
              </w:rPr>
            </w:pPr>
          </w:p>
        </w:tc>
        <w:tc>
          <w:tcPr>
            <w:tcW w:w="3020" w:type="dxa"/>
            <w:vAlign w:val="bottom"/>
          </w:tcPr>
          <w:p>
            <w:pPr>
              <w:spacing w:after="0"/>
              <w:rPr>
                <w:sz w:val="20"/>
                <w:szCs w:val="20"/>
                <w:color w:val="auto"/>
              </w:rPr>
            </w:pPr>
            <w:r>
              <w:rPr>
                <w:rFonts w:ascii="Arial" w:cs="Arial" w:eastAsia="Arial" w:hAnsi="Arial"/>
                <w:sz w:val="13"/>
                <w:szCs w:val="13"/>
                <w:color w:val="auto"/>
              </w:rPr>
              <w:t> </w:t>
            </w:r>
          </w:p>
        </w:tc>
        <w:tc>
          <w:tcPr>
            <w:tcW w:w="3540" w:type="dxa"/>
            <w:vAlign w:val="bottom"/>
          </w:tcPr>
          <w:p>
            <w:pPr>
              <w:jc w:val="right"/>
              <w:ind w:right="1710"/>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3"/>
        </w:trPr>
        <w:tc>
          <w:tcPr>
            <w:tcW w:w="9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6375400</wp:posOffset>
            </wp:positionH>
            <wp:positionV relativeFrom="paragraph">
              <wp:posOffset>-1636395</wp:posOffset>
            </wp:positionV>
            <wp:extent cx="342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5560695</wp:posOffset>
            </wp:positionH>
            <wp:positionV relativeFrom="paragraph">
              <wp:posOffset>-1636395</wp:posOffset>
            </wp:positionV>
            <wp:extent cx="2057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-1636395</wp:posOffset>
            </wp:positionV>
            <wp:extent cx="2139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3995" cy="8890"/>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-1636395</wp:posOffset>
            </wp:positionV>
            <wp:extent cx="431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39" w:name="page40"/>
    <w:bookmarkEnd w:id="39"/>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Other Practices, Policies and Guidelines</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Stock Ownership Guidelines</w:t>
      </w:r>
    </w:p>
    <w:p>
      <w:pPr>
        <w:spacing w:after="0" w:line="185" w:lineRule="exact"/>
        <w:rPr>
          <w:sz w:val="20"/>
          <w:szCs w:val="20"/>
          <w:color w:val="auto"/>
        </w:rPr>
      </w:pPr>
    </w:p>
    <w:p>
      <w:pPr>
        <w:jc w:val="both"/>
        <w:ind w:left="920" w:right="1100"/>
        <w:spacing w:after="0" w:line="253" w:lineRule="auto"/>
        <w:rPr>
          <w:sz w:val="20"/>
          <w:szCs w:val="20"/>
          <w:color w:val="auto"/>
        </w:rPr>
      </w:pPr>
      <w:r>
        <w:rPr>
          <w:rFonts w:ascii="Arial" w:cs="Arial" w:eastAsia="Arial" w:hAnsi="Arial"/>
          <w:sz w:val="18"/>
          <w:szCs w:val="18"/>
          <w:color w:val="auto"/>
        </w:rPr>
        <w:t>We believe that holding an equity interest in the Company creates an incentive to avoid excessive business risks. We maintain stock ownership guidelines to encourage certain of our executive officers to own stock at least equal in value to:</w:t>
      </w:r>
    </w:p>
    <w:p>
      <w:pPr>
        <w:spacing w:after="0" w:line="84"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Multiple</w:t>
            </w:r>
          </w:p>
        </w:tc>
      </w:tr>
      <w:tr>
        <w:trPr>
          <w:trHeight w:val="162"/>
        </w:trPr>
        <w:tc>
          <w:tcPr>
            <w:tcW w:w="4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of Base</w:t>
            </w:r>
          </w:p>
        </w:tc>
      </w:tr>
      <w:tr>
        <w:trPr>
          <w:trHeight w:val="196"/>
        </w:trPr>
        <w:tc>
          <w:tcPr>
            <w:tcW w:w="40" w:type="dxa"/>
            <w:vAlign w:val="bottom"/>
          </w:tcPr>
          <w:p>
            <w:pPr>
              <w:spacing w:after="0"/>
              <w:rPr>
                <w:sz w:val="17"/>
                <w:szCs w:val="17"/>
                <w:color w:val="auto"/>
              </w:rPr>
            </w:pPr>
          </w:p>
        </w:tc>
        <w:tc>
          <w:tcPr>
            <w:tcW w:w="852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w:t>
            </w: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Salary</w:t>
            </w:r>
          </w:p>
        </w:tc>
      </w:tr>
      <w:tr>
        <w:trPr>
          <w:trHeight w:val="56"/>
        </w:trPr>
        <w:tc>
          <w:tcPr>
            <w:tcW w:w="40" w:type="dxa"/>
            <w:vAlign w:val="bottom"/>
            <w:tcBorders>
              <w:bottom w:val="single" w:sz="8" w:color="B2B2B2"/>
            </w:tcBorders>
          </w:tcPr>
          <w:p>
            <w:pPr>
              <w:spacing w:after="0"/>
              <w:rPr>
                <w:sz w:val="4"/>
                <w:szCs w:val="4"/>
                <w:color w:val="auto"/>
              </w:rPr>
            </w:pPr>
          </w:p>
        </w:tc>
        <w:tc>
          <w:tcPr>
            <w:tcW w:w="8220" w:type="dxa"/>
            <w:vAlign w:val="bottom"/>
            <w:tcBorders>
              <w:bottom w:val="single" w:sz="8" w:color="auto"/>
            </w:tcBorders>
          </w:tcPr>
          <w:p>
            <w:pPr>
              <w:spacing w:after="0"/>
              <w:rPr>
                <w:sz w:val="4"/>
                <w:szCs w:val="4"/>
                <w:color w:val="auto"/>
              </w:rPr>
            </w:pPr>
          </w:p>
        </w:tc>
        <w:tc>
          <w:tcPr>
            <w:tcW w:w="300" w:type="dxa"/>
            <w:vAlign w:val="bottom"/>
            <w:tcBorders>
              <w:bottom w:val="single" w:sz="8" w:color="B2B2B2"/>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B2B2B2"/>
            </w:tcBorders>
          </w:tcPr>
          <w:p>
            <w:pPr>
              <w:spacing w:after="0"/>
              <w:rPr>
                <w:sz w:val="4"/>
                <w:szCs w:val="4"/>
                <w:color w:val="auto"/>
              </w:rPr>
            </w:pPr>
          </w:p>
        </w:tc>
      </w:tr>
      <w:tr>
        <w:trPr>
          <w:trHeight w:val="294"/>
        </w:trPr>
        <w:tc>
          <w:tcPr>
            <w:tcW w:w="40" w:type="dxa"/>
            <w:vAlign w:val="bottom"/>
            <w:shd w:val="clear" w:color="auto" w:fill="B2B2B2"/>
          </w:tcPr>
          <w:p>
            <w:pPr>
              <w:spacing w:after="0"/>
              <w:rPr>
                <w:sz w:val="24"/>
                <w:szCs w:val="24"/>
                <w:color w:val="auto"/>
              </w:rPr>
            </w:pPr>
          </w:p>
        </w:tc>
        <w:tc>
          <w:tcPr>
            <w:tcW w:w="8520" w:type="dxa"/>
            <w:vAlign w:val="bottom"/>
            <w:gridSpan w:val="2"/>
            <w:shd w:val="clear" w:color="auto" w:fill="B2B2B2"/>
          </w:tcPr>
          <w:p>
            <w:pPr>
              <w:ind w:left="40"/>
              <w:spacing w:after="0"/>
              <w:rPr>
                <w:sz w:val="20"/>
                <w:szCs w:val="20"/>
                <w:color w:val="auto"/>
              </w:rPr>
            </w:pPr>
            <w:r>
              <w:rPr>
                <w:rFonts w:ascii="Arial" w:cs="Arial" w:eastAsia="Arial" w:hAnsi="Arial"/>
                <w:sz w:val="18"/>
                <w:szCs w:val="18"/>
                <w:color w:val="auto"/>
              </w:rPr>
              <w:t>President and CEO</w:t>
            </w:r>
          </w:p>
        </w:tc>
        <w:tc>
          <w:tcPr>
            <w:tcW w:w="620" w:type="dxa"/>
            <w:vAlign w:val="bottom"/>
            <w:gridSpan w:val="2"/>
            <w:shd w:val="clear" w:color="auto" w:fill="B2B2B2"/>
          </w:tcPr>
          <w:p>
            <w:pPr>
              <w:jc w:val="center"/>
              <w:ind w:right="80"/>
              <w:spacing w:after="0"/>
              <w:rPr>
                <w:sz w:val="20"/>
                <w:szCs w:val="20"/>
                <w:color w:val="auto"/>
              </w:rPr>
            </w:pPr>
            <w:r>
              <w:rPr>
                <w:rFonts w:ascii="Arial" w:cs="Arial" w:eastAsia="Arial" w:hAnsi="Arial"/>
                <w:sz w:val="18"/>
                <w:szCs w:val="18"/>
                <w:color w:val="auto"/>
                <w:w w:val="99"/>
              </w:rPr>
              <w:t>6.0x</w:t>
            </w:r>
          </w:p>
        </w:tc>
      </w:tr>
      <w:tr>
        <w:trPr>
          <w:trHeight w:val="63"/>
        </w:trPr>
        <w:tc>
          <w:tcPr>
            <w:tcW w:w="40" w:type="dxa"/>
            <w:vAlign w:val="bottom"/>
            <w:shd w:val="clear" w:color="auto" w:fill="B2B2B2"/>
          </w:tcPr>
          <w:p>
            <w:pPr>
              <w:spacing w:after="0"/>
              <w:rPr>
                <w:sz w:val="5"/>
                <w:szCs w:val="5"/>
                <w:color w:val="auto"/>
              </w:rPr>
            </w:pPr>
          </w:p>
        </w:tc>
        <w:tc>
          <w:tcPr>
            <w:tcW w:w="8220" w:type="dxa"/>
            <w:vAlign w:val="bottom"/>
            <w:shd w:val="clear" w:color="auto" w:fill="B2B2B2"/>
          </w:tcPr>
          <w:p>
            <w:pPr>
              <w:spacing w:after="0"/>
              <w:rPr>
                <w:sz w:val="5"/>
                <w:szCs w:val="5"/>
                <w:color w:val="auto"/>
              </w:rPr>
            </w:pPr>
          </w:p>
        </w:tc>
        <w:tc>
          <w:tcPr>
            <w:tcW w:w="300" w:type="dxa"/>
            <w:vAlign w:val="bottom"/>
            <w:shd w:val="clear" w:color="auto" w:fill="B2B2B2"/>
          </w:tcPr>
          <w:p>
            <w:pPr>
              <w:spacing w:after="0"/>
              <w:rPr>
                <w:sz w:val="5"/>
                <w:szCs w:val="5"/>
                <w:color w:val="auto"/>
              </w:rPr>
            </w:pPr>
          </w:p>
        </w:tc>
        <w:tc>
          <w:tcPr>
            <w:tcW w:w="540" w:type="dxa"/>
            <w:vAlign w:val="bottom"/>
            <w:shd w:val="clear" w:color="auto" w:fill="B2B2B2"/>
          </w:tcPr>
          <w:p>
            <w:pPr>
              <w:spacing w:after="0"/>
              <w:rPr>
                <w:sz w:val="5"/>
                <w:szCs w:val="5"/>
                <w:color w:val="auto"/>
              </w:rPr>
            </w:pPr>
          </w:p>
        </w:tc>
        <w:tc>
          <w:tcPr>
            <w:tcW w:w="80" w:type="dxa"/>
            <w:vAlign w:val="bottom"/>
            <w:shd w:val="clear" w:color="auto" w:fill="B2B2B2"/>
          </w:tcPr>
          <w:p>
            <w:pPr>
              <w:spacing w:after="0"/>
              <w:rPr>
                <w:sz w:val="5"/>
                <w:szCs w:val="5"/>
                <w:color w:val="auto"/>
              </w:rPr>
            </w:pPr>
          </w:p>
        </w:tc>
      </w:tr>
      <w:tr>
        <w:trPr>
          <w:trHeight w:val="301"/>
        </w:trPr>
        <w:tc>
          <w:tcPr>
            <w:tcW w:w="40" w:type="dxa"/>
            <w:vAlign w:val="bottom"/>
          </w:tcPr>
          <w:p>
            <w:pPr>
              <w:spacing w:after="0"/>
              <w:rPr>
                <w:sz w:val="24"/>
                <w:szCs w:val="24"/>
                <w:color w:val="auto"/>
              </w:rPr>
            </w:pPr>
          </w:p>
        </w:tc>
        <w:tc>
          <w:tcPr>
            <w:tcW w:w="8520" w:type="dxa"/>
            <w:vAlign w:val="bottom"/>
            <w:gridSpan w:val="2"/>
          </w:tcPr>
          <w:p>
            <w:pPr>
              <w:ind w:left="40"/>
              <w:spacing w:after="0"/>
              <w:rPr>
                <w:sz w:val="20"/>
                <w:szCs w:val="20"/>
                <w:color w:val="auto"/>
              </w:rPr>
            </w:pPr>
            <w:r>
              <w:rPr>
                <w:rFonts w:ascii="Arial" w:cs="Arial" w:eastAsia="Arial" w:hAnsi="Arial"/>
                <w:sz w:val="18"/>
                <w:szCs w:val="18"/>
                <w:color w:val="auto"/>
              </w:rPr>
              <w:t>Senior Vice President and CFO</w:t>
            </w:r>
          </w:p>
        </w:tc>
        <w:tc>
          <w:tcPr>
            <w:tcW w:w="6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3.0x</w:t>
            </w:r>
          </w:p>
        </w:tc>
      </w:tr>
      <w:tr>
        <w:trPr>
          <w:trHeight w:val="63"/>
        </w:trPr>
        <w:tc>
          <w:tcPr>
            <w:tcW w:w="40" w:type="dxa"/>
            <w:vAlign w:val="bottom"/>
          </w:tcPr>
          <w:p>
            <w:pPr>
              <w:spacing w:after="0"/>
              <w:rPr>
                <w:sz w:val="5"/>
                <w:szCs w:val="5"/>
                <w:color w:val="auto"/>
              </w:rPr>
            </w:pPr>
          </w:p>
        </w:tc>
        <w:tc>
          <w:tcPr>
            <w:tcW w:w="8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301"/>
        </w:trPr>
        <w:tc>
          <w:tcPr>
            <w:tcW w:w="40" w:type="dxa"/>
            <w:vAlign w:val="bottom"/>
            <w:shd w:val="clear" w:color="auto" w:fill="B2B2B2"/>
          </w:tcPr>
          <w:p>
            <w:pPr>
              <w:spacing w:after="0"/>
              <w:rPr>
                <w:sz w:val="24"/>
                <w:szCs w:val="24"/>
                <w:color w:val="auto"/>
              </w:rPr>
            </w:pPr>
          </w:p>
        </w:tc>
        <w:tc>
          <w:tcPr>
            <w:tcW w:w="8520" w:type="dxa"/>
            <w:vAlign w:val="bottom"/>
            <w:gridSpan w:val="2"/>
            <w:shd w:val="clear" w:color="auto" w:fill="B2B2B2"/>
          </w:tcPr>
          <w:p>
            <w:pPr>
              <w:ind w:left="40"/>
              <w:spacing w:after="0"/>
              <w:rPr>
                <w:sz w:val="20"/>
                <w:szCs w:val="20"/>
                <w:color w:val="auto"/>
              </w:rPr>
            </w:pPr>
            <w:r>
              <w:rPr>
                <w:rFonts w:ascii="Arial" w:cs="Arial" w:eastAsia="Arial" w:hAnsi="Arial"/>
                <w:sz w:val="18"/>
                <w:szCs w:val="18"/>
                <w:color w:val="auto"/>
              </w:rPr>
              <w:t>Senior Vice President, Human Resources</w:t>
            </w:r>
          </w:p>
        </w:tc>
        <w:tc>
          <w:tcPr>
            <w:tcW w:w="620" w:type="dxa"/>
            <w:vAlign w:val="bottom"/>
            <w:gridSpan w:val="2"/>
            <w:shd w:val="clear" w:color="auto" w:fill="B2B2B2"/>
          </w:tcPr>
          <w:p>
            <w:pPr>
              <w:jc w:val="center"/>
              <w:ind w:right="80"/>
              <w:spacing w:after="0"/>
              <w:rPr>
                <w:sz w:val="20"/>
                <w:szCs w:val="20"/>
                <w:color w:val="auto"/>
              </w:rPr>
            </w:pPr>
            <w:r>
              <w:rPr>
                <w:rFonts w:ascii="Arial" w:cs="Arial" w:eastAsia="Arial" w:hAnsi="Arial"/>
                <w:sz w:val="18"/>
                <w:szCs w:val="18"/>
                <w:color w:val="auto"/>
                <w:w w:val="99"/>
              </w:rPr>
              <w:t>2.0x</w:t>
            </w:r>
          </w:p>
        </w:tc>
      </w:tr>
      <w:tr>
        <w:trPr>
          <w:trHeight w:val="63"/>
        </w:trPr>
        <w:tc>
          <w:tcPr>
            <w:tcW w:w="40" w:type="dxa"/>
            <w:vAlign w:val="bottom"/>
            <w:shd w:val="clear" w:color="auto" w:fill="B2B2B2"/>
          </w:tcPr>
          <w:p>
            <w:pPr>
              <w:spacing w:after="0"/>
              <w:rPr>
                <w:sz w:val="5"/>
                <w:szCs w:val="5"/>
                <w:color w:val="auto"/>
              </w:rPr>
            </w:pPr>
          </w:p>
        </w:tc>
        <w:tc>
          <w:tcPr>
            <w:tcW w:w="8220" w:type="dxa"/>
            <w:vAlign w:val="bottom"/>
            <w:shd w:val="clear" w:color="auto" w:fill="B2B2B2"/>
          </w:tcPr>
          <w:p>
            <w:pPr>
              <w:spacing w:after="0"/>
              <w:rPr>
                <w:sz w:val="5"/>
                <w:szCs w:val="5"/>
                <w:color w:val="auto"/>
              </w:rPr>
            </w:pPr>
          </w:p>
        </w:tc>
        <w:tc>
          <w:tcPr>
            <w:tcW w:w="300" w:type="dxa"/>
            <w:vAlign w:val="bottom"/>
            <w:shd w:val="clear" w:color="auto" w:fill="B2B2B2"/>
          </w:tcPr>
          <w:p>
            <w:pPr>
              <w:spacing w:after="0"/>
              <w:rPr>
                <w:sz w:val="5"/>
                <w:szCs w:val="5"/>
                <w:color w:val="auto"/>
              </w:rPr>
            </w:pPr>
          </w:p>
        </w:tc>
        <w:tc>
          <w:tcPr>
            <w:tcW w:w="540" w:type="dxa"/>
            <w:vAlign w:val="bottom"/>
            <w:shd w:val="clear" w:color="auto" w:fill="B2B2B2"/>
          </w:tcPr>
          <w:p>
            <w:pPr>
              <w:spacing w:after="0"/>
              <w:rPr>
                <w:sz w:val="5"/>
                <w:szCs w:val="5"/>
                <w:color w:val="auto"/>
              </w:rPr>
            </w:pPr>
          </w:p>
        </w:tc>
        <w:tc>
          <w:tcPr>
            <w:tcW w:w="80" w:type="dxa"/>
            <w:vAlign w:val="bottom"/>
            <w:shd w:val="clear" w:color="auto" w:fill="B2B2B2"/>
          </w:tcPr>
          <w:p>
            <w:pPr>
              <w:spacing w:after="0"/>
              <w:rPr>
                <w:sz w:val="5"/>
                <w:szCs w:val="5"/>
                <w:color w:val="auto"/>
              </w:rPr>
            </w:pPr>
          </w:p>
        </w:tc>
      </w:tr>
      <w:tr>
        <w:trPr>
          <w:trHeight w:val="301"/>
        </w:trPr>
        <w:tc>
          <w:tcPr>
            <w:tcW w:w="40" w:type="dxa"/>
            <w:vAlign w:val="bottom"/>
          </w:tcPr>
          <w:p>
            <w:pPr>
              <w:spacing w:after="0"/>
              <w:rPr>
                <w:sz w:val="24"/>
                <w:szCs w:val="24"/>
                <w:color w:val="auto"/>
              </w:rPr>
            </w:pPr>
          </w:p>
        </w:tc>
        <w:tc>
          <w:tcPr>
            <w:tcW w:w="8520" w:type="dxa"/>
            <w:vAlign w:val="bottom"/>
            <w:gridSpan w:val="2"/>
          </w:tcPr>
          <w:p>
            <w:pPr>
              <w:ind w:left="40"/>
              <w:spacing w:after="0"/>
              <w:rPr>
                <w:sz w:val="20"/>
                <w:szCs w:val="20"/>
                <w:color w:val="auto"/>
              </w:rPr>
            </w:pPr>
            <w:r>
              <w:rPr>
                <w:rFonts w:ascii="Arial" w:cs="Arial" w:eastAsia="Arial" w:hAnsi="Arial"/>
                <w:sz w:val="18"/>
                <w:szCs w:val="18"/>
                <w:color w:val="auto"/>
              </w:rPr>
              <w:t>Senior Vice President, General Counsel &amp; Corporate Secretary</w:t>
            </w:r>
          </w:p>
        </w:tc>
        <w:tc>
          <w:tcPr>
            <w:tcW w:w="6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2.0x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-893445</wp:posOffset>
            </wp:positionV>
            <wp:extent cx="431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5826760</wp:posOffset>
            </wp:positionH>
            <wp:positionV relativeFrom="paragraph">
              <wp:posOffset>-893445</wp:posOffset>
            </wp:positionV>
            <wp:extent cx="1885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580390</wp:posOffset>
            </wp:positionH>
            <wp:positionV relativeFrom="paragraph">
              <wp:posOffset>-893445</wp:posOffset>
            </wp:positionV>
            <wp:extent cx="342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ind w:left="920" w:right="1000"/>
        <w:spacing w:after="0" w:line="252" w:lineRule="auto"/>
        <w:rPr>
          <w:sz w:val="20"/>
          <w:szCs w:val="20"/>
          <w:color w:val="auto"/>
        </w:rPr>
      </w:pPr>
      <w:r>
        <w:rPr>
          <w:rFonts w:ascii="Arial" w:cs="Arial" w:eastAsia="Arial" w:hAnsi="Arial"/>
          <w:sz w:val="17"/>
          <w:szCs w:val="17"/>
          <w:color w:val="auto"/>
        </w:rPr>
        <w:t>Common stock, vested and unvested restricted shares, the net after-tax value of unexercised vested and unvested stock options, and stock held in the deferred compensation, 401(k) and the Employee Stock Purchase plans and shares beneficially owned and held in trust for the benefit of a family member all count towards satisfaction of the guidelines. Additionally, participants are required to retain 50% of net profit shares from all stock acquired upon exercise or vesting unless the guideline level is achieved. Net profit shares are defined as the number of shares of stock acquired after payment of (i) in the case of options, any exercise price and tax withholding upon exercise, or</w:t>
      </w:r>
    </w:p>
    <w:p>
      <w:pPr>
        <w:spacing w:after="0" w:line="2" w:lineRule="exact"/>
        <w:rPr>
          <w:sz w:val="20"/>
          <w:szCs w:val="20"/>
          <w:color w:val="auto"/>
        </w:rPr>
      </w:pPr>
    </w:p>
    <w:p>
      <w:pPr>
        <w:ind w:left="920" w:right="1120" w:hanging="6"/>
        <w:spacing w:after="0"/>
        <w:tabs>
          <w:tab w:leader="none" w:pos="117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case of restricted stock or restricted stock units, tax withholding upon vesting. We annually review the levels of stock ownership of our executive officers listed above, and, based on a rolling 12-month average of our stock price as of the end of 2022, each of them has met the guidelines. We also have stock ownership guidelines for the members of our Board.</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Anti-Hedging Policy</w:t>
      </w:r>
    </w:p>
    <w:p>
      <w:pPr>
        <w:spacing w:after="0" w:line="185" w:lineRule="exact"/>
        <w:rPr>
          <w:sz w:val="20"/>
          <w:szCs w:val="20"/>
          <w:color w:val="auto"/>
        </w:rPr>
      </w:pPr>
    </w:p>
    <w:p>
      <w:pPr>
        <w:ind w:left="920" w:right="940"/>
        <w:spacing w:after="0"/>
        <w:rPr>
          <w:sz w:val="20"/>
          <w:szCs w:val="20"/>
          <w:color w:val="auto"/>
        </w:rPr>
      </w:pPr>
      <w:r>
        <w:rPr>
          <w:rFonts w:ascii="Arial" w:cs="Arial" w:eastAsia="Arial" w:hAnsi="Arial"/>
          <w:sz w:val="18"/>
          <w:szCs w:val="18"/>
          <w:color w:val="auto"/>
        </w:rPr>
        <w:t>We prohibit the NEOs, other executive officers, directors and employees from engaging in transactions designed to insulate them from changes in the Company’s stock price. Therefore, the Company has an Anti-Hedging Policy that prohibits entering into transactions that include (without limitation) equity swaps or short sales of our securities, margin accounts or pledges of our securities, and hedges or monetization transactions involving our securities that are designed to hedge or offset any decrease in the market value of Itron securities. In addition, the purchase or sale of puts, calls, options, or other derivative securities based on the Company’s securities is prohibited under this policy, and borrowing against any account in which our securities are held is prohibited.</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Change-in-Control Agreements</w:t>
      </w:r>
    </w:p>
    <w:p>
      <w:pPr>
        <w:spacing w:after="0" w:line="171" w:lineRule="exact"/>
        <w:rPr>
          <w:sz w:val="20"/>
          <w:szCs w:val="20"/>
          <w:color w:val="auto"/>
        </w:rPr>
      </w:pPr>
    </w:p>
    <w:p>
      <w:pPr>
        <w:ind w:left="920" w:right="1100"/>
        <w:spacing w:after="0" w:line="242" w:lineRule="auto"/>
        <w:rPr>
          <w:sz w:val="20"/>
          <w:szCs w:val="20"/>
          <w:color w:val="auto"/>
        </w:rPr>
      </w:pPr>
      <w:r>
        <w:rPr>
          <w:rFonts w:ascii="Arial" w:cs="Arial" w:eastAsia="Arial" w:hAnsi="Arial"/>
          <w:sz w:val="18"/>
          <w:szCs w:val="18"/>
          <w:color w:val="auto"/>
        </w:rPr>
        <w:t>We have entered into change-in-control agreements with certain of our executive officers to encourage their full attention and dedication to the Company in the event of a change-in-control of the Company, and to provide them with reasonable compensation and benefits in the event of a change-in-control and a subsequent loss of employment. All equity awards granted have “double trigger” requirements before vesting upon a change-in-control. See “</w:t>
      </w:r>
      <w:r>
        <w:rPr>
          <w:rFonts w:ascii="Arial" w:cs="Arial" w:eastAsia="Arial" w:hAnsi="Arial"/>
          <w:sz w:val="18"/>
          <w:szCs w:val="18"/>
          <w:i w:val="1"/>
          <w:iCs w:val="1"/>
          <w:color w:val="auto"/>
        </w:rPr>
        <w:t>Executive Compensation Tables – Potential Payments upon Change-in-Control</w:t>
      </w:r>
      <w:r>
        <w:rPr>
          <w:rFonts w:ascii="Arial" w:cs="Arial" w:eastAsia="Arial" w:hAnsi="Arial"/>
          <w:sz w:val="18"/>
          <w:szCs w:val="18"/>
          <w:color w:val="auto"/>
        </w:rPr>
        <w:t>” for descriptions of the benefits provided under the change-in-control agreements.</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Employment Agreements; Severance Policy</w:t>
      </w:r>
    </w:p>
    <w:p>
      <w:pPr>
        <w:spacing w:after="0" w:line="171" w:lineRule="exact"/>
        <w:rPr>
          <w:sz w:val="20"/>
          <w:szCs w:val="20"/>
          <w:color w:val="auto"/>
        </w:rPr>
      </w:pPr>
    </w:p>
    <w:p>
      <w:pPr>
        <w:ind w:left="920" w:right="1040"/>
        <w:spacing w:after="0" w:line="244" w:lineRule="auto"/>
        <w:rPr>
          <w:sz w:val="20"/>
          <w:szCs w:val="20"/>
          <w:color w:val="auto"/>
        </w:rPr>
      </w:pPr>
      <w:r>
        <w:rPr>
          <w:rFonts w:ascii="Arial" w:cs="Arial" w:eastAsia="Arial" w:hAnsi="Arial"/>
          <w:sz w:val="18"/>
          <w:szCs w:val="18"/>
          <w:color w:val="auto"/>
        </w:rPr>
        <w:t>We do not have formal employment agreements with our executive officers. However, we do have an Executive Severance Policy for our executive officers that provides severance pay equal to one year’s base salary, employer benefit premium payments or reimbursements for one year, and outplacement assistance provided there is a release of claims, non-disparagement, and confidentiality agreement with the executive officer. In addition, the executive officer must enter into a one-year non-compete agreement, where enforceable.</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Incentive Repayment (Clawback) Policy</w:t>
      </w:r>
    </w:p>
    <w:p>
      <w:pPr>
        <w:spacing w:after="0" w:line="185" w:lineRule="exact"/>
        <w:rPr>
          <w:sz w:val="20"/>
          <w:szCs w:val="20"/>
          <w:color w:val="auto"/>
        </w:rPr>
      </w:pPr>
    </w:p>
    <w:p>
      <w:pPr>
        <w:ind w:left="920" w:right="940"/>
        <w:spacing w:after="0" w:line="253" w:lineRule="auto"/>
        <w:rPr>
          <w:sz w:val="20"/>
          <w:szCs w:val="20"/>
          <w:color w:val="auto"/>
        </w:rPr>
      </w:pPr>
      <w:r>
        <w:rPr>
          <w:rFonts w:ascii="Arial" w:cs="Arial" w:eastAsia="Arial" w:hAnsi="Arial"/>
          <w:sz w:val="18"/>
          <w:szCs w:val="18"/>
          <w:color w:val="auto"/>
        </w:rPr>
        <w:t>Under our Incentive Repayment (Clawback) Policy, in the event of a restatement of the Company’s financial results, the Compensation Committee, as designated by the Board, may review all cash or equity incentive awards that were based in whole or in part on the achievement of certain financial results.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-36-</w:t>
            </w:r>
          </w:p>
        </w:tc>
      </w:tr>
      <w:tr>
        <w:trPr>
          <w:trHeight w:val="219"/>
        </w:trPr>
        <w:tc>
          <w:tcPr>
            <w:tcW w:w="316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40" w:name="page41"/>
    <w:bookmarkEnd w:id="40"/>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right="1060"/>
        <w:spacing w:after="0" w:line="239" w:lineRule="auto"/>
        <w:rPr>
          <w:sz w:val="20"/>
          <w:szCs w:val="20"/>
          <w:color w:val="auto"/>
        </w:rPr>
      </w:pPr>
      <w:r>
        <w:rPr>
          <w:rFonts w:ascii="Arial" w:cs="Arial" w:eastAsia="Arial" w:hAnsi="Arial"/>
          <w:sz w:val="18"/>
          <w:szCs w:val="18"/>
          <w:color w:val="auto"/>
        </w:rPr>
        <w:t>Where award(s) were predicated, in part or in whole, upon the achievement of certain financial results that were subsequently the subject of a material financial restatement and, as determined by the Compensation Committee, the executive(s) engaged in fraud that caused or partially caused the need for the restatement, the Compensation Committee will seek forfeiture or reimbursement to the Company of the award(s) from the executive officer(s) engaged in fraud in full, net of tax. If a material financial restatement was not due to fraud, the Compensation Committee may review the circumstances and, in its discretion to the extent practicable and allowable under applicable laws, determine to require forfeiture or reimbursement to the Company of the amount of the award(s) that exceeded the lower amount, payment or value that would have been made based on the restated financial results, net of tax.</w:t>
      </w:r>
    </w:p>
    <w:p>
      <w:pPr>
        <w:spacing w:after="0" w:line="156" w:lineRule="exact"/>
        <w:rPr>
          <w:sz w:val="20"/>
          <w:szCs w:val="20"/>
          <w:color w:val="auto"/>
        </w:rPr>
      </w:pPr>
    </w:p>
    <w:p>
      <w:pPr>
        <w:jc w:val="both"/>
        <w:ind w:left="920" w:right="1000"/>
        <w:spacing w:after="0" w:line="247" w:lineRule="auto"/>
        <w:rPr>
          <w:sz w:val="20"/>
          <w:szCs w:val="20"/>
          <w:color w:val="auto"/>
        </w:rPr>
      </w:pPr>
      <w:r>
        <w:rPr>
          <w:rFonts w:ascii="Arial" w:cs="Arial" w:eastAsia="Arial" w:hAnsi="Arial"/>
          <w:sz w:val="18"/>
          <w:szCs w:val="18"/>
          <w:color w:val="auto"/>
        </w:rPr>
        <w:t>Any recoupment under this policy may be in addition to, and shall not otherwise limit, any other remedies that may be available to the Company under applicable law, including disciplinary actions up to and including termination of employment. The Company intends to adopt a revised Clawback Policy in compliance with final rules from Nasdaq when they become effective.</w:t>
      </w:r>
    </w:p>
    <w:p>
      <w:pPr>
        <w:spacing w:after="0" w:line="17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Executive Deferred Compensation Plan</w:t>
      </w:r>
    </w:p>
    <w:p>
      <w:pPr>
        <w:spacing w:after="0" w:line="185" w:lineRule="exact"/>
        <w:rPr>
          <w:sz w:val="20"/>
          <w:szCs w:val="20"/>
          <w:color w:val="auto"/>
        </w:rPr>
      </w:pPr>
    </w:p>
    <w:p>
      <w:pPr>
        <w:ind w:left="920" w:right="1100"/>
        <w:spacing w:after="0" w:line="247" w:lineRule="auto"/>
        <w:rPr>
          <w:sz w:val="20"/>
          <w:szCs w:val="20"/>
          <w:color w:val="auto"/>
        </w:rPr>
      </w:pPr>
      <w:r>
        <w:rPr>
          <w:rFonts w:ascii="Arial" w:cs="Arial" w:eastAsia="Arial" w:hAnsi="Arial"/>
          <w:sz w:val="18"/>
          <w:szCs w:val="18"/>
          <w:color w:val="auto"/>
        </w:rPr>
        <w:t>Executive officers located in the U.S. are eligible to participate in our Executive Deferred Compensation Plan (EDCP). We offer the EDCP to our highly-compensated employees to give them the benefit of being able to defer some of their taxable income, which also encourages their retention with the Company. Participants may defer up to 50% of their base salary and up to 50% of their annual cash incentive into a nonqualified account.</w:t>
      </w:r>
    </w:p>
    <w:p>
      <w:pPr>
        <w:spacing w:after="0" w:line="133" w:lineRule="exact"/>
        <w:rPr>
          <w:sz w:val="20"/>
          <w:szCs w:val="20"/>
          <w:color w:val="auto"/>
        </w:rPr>
      </w:pPr>
    </w:p>
    <w:p>
      <w:pPr>
        <w:jc w:val="both"/>
        <w:ind w:left="920" w:right="1320"/>
        <w:spacing w:after="0" w:line="255" w:lineRule="auto"/>
        <w:rPr>
          <w:sz w:val="20"/>
          <w:szCs w:val="20"/>
          <w:color w:val="auto"/>
        </w:rPr>
      </w:pPr>
      <w:r>
        <w:rPr>
          <w:rFonts w:ascii="Arial" w:cs="Arial" w:eastAsia="Arial" w:hAnsi="Arial"/>
          <w:sz w:val="17"/>
          <w:szCs w:val="17"/>
          <w:color w:val="auto"/>
        </w:rPr>
        <w:t>Executive officers are also permitted to elect to defer an additional portion of their base salary under the EDCP equal to the amount of any contributions returned to them during the year from the Company’s 401(k) Plan. In 2022, the Company made matching contributions to the account of each participating executive at the rate of</w:t>
      </w:r>
    </w:p>
    <w:p>
      <w:pPr>
        <w:spacing w:after="0" w:line="2" w:lineRule="exact"/>
        <w:rPr>
          <w:sz w:val="20"/>
          <w:szCs w:val="20"/>
          <w:color w:val="auto"/>
        </w:rPr>
      </w:pPr>
    </w:p>
    <w:p>
      <w:pPr>
        <w:ind w:left="920" w:right="1080"/>
        <w:spacing w:after="0" w:line="238" w:lineRule="auto"/>
        <w:rPr>
          <w:sz w:val="20"/>
          <w:szCs w:val="20"/>
          <w:color w:val="auto"/>
        </w:rPr>
      </w:pPr>
      <w:r>
        <w:rPr>
          <w:rFonts w:ascii="Arial" w:cs="Arial" w:eastAsia="Arial" w:hAnsi="Arial"/>
          <w:sz w:val="18"/>
          <w:szCs w:val="18"/>
          <w:color w:val="auto"/>
        </w:rPr>
        <w:t xml:space="preserve">75% of the first 6% of base salary and annual incentive deferred by the executive officer during that year, which is the same matching formula as the Company’s 401(k) Plan. The employer match into the EDCP starts </w:t>
      </w:r>
      <w:r>
        <w:rPr>
          <w:rFonts w:ascii="Arial" w:cs="Arial" w:eastAsia="Arial" w:hAnsi="Arial"/>
          <w:sz w:val="18"/>
          <w:szCs w:val="18"/>
          <w:i w:val="1"/>
          <w:iCs w:val="1"/>
          <w:color w:val="auto"/>
        </w:rPr>
        <w:t>after</w:t>
      </w:r>
      <w:r>
        <w:rPr>
          <w:rFonts w:ascii="Arial" w:cs="Arial" w:eastAsia="Arial" w:hAnsi="Arial"/>
          <w:sz w:val="18"/>
          <w:szCs w:val="18"/>
          <w:color w:val="auto"/>
        </w:rPr>
        <w:t xml:space="preserve"> the employee reaches IRS limits on the 401(k) Plan and is no longer eligible for the 401(k) match. The executive officers’ account balances are adjusted for hypothetical investment earnings or losses according to the returns of the specified “measurement funds” selected by the executives. The measurement funds correspond to the mutual funds available for investment under the 401(k) Plan (but currently do not include a Company stock fund).</w:t>
      </w:r>
    </w:p>
    <w:p>
      <w:pPr>
        <w:spacing w:after="0" w:line="19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“Executive Compensation Tables – 2022 Nonqualified Deferred Compensation Table</w:t>
      </w:r>
      <w:r>
        <w:rPr>
          <w:rFonts w:ascii="Arial" w:cs="Arial" w:eastAsia="Arial" w:hAnsi="Arial"/>
          <w:sz w:val="18"/>
          <w:szCs w:val="18"/>
          <w:color w:val="auto"/>
        </w:rPr>
        <w:t>” for more details.</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General Benefits and Perquisites</w:t>
      </w:r>
    </w:p>
    <w:p>
      <w:pPr>
        <w:spacing w:after="0" w:line="185" w:lineRule="exact"/>
        <w:rPr>
          <w:sz w:val="20"/>
          <w:szCs w:val="20"/>
          <w:color w:val="auto"/>
        </w:rPr>
      </w:pPr>
    </w:p>
    <w:p>
      <w:pPr>
        <w:ind w:left="920" w:right="940"/>
        <w:spacing w:after="0" w:line="247" w:lineRule="auto"/>
        <w:rPr>
          <w:sz w:val="20"/>
          <w:szCs w:val="20"/>
          <w:color w:val="auto"/>
        </w:rPr>
      </w:pPr>
      <w:r>
        <w:rPr>
          <w:rFonts w:ascii="Arial" w:cs="Arial" w:eastAsia="Arial" w:hAnsi="Arial"/>
          <w:sz w:val="18"/>
          <w:szCs w:val="18"/>
          <w:color w:val="auto"/>
        </w:rPr>
        <w:t>Our NEOs receive the same benefits as our U.S. based salaried employees generally, including medical and dental benefits, group term life insurance, and short- and long-term disability protection. Itron also has relocation policies and benefits in place that may be applicable if an employee is required to move or has long-term extended business travel to a new location.</w:t>
      </w:r>
    </w:p>
    <w:p>
      <w:pPr>
        <w:spacing w:after="0" w:line="17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401(k) Plan and Employee Stock Purchase Plan</w:t>
      </w:r>
    </w:p>
    <w:p>
      <w:pPr>
        <w:spacing w:after="0" w:line="185" w:lineRule="exact"/>
        <w:rPr>
          <w:sz w:val="20"/>
          <w:szCs w:val="20"/>
          <w:color w:val="auto"/>
        </w:rPr>
      </w:pPr>
    </w:p>
    <w:p>
      <w:pPr>
        <w:ind w:left="920" w:right="940"/>
        <w:spacing w:after="0" w:line="247" w:lineRule="auto"/>
        <w:rPr>
          <w:sz w:val="20"/>
          <w:szCs w:val="20"/>
          <w:color w:val="auto"/>
        </w:rPr>
      </w:pPr>
      <w:r>
        <w:rPr>
          <w:rFonts w:ascii="Arial" w:cs="Arial" w:eastAsia="Arial" w:hAnsi="Arial"/>
          <w:sz w:val="18"/>
          <w:szCs w:val="18"/>
          <w:color w:val="auto"/>
        </w:rPr>
        <w:t>Executive officers located in the U.S. are eligible to participate in our 401(k) Plan which provides our employees, including the NEOs, with a 75% Company match on the first 6% of compensation deferred, subject to qualified plan limits. Similarly, executive officers may participate in the Company’s Employee Stock Purchase Plan, along with our other employees.</w:t>
      </w:r>
    </w:p>
    <w:p>
      <w:pPr>
        <w:spacing w:after="0" w:line="17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do not maintain any defined benefit or supplemental retirement programs for our NEOs.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Impact of Tax and Accounting</w:t>
      </w:r>
    </w:p>
    <w:p>
      <w:pPr>
        <w:spacing w:after="0" w:line="171" w:lineRule="exact"/>
        <w:rPr>
          <w:sz w:val="20"/>
          <w:szCs w:val="20"/>
          <w:color w:val="auto"/>
        </w:rPr>
      </w:pPr>
    </w:p>
    <w:p>
      <w:pPr>
        <w:ind w:left="920" w:right="1160"/>
        <w:spacing w:after="0" w:line="253" w:lineRule="auto"/>
        <w:rPr>
          <w:sz w:val="20"/>
          <w:szCs w:val="20"/>
          <w:color w:val="auto"/>
        </w:rPr>
      </w:pPr>
      <w:r>
        <w:rPr>
          <w:rFonts w:ascii="Arial" w:cs="Arial" w:eastAsia="Arial" w:hAnsi="Arial"/>
          <w:sz w:val="18"/>
          <w:szCs w:val="18"/>
          <w:color w:val="auto"/>
        </w:rPr>
        <w:t>We regularly consider the various tax and accounting implications of our compensation plans. When determining the value of long-term incentives and equity grants to executives and employees, the compensation costs associated with the grants are reviewed, as required by FASB ASC Topic 718.</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-37-</w:t>
            </w:r>
          </w:p>
        </w:tc>
      </w:tr>
      <w:tr>
        <w:trPr>
          <w:trHeight w:val="233"/>
        </w:trPr>
        <w:tc>
          <w:tcPr>
            <w:tcW w:w="3160" w:type="dxa"/>
            <w:vAlign w:val="bottom"/>
            <w:tcBorders>
              <w:bottom w:val="single" w:sz="8" w:color="auto"/>
            </w:tcBorders>
          </w:tcPr>
          <w:p>
            <w:pPr>
              <w:spacing w:after="0"/>
              <w:rPr>
                <w:sz w:val="20"/>
                <w:szCs w:val="20"/>
                <w:color w:val="auto"/>
              </w:rPr>
            </w:pPr>
          </w:p>
        </w:tc>
        <w:tc>
          <w:tcPr>
            <w:tcW w:w="786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263" w:right="439" w:bottom="1440" w:gutter="0" w:footer="0" w:header="0"/>
        </w:sectPr>
      </w:pPr>
    </w:p>
    <w:bookmarkStart w:id="41" w:name="page42"/>
    <w:bookmarkEnd w:id="41"/>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Compensation Committee Report</w:t>
      </w:r>
    </w:p>
    <w:p>
      <w:pPr>
        <w:spacing w:after="0" w:line="185" w:lineRule="exact"/>
        <w:rPr>
          <w:sz w:val="20"/>
          <w:szCs w:val="20"/>
          <w:color w:val="auto"/>
        </w:rPr>
      </w:pPr>
    </w:p>
    <w:p>
      <w:pPr>
        <w:ind w:left="920" w:right="940"/>
        <w:spacing w:after="0" w:line="244" w:lineRule="auto"/>
        <w:rPr>
          <w:sz w:val="20"/>
          <w:szCs w:val="20"/>
          <w:color w:val="auto"/>
        </w:rPr>
      </w:pPr>
      <w:r>
        <w:rPr>
          <w:rFonts w:ascii="Arial" w:cs="Arial" w:eastAsia="Arial" w:hAnsi="Arial"/>
          <w:sz w:val="18"/>
          <w:szCs w:val="18"/>
          <w:color w:val="auto"/>
        </w:rPr>
        <w:t>The Compensation Committee has reviewed and discussed the Compensation Discussion and Analysis with Itron’s management and the Board’s outside compensation consultant. Based on the review and discussions, the Compensation Committee has recommended to the Board of Directors that the Compensation Discussion and Analysis be included in the Company’s 2022 Annual Report on Form 10-K and the Company’s 2023 proxy statement.</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Compensation Committee</w:t>
      </w:r>
    </w:p>
    <w:p>
      <w:pPr>
        <w:spacing w:after="0" w:line="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w:t>
      </w:r>
    </w:p>
    <w:p>
      <w:pPr>
        <w:ind w:left="920"/>
        <w:spacing w:after="0" w:line="234" w:lineRule="auto"/>
        <w:rPr>
          <w:sz w:val="20"/>
          <w:szCs w:val="20"/>
          <w:color w:val="auto"/>
        </w:rPr>
      </w:pPr>
      <w:r>
        <w:rPr>
          <w:rFonts w:ascii="Arial" w:cs="Arial" w:eastAsia="Arial" w:hAnsi="Arial"/>
          <w:sz w:val="18"/>
          <w:szCs w:val="18"/>
          <w:color w:val="auto"/>
        </w:rPr>
        <w:t>Frank M. Jaehnert, Chair</w:t>
      </w:r>
    </w:p>
    <w:p>
      <w:pPr>
        <w:ind w:left="920"/>
        <w:spacing w:after="0" w:line="235" w:lineRule="auto"/>
        <w:rPr>
          <w:sz w:val="20"/>
          <w:szCs w:val="20"/>
          <w:color w:val="auto"/>
        </w:rPr>
      </w:pPr>
      <w:r>
        <w:rPr>
          <w:rFonts w:ascii="Arial" w:cs="Arial" w:eastAsia="Arial" w:hAnsi="Arial"/>
          <w:sz w:val="18"/>
          <w:szCs w:val="18"/>
          <w:color w:val="auto"/>
        </w:rPr>
        <w:t>Santiago Perez</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Lynda L. Ziegler</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-38-</w:t>
            </w:r>
          </w:p>
        </w:tc>
      </w:tr>
      <w:tr>
        <w:trPr>
          <w:trHeight w:val="219"/>
        </w:trPr>
        <w:tc>
          <w:tcPr>
            <w:tcW w:w="316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42" w:name="page43"/>
    <w:bookmarkEnd w:id="42"/>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
        <w:spacing w:after="0"/>
        <w:rPr>
          <w:sz w:val="20"/>
          <w:szCs w:val="20"/>
          <w:color w:val="auto"/>
        </w:rPr>
      </w:pPr>
      <w:r>
        <w:rPr>
          <w:rFonts w:ascii="Arial" w:cs="Arial" w:eastAsia="Arial" w:hAnsi="Arial"/>
          <w:sz w:val="18"/>
          <w:szCs w:val="18"/>
          <w:b w:val="1"/>
          <w:bCs w:val="1"/>
          <w:u w:val="single" w:color="auto"/>
          <w:color w:val="auto"/>
        </w:rPr>
        <w:t>Executive Compensation Tables</w:t>
      </w:r>
    </w:p>
    <w:p>
      <w:pPr>
        <w:spacing w:after="0" w:line="131"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Summary Compensation Table</w:t>
      </w:r>
    </w:p>
    <w:p>
      <w:pPr>
        <w:spacing w:after="0" w:line="185" w:lineRule="exact"/>
        <w:rPr>
          <w:sz w:val="20"/>
          <w:szCs w:val="20"/>
          <w:color w:val="auto"/>
        </w:rPr>
      </w:pPr>
    </w:p>
    <w:p>
      <w:pPr>
        <w:ind w:left="6" w:right="340"/>
        <w:spacing w:after="0" w:line="271" w:lineRule="auto"/>
        <w:rPr>
          <w:sz w:val="20"/>
          <w:szCs w:val="20"/>
          <w:color w:val="auto"/>
        </w:rPr>
      </w:pPr>
      <w:r>
        <w:rPr>
          <w:rFonts w:ascii="Arial" w:cs="Arial" w:eastAsia="Arial" w:hAnsi="Arial"/>
          <w:sz w:val="18"/>
          <w:szCs w:val="18"/>
          <w:color w:val="auto"/>
        </w:rPr>
        <w:t>The following table provides information regarding compensation of the Company’s NEOs. The amounts shown include amounts deferred at the executives’ election. All numbers are rounded to the nearest dollar.</w:t>
      </w:r>
    </w:p>
    <w:p>
      <w:pPr>
        <w:spacing w:after="0" w:line="69" w:lineRule="exact"/>
        <w:rPr>
          <w:sz w:val="20"/>
          <w:szCs w:val="20"/>
          <w:color w:val="auto"/>
        </w:rPr>
      </w:pPr>
    </w:p>
    <w:p>
      <w:pPr>
        <w:jc w:val="center"/>
        <w:ind w:right="-5"/>
        <w:spacing w:after="0"/>
        <w:rPr>
          <w:sz w:val="20"/>
          <w:szCs w:val="20"/>
          <w:color w:val="auto"/>
        </w:rPr>
      </w:pPr>
      <w:r>
        <w:rPr>
          <w:rFonts w:ascii="Arial" w:cs="Arial" w:eastAsia="Arial" w:hAnsi="Arial"/>
          <w:sz w:val="14"/>
          <w:szCs w:val="14"/>
          <w:b w:val="1"/>
          <w:bCs w:val="1"/>
          <w:color w:val="auto"/>
        </w:rPr>
        <w:t>ITRON,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57785</wp:posOffset>
            </wp:positionV>
            <wp:extent cx="57518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157" w:lineRule="exact"/>
        <w:rPr>
          <w:sz w:val="20"/>
          <w:szCs w:val="20"/>
          <w:color w:val="auto"/>
        </w:rPr>
      </w:pPr>
    </w:p>
    <w:p>
      <w:pPr>
        <w:jc w:val="center"/>
        <w:ind w:right="-5"/>
        <w:spacing w:after="0"/>
        <w:rPr>
          <w:sz w:val="20"/>
          <w:szCs w:val="20"/>
          <w:color w:val="auto"/>
        </w:rPr>
      </w:pPr>
      <w:r>
        <w:rPr>
          <w:rFonts w:ascii="Arial" w:cs="Arial" w:eastAsia="Arial" w:hAnsi="Arial"/>
          <w:sz w:val="14"/>
          <w:szCs w:val="14"/>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57785</wp:posOffset>
            </wp:positionV>
            <wp:extent cx="57518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157" w:lineRule="exact"/>
        <w:rPr>
          <w:sz w:val="20"/>
          <w:szCs w:val="20"/>
          <w:color w:val="auto"/>
        </w:rPr>
      </w:pPr>
    </w:p>
    <w:tbl>
      <w:tblPr>
        <w:tblLayout w:type="fixed"/>
        <w:tblInd w:w="66"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Non-Equity</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18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 and</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Stock</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Option</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Incentive Plan</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gridSpan w:val="2"/>
          </w:tcPr>
          <w:p>
            <w:pPr>
              <w:ind w:left="20"/>
              <w:spacing w:after="0"/>
              <w:rPr>
                <w:sz w:val="20"/>
                <w:szCs w:val="20"/>
                <w:color w:val="auto"/>
              </w:rPr>
            </w:pPr>
            <w:r>
              <w:rPr>
                <w:rFonts w:ascii="Arial" w:cs="Arial" w:eastAsia="Arial" w:hAnsi="Arial"/>
                <w:sz w:val="14"/>
                <w:szCs w:val="14"/>
                <w:b w:val="1"/>
                <w:bCs w:val="1"/>
                <w:color w:val="auto"/>
              </w:rPr>
              <w:t>Principal</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Salary</w:t>
            </w:r>
          </w:p>
        </w:tc>
        <w:tc>
          <w:tcPr>
            <w:tcW w:w="5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6"/>
              </w:rPr>
              <w:t>Bonus</w:t>
            </w:r>
          </w:p>
        </w:tc>
        <w:tc>
          <w:tcPr>
            <w:tcW w:w="6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Awards</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Awards</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Compensation</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40" w:type="dxa"/>
            <w:vAlign w:val="bottom"/>
          </w:tcPr>
          <w:p>
            <w:pPr>
              <w:spacing w:after="0"/>
              <w:rPr>
                <w:sz w:val="14"/>
                <w:szCs w:val="14"/>
                <w:color w:val="auto"/>
              </w:rPr>
            </w:pPr>
          </w:p>
        </w:tc>
        <w:tc>
          <w:tcPr>
            <w:tcW w:w="820" w:type="dxa"/>
            <w:vAlign w:val="bottom"/>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0"/>
        </w:trPr>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w:t>
            </w:r>
          </w:p>
        </w:tc>
        <w:tc>
          <w:tcPr>
            <w:tcW w:w="140" w:type="dxa"/>
            <w:vAlign w:val="bottom"/>
          </w:tcPr>
          <w:p>
            <w:pPr>
              <w:spacing w:after="0"/>
              <w:rPr>
                <w:sz w:val="23"/>
                <w:szCs w:val="23"/>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140" w:type="dxa"/>
            <w:vAlign w:val="bottom"/>
          </w:tcPr>
          <w:p>
            <w:pPr>
              <w:spacing w:after="0"/>
              <w:rPr>
                <w:sz w:val="23"/>
                <w:szCs w:val="23"/>
                <w:color w:val="auto"/>
              </w:rPr>
            </w:pPr>
          </w:p>
        </w:tc>
        <w:tc>
          <w:tcPr>
            <w:tcW w:w="6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4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28"/>
                <w:szCs w:val="28"/>
                <w:b w:val="1"/>
                <w:bCs w:val="1"/>
                <w:color w:val="auto"/>
                <w:w w:val="88"/>
                <w:vertAlign w:val="subscript"/>
              </w:rPr>
              <w:t>($)</w:t>
            </w:r>
            <w:r>
              <w:rPr>
                <w:rFonts w:ascii="Arial" w:cs="Arial" w:eastAsia="Arial" w:hAnsi="Arial"/>
                <w:sz w:val="12"/>
                <w:szCs w:val="12"/>
                <w:b w:val="1"/>
                <w:bCs w:val="1"/>
                <w:color w:val="auto"/>
                <w:w w:val="88"/>
              </w:rPr>
              <w:t>(1)(2)</w:t>
            </w:r>
          </w:p>
        </w:tc>
        <w:tc>
          <w:tcPr>
            <w:tcW w:w="140" w:type="dxa"/>
            <w:vAlign w:val="bottom"/>
          </w:tcPr>
          <w:p>
            <w:pPr>
              <w:spacing w:after="0"/>
              <w:rPr>
                <w:sz w:val="23"/>
                <w:szCs w:val="2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102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28"/>
                <w:szCs w:val="28"/>
                <w:b w:val="1"/>
                <w:bCs w:val="1"/>
                <w:color w:val="auto"/>
                <w:w w:val="85"/>
                <w:vertAlign w:val="subscript"/>
              </w:rPr>
              <w:t>($)</w:t>
            </w:r>
            <w:r>
              <w:rPr>
                <w:rFonts w:ascii="Arial" w:cs="Arial" w:eastAsia="Arial" w:hAnsi="Arial"/>
                <w:sz w:val="12"/>
                <w:szCs w:val="12"/>
                <w:b w:val="1"/>
                <w:bCs w:val="1"/>
                <w:color w:val="auto"/>
                <w:w w:val="85"/>
              </w:rPr>
              <w:t>(3)</w:t>
            </w:r>
          </w:p>
        </w:tc>
        <w:tc>
          <w:tcPr>
            <w:tcW w:w="140" w:type="dxa"/>
            <w:vAlign w:val="bottom"/>
          </w:tcPr>
          <w:p>
            <w:pPr>
              <w:spacing w:after="0"/>
              <w:rPr>
                <w:sz w:val="23"/>
                <w:szCs w:val="2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6"/>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Thomas L. Deitrich</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2022</w:t>
            </w:r>
          </w:p>
        </w:tc>
        <w:tc>
          <w:tcPr>
            <w:tcW w:w="14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98"/>
              </w:rPr>
              <w:t>830,000</w:t>
            </w:r>
          </w:p>
        </w:tc>
        <w:tc>
          <w:tcPr>
            <w:tcW w:w="140" w:type="dxa"/>
            <w:vAlign w:val="bottom"/>
          </w:tcPr>
          <w:p>
            <w:pPr>
              <w:spacing w:after="0"/>
              <w:rPr>
                <w:sz w:val="24"/>
                <w:szCs w:val="2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3,059,156</w:t>
            </w:r>
          </w:p>
        </w:tc>
        <w:tc>
          <w:tcPr>
            <w:tcW w:w="14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ind w:left="220"/>
              <w:spacing w:after="0" w:line="276" w:lineRule="exact"/>
              <w:rPr>
                <w:sz w:val="20"/>
                <w:szCs w:val="20"/>
                <w:color w:val="auto"/>
              </w:rPr>
            </w:pPr>
            <w:r>
              <w:rPr>
                <w:rFonts w:ascii="Arial" w:cs="Arial" w:eastAsia="Arial" w:hAnsi="Arial"/>
                <w:sz w:val="18"/>
                <w:szCs w:val="18"/>
                <w:color w:val="auto"/>
                <w:w w:val="99"/>
              </w:rPr>
              <w:t>13,725</w:t>
            </w:r>
            <w:r>
              <w:rPr>
                <w:rFonts w:ascii="Arial" w:cs="Arial" w:eastAsia="Arial" w:hAnsi="Arial"/>
                <w:sz w:val="29"/>
                <w:szCs w:val="29"/>
                <w:color w:val="auto"/>
                <w:w w:val="99"/>
                <w:vertAlign w:val="superscript"/>
              </w:rPr>
              <w:t>(4)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3,902,881</w:t>
            </w:r>
          </w:p>
        </w:tc>
        <w:tc>
          <w:tcPr>
            <w:tcW w:w="0" w:type="dxa"/>
            <w:vAlign w:val="bottom"/>
          </w:tcPr>
          <w:p>
            <w:pPr>
              <w:spacing w:after="0"/>
              <w:rPr>
                <w:sz w:val="1"/>
                <w:szCs w:val="1"/>
                <w:color w:val="auto"/>
              </w:rPr>
            </w:pPr>
          </w:p>
        </w:tc>
      </w:tr>
      <w:tr>
        <w:trPr>
          <w:trHeight w:val="239"/>
        </w:trPr>
        <w:tc>
          <w:tcPr>
            <w:tcW w:w="2180" w:type="dxa"/>
            <w:vAlign w:val="bottom"/>
            <w:gridSpan w:val="2"/>
          </w:tcPr>
          <w:p>
            <w:pPr>
              <w:ind w:left="200"/>
              <w:spacing w:after="0"/>
              <w:rPr>
                <w:sz w:val="20"/>
                <w:szCs w:val="20"/>
                <w:color w:val="auto"/>
              </w:rPr>
            </w:pPr>
            <w:r>
              <w:rPr>
                <w:rFonts w:ascii="Arial" w:cs="Arial" w:eastAsia="Arial" w:hAnsi="Arial"/>
                <w:sz w:val="18"/>
                <w:szCs w:val="18"/>
                <w:color w:val="auto"/>
              </w:rPr>
              <w:t>President and CEO</w:t>
            </w:r>
          </w:p>
        </w:tc>
        <w:tc>
          <w:tcPr>
            <w:tcW w:w="400" w:type="dxa"/>
            <w:vAlign w:val="bottom"/>
            <w:vMerge w:val="restart"/>
          </w:tcPr>
          <w:p>
            <w:pPr>
              <w:jc w:val="center"/>
              <w:spacing w:after="0"/>
              <w:rPr>
                <w:sz w:val="20"/>
                <w:szCs w:val="20"/>
                <w:color w:val="auto"/>
              </w:rPr>
            </w:pPr>
            <w:r>
              <w:rPr>
                <w:rFonts w:ascii="Arial" w:cs="Arial" w:eastAsia="Arial" w:hAnsi="Arial"/>
                <w:sz w:val="18"/>
                <w:szCs w:val="18"/>
                <w:color w:val="auto"/>
                <w:w w:val="99"/>
              </w:rPr>
              <w:t>2021</w:t>
            </w:r>
          </w:p>
        </w:tc>
        <w:tc>
          <w:tcPr>
            <w:tcW w:w="140" w:type="dxa"/>
            <w:vAlign w:val="bottom"/>
          </w:tcPr>
          <w:p>
            <w:pPr>
              <w:spacing w:after="0"/>
              <w:rPr>
                <w:sz w:val="20"/>
                <w:szCs w:val="20"/>
                <w:color w:val="auto"/>
              </w:rPr>
            </w:pPr>
          </w:p>
        </w:tc>
        <w:tc>
          <w:tcPr>
            <w:tcW w:w="660" w:type="dxa"/>
            <w:vAlign w:val="bottom"/>
            <w:vMerge w:val="restart"/>
          </w:tcPr>
          <w:p>
            <w:pPr>
              <w:spacing w:after="0"/>
              <w:rPr>
                <w:sz w:val="20"/>
                <w:szCs w:val="20"/>
                <w:color w:val="auto"/>
              </w:rPr>
            </w:pPr>
            <w:r>
              <w:rPr>
                <w:rFonts w:ascii="Arial" w:cs="Arial" w:eastAsia="Arial" w:hAnsi="Arial"/>
                <w:sz w:val="18"/>
                <w:szCs w:val="18"/>
                <w:color w:val="auto"/>
                <w:w w:val="98"/>
              </w:rPr>
              <w:t>800,000</w:t>
            </w:r>
          </w:p>
        </w:tc>
        <w:tc>
          <w:tcPr>
            <w:tcW w:w="140" w:type="dxa"/>
            <w:vAlign w:val="bottom"/>
          </w:tcPr>
          <w:p>
            <w:pPr>
              <w:spacing w:after="0"/>
              <w:rPr>
                <w:sz w:val="20"/>
                <w:szCs w:val="20"/>
                <w:color w:val="auto"/>
              </w:rPr>
            </w:pPr>
          </w:p>
        </w:tc>
        <w:tc>
          <w:tcPr>
            <w:tcW w:w="5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auto"/>
              </w:rPr>
              <w:t>2,877,281</w:t>
            </w:r>
          </w:p>
        </w:tc>
        <w:tc>
          <w:tcPr>
            <w:tcW w:w="140" w:type="dxa"/>
            <w:vAlign w:val="bottom"/>
          </w:tcPr>
          <w:p>
            <w:pPr>
              <w:spacing w:after="0"/>
              <w:rPr>
                <w:sz w:val="20"/>
                <w:szCs w:val="20"/>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115"/>
              <w:spacing w:after="0"/>
              <w:rPr>
                <w:sz w:val="20"/>
                <w:szCs w:val="20"/>
                <w:color w:val="auto"/>
              </w:rPr>
            </w:pPr>
            <w:r>
              <w:rPr>
                <w:rFonts w:ascii="Arial" w:cs="Arial" w:eastAsia="Arial" w:hAnsi="Arial"/>
                <w:sz w:val="18"/>
                <w:szCs w:val="18"/>
                <w:color w:val="auto"/>
              </w:rPr>
              <w:t>850,000</w:t>
            </w:r>
          </w:p>
        </w:tc>
        <w:tc>
          <w:tcPr>
            <w:tcW w:w="140" w:type="dxa"/>
            <w:vAlign w:val="bottom"/>
          </w:tcPr>
          <w:p>
            <w:pPr>
              <w:spacing w:after="0"/>
              <w:rPr>
                <w:sz w:val="20"/>
                <w:szCs w:val="20"/>
                <w:color w:val="auto"/>
              </w:rPr>
            </w:pPr>
          </w:p>
        </w:tc>
        <w:tc>
          <w:tcPr>
            <w:tcW w:w="1020" w:type="dxa"/>
            <w:vAlign w:val="bottom"/>
            <w:vMerge w:val="restart"/>
          </w:tcPr>
          <w:p>
            <w:pPr>
              <w:ind w:left="220"/>
              <w:spacing w:after="0"/>
              <w:rPr>
                <w:sz w:val="20"/>
                <w:szCs w:val="20"/>
                <w:color w:val="auto"/>
              </w:rPr>
            </w:pPr>
            <w:r>
              <w:rPr>
                <w:rFonts w:ascii="Arial" w:cs="Arial" w:eastAsia="Arial" w:hAnsi="Arial"/>
                <w:sz w:val="18"/>
                <w:szCs w:val="18"/>
                <w:color w:val="auto"/>
              </w:rPr>
              <w:t>13,050</w:t>
            </w: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4,540,331</w:t>
            </w:r>
          </w:p>
        </w:tc>
        <w:tc>
          <w:tcPr>
            <w:tcW w:w="0" w:type="dxa"/>
            <w:vAlign w:val="bottom"/>
          </w:tcPr>
          <w:p>
            <w:pPr>
              <w:spacing w:after="0"/>
              <w:rPr>
                <w:sz w:val="1"/>
                <w:szCs w:val="1"/>
                <w:color w:val="auto"/>
              </w:rPr>
            </w:pPr>
          </w:p>
        </w:tc>
      </w:tr>
      <w:tr>
        <w:trPr>
          <w:trHeight w:val="184"/>
        </w:trPr>
        <w:tc>
          <w:tcPr>
            <w:tcW w:w="2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14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98"/>
              </w:rPr>
              <w:t>800,000</w:t>
            </w:r>
          </w:p>
        </w:tc>
        <w:tc>
          <w:tcPr>
            <w:tcW w:w="140" w:type="dxa"/>
            <w:vAlign w:val="bottom"/>
          </w:tcPr>
          <w:p>
            <w:pPr>
              <w:spacing w:after="0"/>
              <w:rPr>
                <w:sz w:val="24"/>
                <w:szCs w:val="2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2,075,403</w:t>
            </w:r>
          </w:p>
        </w:tc>
        <w:tc>
          <w:tcPr>
            <w:tcW w:w="1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8"/>
              </w:rPr>
              <w:t>749,976</w:t>
            </w:r>
          </w:p>
        </w:tc>
        <w:tc>
          <w:tcPr>
            <w:tcW w:w="140" w:type="dxa"/>
            <w:vAlign w:val="bottom"/>
          </w:tcPr>
          <w:p>
            <w:pPr>
              <w:spacing w:after="0"/>
              <w:rPr>
                <w:sz w:val="24"/>
                <w:szCs w:val="2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ind w:left="220"/>
              <w:spacing w:after="0"/>
              <w:rPr>
                <w:sz w:val="20"/>
                <w:szCs w:val="20"/>
                <w:color w:val="auto"/>
              </w:rPr>
            </w:pPr>
            <w:r>
              <w:rPr>
                <w:rFonts w:ascii="Arial" w:cs="Arial" w:eastAsia="Arial" w:hAnsi="Arial"/>
                <w:sz w:val="18"/>
                <w:szCs w:val="18"/>
                <w:color w:val="auto"/>
              </w:rPr>
              <w:t>12,825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3,638,204</w:t>
            </w:r>
          </w:p>
        </w:tc>
        <w:tc>
          <w:tcPr>
            <w:tcW w:w="0" w:type="dxa"/>
            <w:vAlign w:val="bottom"/>
          </w:tcPr>
          <w:p>
            <w:pPr>
              <w:spacing w:after="0"/>
              <w:rPr>
                <w:sz w:val="1"/>
                <w:szCs w:val="1"/>
                <w:color w:val="auto"/>
              </w:rPr>
            </w:pPr>
          </w:p>
        </w:tc>
      </w:tr>
      <w:tr>
        <w:trPr>
          <w:trHeight w:val="549"/>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Joan S. Hooper</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2022</w:t>
            </w:r>
          </w:p>
        </w:tc>
        <w:tc>
          <w:tcPr>
            <w:tcW w:w="14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98"/>
              </w:rPr>
              <w:t>530,000</w:t>
            </w:r>
          </w:p>
        </w:tc>
        <w:tc>
          <w:tcPr>
            <w:tcW w:w="140" w:type="dxa"/>
            <w:vAlign w:val="bottom"/>
          </w:tcPr>
          <w:p>
            <w:pPr>
              <w:spacing w:after="0"/>
              <w:rPr>
                <w:sz w:val="24"/>
                <w:szCs w:val="2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9"/>
              </w:rPr>
              <w:t>1,311,495</w:t>
            </w:r>
          </w:p>
        </w:tc>
        <w:tc>
          <w:tcPr>
            <w:tcW w:w="14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ind w:left="220"/>
              <w:spacing w:after="0"/>
              <w:rPr>
                <w:sz w:val="20"/>
                <w:szCs w:val="20"/>
                <w:color w:val="auto"/>
              </w:rPr>
            </w:pPr>
            <w:r>
              <w:rPr>
                <w:rFonts w:ascii="Arial" w:cs="Arial" w:eastAsia="Arial" w:hAnsi="Arial"/>
                <w:sz w:val="18"/>
                <w:szCs w:val="18"/>
                <w:color w:val="auto"/>
                <w:w w:val="99"/>
              </w:rPr>
              <w:t>39,714</w:t>
            </w:r>
            <w:r>
              <w:rPr>
                <w:rFonts w:ascii="Arial" w:cs="Arial" w:eastAsia="Arial" w:hAnsi="Arial"/>
                <w:sz w:val="29"/>
                <w:szCs w:val="29"/>
                <w:color w:val="auto"/>
                <w:w w:val="99"/>
                <w:vertAlign w:val="superscript"/>
              </w:rPr>
              <w:t>(4)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1,881,209</w:t>
            </w:r>
          </w:p>
        </w:tc>
        <w:tc>
          <w:tcPr>
            <w:tcW w:w="0" w:type="dxa"/>
            <w:vAlign w:val="bottom"/>
          </w:tcPr>
          <w:p>
            <w:pPr>
              <w:spacing w:after="0"/>
              <w:rPr>
                <w:sz w:val="1"/>
                <w:szCs w:val="1"/>
                <w:color w:val="auto"/>
              </w:rPr>
            </w:pPr>
          </w:p>
        </w:tc>
      </w:tr>
      <w:tr>
        <w:trPr>
          <w:trHeight w:val="184"/>
        </w:trPr>
        <w:tc>
          <w:tcPr>
            <w:tcW w:w="2180" w:type="dxa"/>
            <w:vAlign w:val="bottom"/>
            <w:gridSpan w:val="2"/>
          </w:tcPr>
          <w:p>
            <w:pPr>
              <w:ind w:left="200"/>
              <w:spacing w:after="0" w:line="183" w:lineRule="exact"/>
              <w:rPr>
                <w:sz w:val="20"/>
                <w:szCs w:val="20"/>
                <w:color w:val="auto"/>
              </w:rPr>
            </w:pPr>
            <w:r>
              <w:rPr>
                <w:rFonts w:ascii="Arial" w:cs="Arial" w:eastAsia="Arial" w:hAnsi="Arial"/>
                <w:sz w:val="18"/>
                <w:szCs w:val="18"/>
                <w:color w:val="auto"/>
              </w:rPr>
              <w:t>Senior Vice President</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180" w:type="dxa"/>
            <w:vAlign w:val="bottom"/>
            <w:gridSpan w:val="2"/>
          </w:tcPr>
          <w:p>
            <w:pPr>
              <w:ind w:left="200"/>
              <w:spacing w:after="0"/>
              <w:rPr>
                <w:sz w:val="20"/>
                <w:szCs w:val="20"/>
                <w:color w:val="auto"/>
              </w:rPr>
            </w:pPr>
            <w:r>
              <w:rPr>
                <w:rFonts w:ascii="Arial" w:cs="Arial" w:eastAsia="Arial" w:hAnsi="Arial"/>
                <w:sz w:val="18"/>
                <w:szCs w:val="18"/>
                <w:color w:val="auto"/>
              </w:rPr>
              <w:t>and CFO</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2021</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98"/>
              </w:rPr>
              <w:t>520,000</w:t>
            </w:r>
          </w:p>
        </w:tc>
        <w:tc>
          <w:tcPr>
            <w:tcW w:w="14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1,709,125</w:t>
            </w:r>
          </w:p>
        </w:tc>
        <w:tc>
          <w:tcPr>
            <w:tcW w:w="1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5"/>
              <w:spacing w:after="0"/>
              <w:rPr>
                <w:sz w:val="20"/>
                <w:szCs w:val="20"/>
                <w:color w:val="auto"/>
              </w:rPr>
            </w:pPr>
            <w:r>
              <w:rPr>
                <w:rFonts w:ascii="Arial" w:cs="Arial" w:eastAsia="Arial" w:hAnsi="Arial"/>
                <w:sz w:val="18"/>
                <w:szCs w:val="18"/>
                <w:color w:val="auto"/>
              </w:rPr>
              <w:t>331,500</w:t>
            </w:r>
          </w:p>
        </w:tc>
        <w:tc>
          <w:tcPr>
            <w:tcW w:w="140" w:type="dxa"/>
            <w:vAlign w:val="bottom"/>
          </w:tcPr>
          <w:p>
            <w:pPr>
              <w:spacing w:after="0"/>
              <w:rPr>
                <w:sz w:val="20"/>
                <w:szCs w:val="20"/>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rPr>
              <w:t>23,175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2,583,800</w:t>
            </w:r>
          </w:p>
        </w:tc>
        <w:tc>
          <w:tcPr>
            <w:tcW w:w="0" w:type="dxa"/>
            <w:vAlign w:val="bottom"/>
          </w:tcPr>
          <w:p>
            <w:pPr>
              <w:spacing w:after="0"/>
              <w:rPr>
                <w:sz w:val="1"/>
                <w:szCs w:val="1"/>
                <w:color w:val="auto"/>
              </w:rPr>
            </w:pPr>
          </w:p>
        </w:tc>
      </w:tr>
      <w:tr>
        <w:trPr>
          <w:trHeight w:val="364"/>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14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98"/>
              </w:rPr>
              <w:t>511,298</w:t>
            </w:r>
          </w:p>
        </w:tc>
        <w:tc>
          <w:tcPr>
            <w:tcW w:w="140" w:type="dxa"/>
            <w:vAlign w:val="bottom"/>
          </w:tcPr>
          <w:p>
            <w:pPr>
              <w:spacing w:after="0"/>
              <w:rPr>
                <w:sz w:val="24"/>
                <w:szCs w:val="2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949,389</w:t>
            </w:r>
          </w:p>
        </w:tc>
        <w:tc>
          <w:tcPr>
            <w:tcW w:w="1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8"/>
              </w:rPr>
              <w:t>312,479</w:t>
            </w:r>
          </w:p>
        </w:tc>
        <w:tc>
          <w:tcPr>
            <w:tcW w:w="140" w:type="dxa"/>
            <w:vAlign w:val="bottom"/>
          </w:tcPr>
          <w:p>
            <w:pPr>
              <w:spacing w:after="0"/>
              <w:rPr>
                <w:sz w:val="24"/>
                <w:szCs w:val="2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ind w:left="220"/>
              <w:spacing w:after="0"/>
              <w:rPr>
                <w:sz w:val="20"/>
                <w:szCs w:val="20"/>
                <w:color w:val="auto"/>
              </w:rPr>
            </w:pPr>
            <w:r>
              <w:rPr>
                <w:rFonts w:ascii="Arial" w:cs="Arial" w:eastAsia="Arial" w:hAnsi="Arial"/>
                <w:sz w:val="18"/>
                <w:szCs w:val="18"/>
                <w:color w:val="auto"/>
              </w:rPr>
              <w:t>39,138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1,812,304</w:t>
            </w:r>
          </w:p>
        </w:tc>
        <w:tc>
          <w:tcPr>
            <w:tcW w:w="0" w:type="dxa"/>
            <w:vAlign w:val="bottom"/>
          </w:tcPr>
          <w:p>
            <w:pPr>
              <w:spacing w:after="0"/>
              <w:rPr>
                <w:sz w:val="1"/>
                <w:szCs w:val="1"/>
                <w:color w:val="auto"/>
              </w:rPr>
            </w:pPr>
          </w:p>
        </w:tc>
      </w:tr>
      <w:tr>
        <w:trPr>
          <w:trHeight w:val="549"/>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Michel C. Cadieux</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2022</w:t>
            </w:r>
          </w:p>
        </w:tc>
        <w:tc>
          <w:tcPr>
            <w:tcW w:w="14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98"/>
              </w:rPr>
              <w:t>410,000</w:t>
            </w:r>
          </w:p>
        </w:tc>
        <w:tc>
          <w:tcPr>
            <w:tcW w:w="140" w:type="dxa"/>
            <w:vAlign w:val="bottom"/>
          </w:tcPr>
          <w:p>
            <w:pPr>
              <w:spacing w:after="0"/>
              <w:rPr>
                <w:sz w:val="24"/>
                <w:szCs w:val="2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720,406</w:t>
            </w:r>
          </w:p>
        </w:tc>
        <w:tc>
          <w:tcPr>
            <w:tcW w:w="14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ind w:left="220"/>
              <w:spacing w:after="0"/>
              <w:rPr>
                <w:sz w:val="20"/>
                <w:szCs w:val="20"/>
                <w:color w:val="auto"/>
              </w:rPr>
            </w:pPr>
            <w:r>
              <w:rPr>
                <w:rFonts w:ascii="Arial" w:cs="Arial" w:eastAsia="Arial" w:hAnsi="Arial"/>
                <w:sz w:val="18"/>
                <w:szCs w:val="18"/>
                <w:color w:val="auto"/>
                <w:w w:val="99"/>
              </w:rPr>
              <w:t>17,550</w:t>
            </w:r>
            <w:r>
              <w:rPr>
                <w:rFonts w:ascii="Arial" w:cs="Arial" w:eastAsia="Arial" w:hAnsi="Arial"/>
                <w:sz w:val="29"/>
                <w:szCs w:val="29"/>
                <w:color w:val="auto"/>
                <w:w w:val="99"/>
                <w:vertAlign w:val="superscript"/>
              </w:rPr>
              <w:t>(4)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1,147,956</w:t>
            </w:r>
          </w:p>
        </w:tc>
        <w:tc>
          <w:tcPr>
            <w:tcW w:w="0" w:type="dxa"/>
            <w:vAlign w:val="bottom"/>
          </w:tcPr>
          <w:p>
            <w:pPr>
              <w:spacing w:after="0"/>
              <w:rPr>
                <w:sz w:val="1"/>
                <w:szCs w:val="1"/>
                <w:color w:val="auto"/>
              </w:rPr>
            </w:pPr>
          </w:p>
        </w:tc>
      </w:tr>
      <w:tr>
        <w:trPr>
          <w:trHeight w:val="184"/>
        </w:trPr>
        <w:tc>
          <w:tcPr>
            <w:tcW w:w="2180" w:type="dxa"/>
            <w:vAlign w:val="bottom"/>
            <w:gridSpan w:val="2"/>
          </w:tcPr>
          <w:p>
            <w:pPr>
              <w:ind w:left="200"/>
              <w:spacing w:after="0" w:line="183" w:lineRule="exact"/>
              <w:rPr>
                <w:sz w:val="20"/>
                <w:szCs w:val="20"/>
                <w:color w:val="auto"/>
              </w:rPr>
            </w:pPr>
            <w:r>
              <w:rPr>
                <w:rFonts w:ascii="Arial" w:cs="Arial" w:eastAsia="Arial" w:hAnsi="Arial"/>
                <w:sz w:val="18"/>
                <w:szCs w:val="18"/>
                <w:color w:val="auto"/>
              </w:rPr>
              <w:t>Senior Vice President,</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180" w:type="dxa"/>
            <w:vAlign w:val="bottom"/>
            <w:gridSpan w:val="2"/>
          </w:tcPr>
          <w:p>
            <w:pPr>
              <w:ind w:left="200"/>
              <w:spacing w:after="0"/>
              <w:rPr>
                <w:sz w:val="20"/>
                <w:szCs w:val="20"/>
                <w:color w:val="auto"/>
              </w:rPr>
            </w:pPr>
            <w:r>
              <w:rPr>
                <w:rFonts w:ascii="Arial" w:cs="Arial" w:eastAsia="Arial" w:hAnsi="Arial"/>
                <w:sz w:val="18"/>
                <w:szCs w:val="18"/>
                <w:color w:val="auto"/>
              </w:rPr>
              <w:t>Human Resources</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2021</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98"/>
              </w:rPr>
              <w:t>410,000</w:t>
            </w:r>
          </w:p>
        </w:tc>
        <w:tc>
          <w:tcPr>
            <w:tcW w:w="14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853,577</w:t>
            </w:r>
          </w:p>
        </w:tc>
        <w:tc>
          <w:tcPr>
            <w:tcW w:w="1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5"/>
              <w:spacing w:after="0"/>
              <w:rPr>
                <w:sz w:val="20"/>
                <w:szCs w:val="20"/>
                <w:color w:val="auto"/>
              </w:rPr>
            </w:pPr>
            <w:r>
              <w:rPr>
                <w:rFonts w:ascii="Arial" w:cs="Arial" w:eastAsia="Arial" w:hAnsi="Arial"/>
                <w:sz w:val="18"/>
                <w:szCs w:val="18"/>
                <w:color w:val="auto"/>
              </w:rPr>
              <w:t>261,375</w:t>
            </w:r>
          </w:p>
        </w:tc>
        <w:tc>
          <w:tcPr>
            <w:tcW w:w="140" w:type="dxa"/>
            <w:vAlign w:val="bottom"/>
          </w:tcPr>
          <w:p>
            <w:pPr>
              <w:spacing w:after="0"/>
              <w:rPr>
                <w:sz w:val="20"/>
                <w:szCs w:val="20"/>
                <w:color w:val="auto"/>
              </w:rPr>
            </w:pPr>
          </w:p>
        </w:tc>
        <w:tc>
          <w:tcPr>
            <w:tcW w:w="1020" w:type="dxa"/>
            <w:vAlign w:val="bottom"/>
          </w:tcPr>
          <w:p>
            <w:pPr>
              <w:ind w:left="320"/>
              <w:spacing w:after="0"/>
              <w:rPr>
                <w:sz w:val="20"/>
                <w:szCs w:val="20"/>
                <w:color w:val="auto"/>
              </w:rPr>
            </w:pPr>
            <w:r>
              <w:rPr>
                <w:rFonts w:ascii="Arial" w:cs="Arial" w:eastAsia="Arial" w:hAnsi="Arial"/>
                <w:sz w:val="18"/>
                <w:szCs w:val="18"/>
                <w:color w:val="auto"/>
              </w:rPr>
              <w:t>9,225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1,534,177</w:t>
            </w:r>
          </w:p>
        </w:tc>
        <w:tc>
          <w:tcPr>
            <w:tcW w:w="0" w:type="dxa"/>
            <w:vAlign w:val="bottom"/>
          </w:tcPr>
          <w:p>
            <w:pPr>
              <w:spacing w:after="0"/>
              <w:rPr>
                <w:sz w:val="1"/>
                <w:szCs w:val="1"/>
                <w:color w:val="auto"/>
              </w:rPr>
            </w:pPr>
          </w:p>
        </w:tc>
      </w:tr>
      <w:tr>
        <w:trPr>
          <w:trHeight w:val="365"/>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14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98"/>
              </w:rPr>
              <w:t>407,514</w:t>
            </w:r>
          </w:p>
        </w:tc>
        <w:tc>
          <w:tcPr>
            <w:tcW w:w="140" w:type="dxa"/>
            <w:vAlign w:val="bottom"/>
          </w:tcPr>
          <w:p>
            <w:pPr>
              <w:spacing w:after="0"/>
              <w:rPr>
                <w:sz w:val="24"/>
                <w:szCs w:val="2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641,079</w:t>
            </w:r>
          </w:p>
        </w:tc>
        <w:tc>
          <w:tcPr>
            <w:tcW w:w="1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8"/>
              </w:rPr>
              <w:t>199,992</w:t>
            </w:r>
          </w:p>
        </w:tc>
        <w:tc>
          <w:tcPr>
            <w:tcW w:w="140" w:type="dxa"/>
            <w:vAlign w:val="bottom"/>
          </w:tcPr>
          <w:p>
            <w:pPr>
              <w:spacing w:after="0"/>
              <w:rPr>
                <w:sz w:val="24"/>
                <w:szCs w:val="2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ind w:left="220"/>
              <w:spacing w:after="0"/>
              <w:rPr>
                <w:sz w:val="20"/>
                <w:szCs w:val="20"/>
                <w:color w:val="auto"/>
              </w:rPr>
            </w:pPr>
            <w:r>
              <w:rPr>
                <w:rFonts w:ascii="Arial" w:cs="Arial" w:eastAsia="Arial" w:hAnsi="Arial"/>
                <w:sz w:val="18"/>
                <w:szCs w:val="18"/>
                <w:color w:val="auto"/>
              </w:rPr>
              <w:t>16,425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1,265,009</w:t>
            </w:r>
          </w:p>
        </w:tc>
        <w:tc>
          <w:tcPr>
            <w:tcW w:w="0" w:type="dxa"/>
            <w:vAlign w:val="bottom"/>
          </w:tcPr>
          <w:p>
            <w:pPr>
              <w:spacing w:after="0"/>
              <w:rPr>
                <w:sz w:val="1"/>
                <w:szCs w:val="1"/>
                <w:color w:val="auto"/>
              </w:rPr>
            </w:pPr>
          </w:p>
        </w:tc>
      </w:tr>
      <w:tr>
        <w:trPr>
          <w:trHeight w:val="549"/>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Donald L. Reeves</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2022</w:t>
            </w:r>
          </w:p>
        </w:tc>
        <w:tc>
          <w:tcPr>
            <w:tcW w:w="14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98"/>
              </w:rPr>
              <w:t>425,000</w:t>
            </w:r>
          </w:p>
        </w:tc>
        <w:tc>
          <w:tcPr>
            <w:tcW w:w="140" w:type="dxa"/>
            <w:vAlign w:val="bottom"/>
          </w:tcPr>
          <w:p>
            <w:pPr>
              <w:spacing w:after="0"/>
              <w:rPr>
                <w:sz w:val="24"/>
                <w:szCs w:val="2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405,225</w:t>
            </w:r>
          </w:p>
        </w:tc>
        <w:tc>
          <w:tcPr>
            <w:tcW w:w="14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ind w:left="220"/>
              <w:spacing w:after="0"/>
              <w:rPr>
                <w:sz w:val="20"/>
                <w:szCs w:val="20"/>
                <w:color w:val="auto"/>
              </w:rPr>
            </w:pPr>
            <w:r>
              <w:rPr>
                <w:rFonts w:ascii="Arial" w:cs="Arial" w:eastAsia="Arial" w:hAnsi="Arial"/>
                <w:sz w:val="18"/>
                <w:szCs w:val="18"/>
                <w:color w:val="auto"/>
                <w:w w:val="99"/>
              </w:rPr>
              <w:t>14,828</w:t>
            </w:r>
            <w:r>
              <w:rPr>
                <w:rFonts w:ascii="Arial" w:cs="Arial" w:eastAsia="Arial" w:hAnsi="Arial"/>
                <w:sz w:val="29"/>
                <w:szCs w:val="29"/>
                <w:color w:val="auto"/>
                <w:w w:val="99"/>
                <w:vertAlign w:val="superscript"/>
              </w:rPr>
              <w:t>(4)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845,053</w:t>
            </w:r>
          </w:p>
        </w:tc>
        <w:tc>
          <w:tcPr>
            <w:tcW w:w="0" w:type="dxa"/>
            <w:vAlign w:val="bottom"/>
          </w:tcPr>
          <w:p>
            <w:pPr>
              <w:spacing w:after="0"/>
              <w:rPr>
                <w:sz w:val="1"/>
                <w:szCs w:val="1"/>
                <w:color w:val="auto"/>
              </w:rPr>
            </w:pPr>
          </w:p>
        </w:tc>
      </w:tr>
      <w:tr>
        <w:trPr>
          <w:trHeight w:val="184"/>
        </w:trPr>
        <w:tc>
          <w:tcPr>
            <w:tcW w:w="2180" w:type="dxa"/>
            <w:vAlign w:val="bottom"/>
            <w:gridSpan w:val="2"/>
          </w:tcPr>
          <w:p>
            <w:pPr>
              <w:ind w:left="200"/>
              <w:spacing w:after="0" w:line="183" w:lineRule="exact"/>
              <w:rPr>
                <w:sz w:val="20"/>
                <w:szCs w:val="20"/>
                <w:color w:val="auto"/>
              </w:rPr>
            </w:pPr>
            <w:r>
              <w:rPr>
                <w:rFonts w:ascii="Arial" w:cs="Arial" w:eastAsia="Arial" w:hAnsi="Arial"/>
                <w:sz w:val="18"/>
                <w:szCs w:val="18"/>
                <w:color w:val="auto"/>
              </w:rPr>
              <w:t>Senior Vice President,</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180" w:type="dxa"/>
            <w:vAlign w:val="bottom"/>
            <w:gridSpan w:val="2"/>
          </w:tcPr>
          <w:p>
            <w:pPr>
              <w:ind w:left="200"/>
              <w:spacing w:after="0"/>
              <w:rPr>
                <w:sz w:val="20"/>
                <w:szCs w:val="20"/>
                <w:color w:val="auto"/>
              </w:rPr>
            </w:pPr>
            <w:r>
              <w:rPr>
                <w:rFonts w:ascii="Arial" w:cs="Arial" w:eastAsia="Arial" w:hAnsi="Arial"/>
                <w:sz w:val="18"/>
                <w:szCs w:val="18"/>
                <w:color w:val="auto"/>
              </w:rPr>
              <w:t>Outcomes</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2021</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98"/>
              </w:rPr>
              <w:t>425,000</w:t>
            </w:r>
          </w:p>
        </w:tc>
        <w:tc>
          <w:tcPr>
            <w:tcW w:w="14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496,103</w:t>
            </w:r>
          </w:p>
        </w:tc>
        <w:tc>
          <w:tcPr>
            <w:tcW w:w="1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5"/>
              <w:spacing w:after="0"/>
              <w:rPr>
                <w:sz w:val="20"/>
                <w:szCs w:val="20"/>
                <w:color w:val="auto"/>
              </w:rPr>
            </w:pPr>
            <w:r>
              <w:rPr>
                <w:rFonts w:ascii="Arial" w:cs="Arial" w:eastAsia="Arial" w:hAnsi="Arial"/>
                <w:sz w:val="18"/>
                <w:szCs w:val="18"/>
                <w:color w:val="auto"/>
              </w:rPr>
              <w:t>216,750</w:t>
            </w:r>
          </w:p>
        </w:tc>
        <w:tc>
          <w:tcPr>
            <w:tcW w:w="140" w:type="dxa"/>
            <w:vAlign w:val="bottom"/>
          </w:tcPr>
          <w:p>
            <w:pPr>
              <w:spacing w:after="0"/>
              <w:rPr>
                <w:sz w:val="20"/>
                <w:szCs w:val="20"/>
                <w:color w:val="auto"/>
              </w:rPr>
            </w:pPr>
          </w:p>
        </w:tc>
        <w:tc>
          <w:tcPr>
            <w:tcW w:w="1020" w:type="dxa"/>
            <w:vAlign w:val="bottom"/>
          </w:tcPr>
          <w:p>
            <w:pPr>
              <w:ind w:left="220"/>
              <w:spacing w:after="0"/>
              <w:rPr>
                <w:sz w:val="20"/>
                <w:szCs w:val="20"/>
                <w:color w:val="auto"/>
              </w:rPr>
            </w:pPr>
            <w:r>
              <w:rPr>
                <w:rFonts w:ascii="Arial" w:cs="Arial" w:eastAsia="Arial" w:hAnsi="Arial"/>
                <w:sz w:val="18"/>
                <w:szCs w:val="18"/>
                <w:color w:val="auto"/>
              </w:rPr>
              <w:t>11,947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1,149,800</w:t>
            </w:r>
          </w:p>
        </w:tc>
        <w:tc>
          <w:tcPr>
            <w:tcW w:w="0" w:type="dxa"/>
            <w:vAlign w:val="bottom"/>
          </w:tcPr>
          <w:p>
            <w:pPr>
              <w:spacing w:after="0"/>
              <w:rPr>
                <w:sz w:val="1"/>
                <w:szCs w:val="1"/>
                <w:color w:val="auto"/>
              </w:rPr>
            </w:pPr>
          </w:p>
        </w:tc>
      </w:tr>
      <w:tr>
        <w:trPr>
          <w:trHeight w:val="365"/>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14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98"/>
              </w:rPr>
              <w:t>425,000</w:t>
            </w:r>
          </w:p>
        </w:tc>
        <w:tc>
          <w:tcPr>
            <w:tcW w:w="140" w:type="dxa"/>
            <w:vAlign w:val="bottom"/>
          </w:tcPr>
          <w:p>
            <w:pPr>
              <w:spacing w:after="0"/>
              <w:rPr>
                <w:sz w:val="24"/>
                <w:szCs w:val="2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326,812</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112,487</w:t>
            </w:r>
          </w:p>
        </w:tc>
        <w:tc>
          <w:tcPr>
            <w:tcW w:w="140" w:type="dxa"/>
            <w:vAlign w:val="bottom"/>
          </w:tcPr>
          <w:p>
            <w:pPr>
              <w:spacing w:after="0"/>
              <w:rPr>
                <w:sz w:val="24"/>
                <w:szCs w:val="2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ind w:left="220"/>
              <w:spacing w:after="0"/>
              <w:rPr>
                <w:sz w:val="20"/>
                <w:szCs w:val="20"/>
                <w:color w:val="auto"/>
              </w:rPr>
            </w:pPr>
            <w:r>
              <w:rPr>
                <w:rFonts w:ascii="Arial" w:cs="Arial" w:eastAsia="Arial" w:hAnsi="Arial"/>
                <w:sz w:val="18"/>
                <w:szCs w:val="18"/>
                <w:color w:val="auto"/>
              </w:rPr>
              <w:t>13,070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877,369</w:t>
            </w:r>
          </w:p>
        </w:tc>
        <w:tc>
          <w:tcPr>
            <w:tcW w:w="0" w:type="dxa"/>
            <w:vAlign w:val="bottom"/>
          </w:tcPr>
          <w:p>
            <w:pPr>
              <w:spacing w:after="0"/>
              <w:rPr>
                <w:sz w:val="1"/>
                <w:szCs w:val="1"/>
                <w:color w:val="auto"/>
              </w:rPr>
            </w:pPr>
          </w:p>
        </w:tc>
      </w:tr>
      <w:tr>
        <w:trPr>
          <w:trHeight w:val="550"/>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John F. Marcolini</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2022</w:t>
            </w:r>
          </w:p>
        </w:tc>
        <w:tc>
          <w:tcPr>
            <w:tcW w:w="14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98"/>
              </w:rPr>
              <w:t>385,000</w:t>
            </w:r>
          </w:p>
        </w:tc>
        <w:tc>
          <w:tcPr>
            <w:tcW w:w="140" w:type="dxa"/>
            <w:vAlign w:val="bottom"/>
          </w:tcPr>
          <w:p>
            <w:pPr>
              <w:spacing w:after="0"/>
              <w:rPr>
                <w:sz w:val="24"/>
                <w:szCs w:val="2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399,093</w:t>
            </w:r>
          </w:p>
        </w:tc>
        <w:tc>
          <w:tcPr>
            <w:tcW w:w="14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ind w:left="220"/>
              <w:spacing w:after="0"/>
              <w:rPr>
                <w:sz w:val="20"/>
                <w:szCs w:val="20"/>
                <w:color w:val="auto"/>
              </w:rPr>
            </w:pPr>
            <w:r>
              <w:rPr>
                <w:rFonts w:ascii="Arial" w:cs="Arial" w:eastAsia="Arial" w:hAnsi="Arial"/>
                <w:sz w:val="18"/>
                <w:szCs w:val="18"/>
                <w:color w:val="auto"/>
                <w:w w:val="99"/>
              </w:rPr>
              <w:t>14,937</w:t>
            </w:r>
            <w:r>
              <w:rPr>
                <w:rFonts w:ascii="Arial" w:cs="Arial" w:eastAsia="Arial" w:hAnsi="Arial"/>
                <w:sz w:val="29"/>
                <w:szCs w:val="29"/>
                <w:color w:val="auto"/>
                <w:w w:val="99"/>
                <w:vertAlign w:val="superscript"/>
              </w:rPr>
              <w:t>(4)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799,030</w:t>
            </w:r>
          </w:p>
        </w:tc>
        <w:tc>
          <w:tcPr>
            <w:tcW w:w="0" w:type="dxa"/>
            <w:vAlign w:val="bottom"/>
          </w:tcPr>
          <w:p>
            <w:pPr>
              <w:spacing w:after="0"/>
              <w:rPr>
                <w:sz w:val="1"/>
                <w:szCs w:val="1"/>
                <w:color w:val="auto"/>
              </w:rPr>
            </w:pPr>
          </w:p>
        </w:tc>
      </w:tr>
      <w:tr>
        <w:trPr>
          <w:trHeight w:val="202"/>
        </w:trPr>
        <w:tc>
          <w:tcPr>
            <w:tcW w:w="2180" w:type="dxa"/>
            <w:vAlign w:val="bottom"/>
            <w:gridSpan w:val="2"/>
          </w:tcPr>
          <w:p>
            <w:pPr>
              <w:ind w:left="200"/>
              <w:spacing w:after="0" w:line="201" w:lineRule="exact"/>
              <w:rPr>
                <w:sz w:val="20"/>
                <w:szCs w:val="20"/>
                <w:color w:val="auto"/>
              </w:rPr>
            </w:pPr>
            <w:r>
              <w:rPr>
                <w:rFonts w:ascii="Arial" w:cs="Arial" w:eastAsia="Arial" w:hAnsi="Arial"/>
                <w:sz w:val="18"/>
                <w:szCs w:val="18"/>
                <w:color w:val="auto"/>
              </w:rPr>
              <w:t>Senior Vice President,</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66"/>
        <w:spacing w:after="0"/>
        <w:rPr>
          <w:sz w:val="20"/>
          <w:szCs w:val="20"/>
          <w:color w:val="auto"/>
        </w:rPr>
      </w:pPr>
      <w:r>
        <w:rPr>
          <w:rFonts w:ascii="Arial" w:cs="Arial" w:eastAsia="Arial" w:hAnsi="Arial"/>
          <w:sz w:val="18"/>
          <w:szCs w:val="18"/>
          <w:color w:val="auto"/>
        </w:rPr>
        <w:t>Networked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8229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59" w:lineRule="exact"/>
        <w:rPr>
          <w:sz w:val="20"/>
          <w:szCs w:val="20"/>
          <w:color w:val="auto"/>
        </w:rPr>
      </w:pPr>
    </w:p>
    <w:p>
      <w:pPr>
        <w:ind w:left="346" w:right="100" w:hanging="346"/>
        <w:spacing w:after="0" w:line="256" w:lineRule="auto"/>
        <w:tabs>
          <w:tab w:leader="none" w:pos="346"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These columns reflect the aggregate grant date fair value of awards granted under our Long-Term Incentive Plan (LTIP) and Second A&amp;R 2010 Plan (2010 SIP) determined in accordance with FASB ASC Topic 718. See Note 9 of the consolidated financial statements in our Annual Report on Form 10-K for the year ended December 31, 2022 regarding assumptions underlying the valuation of the equity awards granted in 2022.</w:t>
      </w:r>
    </w:p>
    <w:p>
      <w:pPr>
        <w:spacing w:after="0" w:line="28" w:lineRule="exact"/>
        <w:rPr>
          <w:rFonts w:ascii="Arial" w:cs="Arial" w:eastAsia="Arial" w:hAnsi="Arial"/>
          <w:sz w:val="14"/>
          <w:szCs w:val="14"/>
          <w:color w:val="auto"/>
        </w:rPr>
      </w:pPr>
    </w:p>
    <w:p>
      <w:pPr>
        <w:ind w:left="346" w:hanging="346"/>
        <w:spacing w:after="0" w:line="252" w:lineRule="auto"/>
        <w:tabs>
          <w:tab w:leader="none" w:pos="346"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the grant date fair value of PRSUs assuming target performance achievement. As the performance-contingent awards are based on separate measurements of the Company's financial performance for each year in the three-year performance cycle, FASB ASC Topic 718 requires the grant date fair value to be calculated for the portion of the award related to performance in each year. Therefore, the value in the table includes one-third of the target PRSUs for each active three-year performance cycle. For more details on how performance is calculated, refer to “</w:t>
      </w:r>
      <w:r>
        <w:rPr>
          <w:rFonts w:ascii="Arial" w:cs="Arial" w:eastAsia="Arial" w:hAnsi="Arial"/>
          <w:sz w:val="14"/>
          <w:szCs w:val="14"/>
          <w:i w:val="1"/>
          <w:iCs w:val="1"/>
          <w:color w:val="auto"/>
        </w:rPr>
        <w:t>Long-Term Incentives – A Closer Look at PRSUs</w:t>
      </w:r>
      <w:r>
        <w:rPr>
          <w:rFonts w:ascii="Arial" w:cs="Arial" w:eastAsia="Arial" w:hAnsi="Arial"/>
          <w:sz w:val="14"/>
          <w:szCs w:val="14"/>
          <w:color w:val="auto"/>
        </w:rPr>
        <w:t>” in this proxy statement.</w:t>
      </w:r>
    </w:p>
    <w:p>
      <w:pPr>
        <w:spacing w:after="0" w:line="45" w:lineRule="exact"/>
        <w:rPr>
          <w:rFonts w:ascii="Arial" w:cs="Arial" w:eastAsia="Arial" w:hAnsi="Arial"/>
          <w:sz w:val="14"/>
          <w:szCs w:val="14"/>
          <w:color w:val="auto"/>
        </w:rPr>
      </w:pPr>
    </w:p>
    <w:p>
      <w:pPr>
        <w:ind w:left="366" w:right="40"/>
        <w:spacing w:after="0" w:line="248" w:lineRule="auto"/>
        <w:rPr>
          <w:rFonts w:ascii="Arial" w:cs="Arial" w:eastAsia="Arial" w:hAnsi="Arial"/>
          <w:sz w:val="14"/>
          <w:szCs w:val="14"/>
          <w:color w:val="auto"/>
        </w:rPr>
      </w:pPr>
      <w:r>
        <w:rPr>
          <w:rFonts w:ascii="Arial" w:cs="Arial" w:eastAsia="Arial" w:hAnsi="Arial"/>
          <w:sz w:val="14"/>
          <w:szCs w:val="14"/>
          <w:color w:val="auto"/>
        </w:rPr>
        <w:t>The grant date fair value of the non-GAAP diluted EPS component is based upon the probable outcome for the award and is consistent with the estimate of aggregate compensation cost to be recognized over the performance period determined as of the grant date under FASB ASC Topic 718. As required under FASB ASC Topic 718, the grant date fair value for the TSR multiplier is recalculated and included in the amounts shown for 2022 for the 2022 portion of the award in each active performance cycle and was determined using a Monte Carlo valuation model on the date the PRSUs were awarded. Grant date fair values assuming maximum performance achievement for the 2022 PRSUs for the full performance cycle (2022-2024) would be: T. Deitrich - $5,182,090; J. Hooper - $1,554,549; M. Cadieux - $829,108; D. Reeves - $466,331; J. Marcolini - $466,311.</w:t>
      </w:r>
    </w:p>
    <w:p>
      <w:pPr>
        <w:spacing w:after="0" w:line="36" w:lineRule="exact"/>
        <w:rPr>
          <w:rFonts w:ascii="Arial" w:cs="Arial" w:eastAsia="Arial" w:hAnsi="Arial"/>
          <w:sz w:val="14"/>
          <w:szCs w:val="14"/>
          <w:color w:val="auto"/>
        </w:rPr>
      </w:pPr>
    </w:p>
    <w:p>
      <w:pPr>
        <w:ind w:left="346" w:hanging="346"/>
        <w:spacing w:after="0"/>
        <w:tabs>
          <w:tab w:leader="none" w:pos="346"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This column reflects the cash awards earned by the NEOs under our annual incentive program.</w:t>
      </w:r>
    </w:p>
    <w:p>
      <w:pPr>
        <w:spacing w:after="0" w:line="68" w:lineRule="exact"/>
        <w:rPr>
          <w:rFonts w:ascii="Arial" w:cs="Arial" w:eastAsia="Arial" w:hAnsi="Arial"/>
          <w:sz w:val="14"/>
          <w:szCs w:val="14"/>
          <w:color w:val="auto"/>
        </w:rPr>
      </w:pPr>
    </w:p>
    <w:p>
      <w:pPr>
        <w:jc w:val="both"/>
        <w:ind w:left="346" w:right="540" w:hanging="346"/>
        <w:spacing w:after="0" w:line="251" w:lineRule="auto"/>
        <w:tabs>
          <w:tab w:leader="none" w:pos="346" w:val="left"/>
        </w:tabs>
        <w:numPr>
          <w:ilvl w:val="0"/>
          <w:numId w:val="40"/>
        </w:numPr>
        <w:rPr>
          <w:rFonts w:ascii="Arial" w:cs="Arial" w:eastAsia="Arial" w:hAnsi="Arial"/>
          <w:sz w:val="14"/>
          <w:szCs w:val="14"/>
          <w:color w:val="auto"/>
        </w:rPr>
      </w:pPr>
      <w:r>
        <w:rPr>
          <w:rFonts w:ascii="Arial" w:cs="Arial" w:eastAsia="Arial" w:hAnsi="Arial"/>
          <w:sz w:val="14"/>
          <w:szCs w:val="14"/>
          <w:color w:val="auto"/>
        </w:rPr>
        <w:t>We value these benefits based on the actual costs or charges incurred by us for the benefits. The amounts shown under “All Other Compensation” consist of Company 401(k) matching contributions of $13,725 for Mr. Deitrich, $13,950 for Ms. Hooper, $17,550 for</w:t>
      </w:r>
    </w:p>
    <w:p>
      <w:pPr>
        <w:spacing w:after="0" w:line="1" w:lineRule="exact"/>
        <w:rPr>
          <w:rFonts w:ascii="Arial" w:cs="Arial" w:eastAsia="Arial" w:hAnsi="Arial"/>
          <w:sz w:val="14"/>
          <w:szCs w:val="14"/>
          <w:color w:val="auto"/>
        </w:rPr>
      </w:pPr>
    </w:p>
    <w:p>
      <w:pPr>
        <w:ind w:left="346" w:right="180"/>
        <w:spacing w:after="0" w:line="264" w:lineRule="auto"/>
        <w:rPr>
          <w:rFonts w:ascii="Arial" w:cs="Arial" w:eastAsia="Arial" w:hAnsi="Arial"/>
          <w:sz w:val="14"/>
          <w:szCs w:val="14"/>
          <w:color w:val="auto"/>
        </w:rPr>
      </w:pPr>
      <w:r>
        <w:rPr>
          <w:rFonts w:ascii="Arial" w:cs="Arial" w:eastAsia="Arial" w:hAnsi="Arial"/>
          <w:sz w:val="14"/>
          <w:szCs w:val="14"/>
          <w:color w:val="auto"/>
        </w:rPr>
        <w:t>Mr. Cadieux, $14,828 for Mr. Reeves, and $14,937 for Mr. Marcolini; and a company match under the Executive Deferred Compensation Plan of $25,764 for Ms. Hooper.</w:t>
      </w:r>
    </w:p>
    <w:p>
      <w:pPr>
        <w:sectPr>
          <w:pgSz w:w="11900" w:h="16838" w:orient="portrait"/>
          <w:cols w:equalWidth="0" w:num="1">
            <w:col w:w="9186"/>
          </w:cols>
          <w:pgMar w:left="1354" w:top="263" w:right="1359" w:bottom="1440" w:gutter="0" w:footer="0" w:header="0"/>
        </w:sectPr>
      </w:pPr>
    </w:p>
    <w:p>
      <w:pPr>
        <w:spacing w:after="0" w:line="270" w:lineRule="exact"/>
        <w:rPr>
          <w:sz w:val="20"/>
          <w:szCs w:val="20"/>
          <w:color w:val="auto"/>
        </w:rPr>
      </w:pPr>
    </w:p>
    <w:p>
      <w:pPr>
        <w:ind w:left="6"/>
        <w:spacing w:after="0"/>
        <w:tabs>
          <w:tab w:leader="none" w:pos="4426" w:val="left"/>
        </w:tabs>
        <w:rPr>
          <w:sz w:val="20"/>
          <w:szCs w:val="20"/>
          <w:color w:val="auto"/>
        </w:rPr>
      </w:pPr>
      <w:r>
        <w:rPr>
          <w:rFonts w:ascii="Arial" w:cs="Arial" w:eastAsia="Arial" w:hAnsi="Arial"/>
          <w:sz w:val="12"/>
          <w:szCs w:val="12"/>
          <w:color w:val="auto"/>
        </w:rPr>
        <w:t> </w:t>
      </w:r>
      <w:r>
        <w:rPr>
          <w:sz w:val="20"/>
          <w:szCs w:val="20"/>
          <w:color w:val="auto"/>
        </w:rPr>
        <w:tab/>
      </w: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170815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86"/>
          </w:cols>
          <w:pgMar w:left="1354" w:top="263" w:right="1359" w:bottom="1440" w:gutter="0" w:footer="0" w:header="0"/>
          <w:type w:val="continuous"/>
        </w:sectPr>
      </w:pPr>
    </w:p>
    <w:bookmarkStart w:id="43" w:name="page44"/>
    <w:bookmarkEnd w:id="43"/>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2022 Grants of Plan-Based Awards Table</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provides information regarding grants of plan-based awards to the NEOs during 2022.</w:t>
      </w:r>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ITRON,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32385</wp:posOffset>
            </wp:positionV>
            <wp:extent cx="57689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32385</wp:posOffset>
            </wp:positionV>
            <wp:extent cx="57689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52" w:lineRule="exact"/>
        <w:rPr>
          <w:sz w:val="20"/>
          <w:szCs w:val="20"/>
          <w:color w:val="auto"/>
        </w:rPr>
      </w:pPr>
    </w:p>
    <w:tbl>
      <w:tblPr>
        <w:tblLayout w:type="fixed"/>
        <w:tblInd w:w="960" w:type="dxa"/>
        <w:tblCellMar>
          <w:top w:w="0" w:type="dxa"/>
          <w:left w:w="0" w:type="dxa"/>
          <w:bottom w:w="0" w:type="dxa"/>
          <w:right w:w="0" w:type="dxa"/>
        </w:tblCellMar>
      </w:tblPr>
      <w:tr>
        <w:trPr>
          <w:trHeight w:val="149"/>
        </w:trPr>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4"/>
              </w:rPr>
              <w:t>All Other</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40" w:type="dxa"/>
            <w:vAlign w:val="bottom"/>
            <w:gridSpan w:val="8"/>
            <w:vMerge w:val="restart"/>
          </w:tcPr>
          <w:p>
            <w:pPr>
              <w:jc w:val="center"/>
              <w:ind w:right="200"/>
              <w:spacing w:after="0"/>
              <w:rPr>
                <w:sz w:val="20"/>
                <w:szCs w:val="20"/>
                <w:color w:val="auto"/>
              </w:rPr>
            </w:pPr>
            <w:r>
              <w:rPr>
                <w:rFonts w:ascii="Arial" w:cs="Arial" w:eastAsia="Arial" w:hAnsi="Arial"/>
                <w:sz w:val="13"/>
                <w:szCs w:val="13"/>
                <w:b w:val="1"/>
                <w:bCs w:val="1"/>
                <w:color w:val="auto"/>
                <w:w w:val="97"/>
              </w:rPr>
              <w:t>Estimated Future Payouts Under Non-</w:t>
            </w:r>
          </w:p>
        </w:tc>
        <w:tc>
          <w:tcPr>
            <w:tcW w:w="2180" w:type="dxa"/>
            <w:vAlign w:val="bottom"/>
            <w:gridSpan w:val="5"/>
            <w:vMerge w:val="restart"/>
          </w:tcPr>
          <w:p>
            <w:pPr>
              <w:jc w:val="center"/>
              <w:spacing w:after="0"/>
              <w:rPr>
                <w:sz w:val="20"/>
                <w:szCs w:val="20"/>
                <w:color w:val="auto"/>
              </w:rPr>
            </w:pPr>
            <w:r>
              <w:rPr>
                <w:rFonts w:ascii="Arial" w:cs="Arial" w:eastAsia="Arial" w:hAnsi="Arial"/>
                <w:sz w:val="13"/>
                <w:szCs w:val="13"/>
                <w:b w:val="1"/>
                <w:bCs w:val="1"/>
                <w:color w:val="auto"/>
                <w:w w:val="97"/>
              </w:rPr>
              <w:t>Estimated Future Payouts Under</w:t>
            </w: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Stock</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40" w:type="dxa"/>
            <w:vAlign w:val="bottom"/>
            <w:gridSpan w:val="8"/>
            <w:vMerge w:val="continue"/>
          </w:tcPr>
          <w:p>
            <w:pPr>
              <w:spacing w:after="0"/>
              <w:rPr>
                <w:sz w:val="5"/>
                <w:szCs w:val="5"/>
                <w:color w:val="auto"/>
              </w:rPr>
            </w:pPr>
          </w:p>
        </w:tc>
        <w:tc>
          <w:tcPr>
            <w:tcW w:w="2180" w:type="dxa"/>
            <w:vAlign w:val="bottom"/>
            <w:gridSpan w:val="5"/>
            <w:vMerge w:val="continue"/>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Awards:</w:t>
            </w: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restart"/>
          </w:tcPr>
          <w:p>
            <w:pPr>
              <w:jc w:val="center"/>
              <w:ind w:right="91"/>
              <w:spacing w:after="0"/>
              <w:rPr>
                <w:sz w:val="20"/>
                <w:szCs w:val="20"/>
                <w:color w:val="auto"/>
              </w:rPr>
            </w:pPr>
            <w:r>
              <w:rPr>
                <w:rFonts w:ascii="Arial" w:cs="Arial" w:eastAsia="Arial" w:hAnsi="Arial"/>
                <w:sz w:val="13"/>
                <w:szCs w:val="13"/>
                <w:b w:val="1"/>
                <w:bCs w:val="1"/>
                <w:color w:val="auto"/>
                <w:w w:val="97"/>
              </w:rPr>
              <w:t>Grant</w:t>
            </w:r>
          </w:p>
        </w:tc>
        <w:tc>
          <w:tcPr>
            <w:tcW w:w="0" w:type="dxa"/>
            <w:vAlign w:val="bottom"/>
          </w:tcPr>
          <w:p>
            <w:pPr>
              <w:spacing w:after="0"/>
              <w:rPr>
                <w:sz w:val="1"/>
                <w:szCs w:val="1"/>
                <w:color w:val="auto"/>
              </w:rPr>
            </w:pPr>
          </w:p>
        </w:tc>
      </w:tr>
      <w:tr>
        <w:trPr>
          <w:trHeight w:val="126"/>
        </w:trPr>
        <w:tc>
          <w:tcPr>
            <w:tcW w:w="1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40" w:type="dxa"/>
            <w:vAlign w:val="bottom"/>
            <w:gridSpan w:val="8"/>
          </w:tcPr>
          <w:p>
            <w:pPr>
              <w:jc w:val="center"/>
              <w:ind w:right="200"/>
              <w:spacing w:after="0" w:line="126" w:lineRule="exact"/>
              <w:rPr>
                <w:sz w:val="20"/>
                <w:szCs w:val="20"/>
                <w:color w:val="auto"/>
              </w:rPr>
            </w:pPr>
            <w:r>
              <w:rPr>
                <w:rFonts w:ascii="Arial" w:cs="Arial" w:eastAsia="Arial" w:hAnsi="Arial"/>
                <w:sz w:val="13"/>
                <w:szCs w:val="13"/>
                <w:b w:val="1"/>
                <w:bCs w:val="1"/>
                <w:color w:val="auto"/>
                <w:w w:val="97"/>
              </w:rPr>
              <w:t>Equity Incentive Plan Awards</w:t>
            </w:r>
          </w:p>
        </w:tc>
        <w:tc>
          <w:tcPr>
            <w:tcW w:w="2180" w:type="dxa"/>
            <w:vAlign w:val="bottom"/>
            <w:gridSpan w:val="5"/>
          </w:tcPr>
          <w:p>
            <w:pPr>
              <w:jc w:val="center"/>
              <w:spacing w:after="0" w:line="126" w:lineRule="exact"/>
              <w:rPr>
                <w:sz w:val="20"/>
                <w:szCs w:val="20"/>
                <w:color w:val="auto"/>
              </w:rPr>
            </w:pPr>
            <w:r>
              <w:rPr>
                <w:rFonts w:ascii="Arial" w:cs="Arial" w:eastAsia="Arial" w:hAnsi="Arial"/>
                <w:sz w:val="13"/>
                <w:szCs w:val="13"/>
                <w:b w:val="1"/>
                <w:bCs w:val="1"/>
                <w:color w:val="auto"/>
                <w:w w:val="97"/>
              </w:rPr>
              <w:t>Equity Incentive Plan Awards</w:t>
            </w:r>
          </w:p>
        </w:tc>
        <w:tc>
          <w:tcPr>
            <w:tcW w:w="2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restart"/>
          </w:tcPr>
          <w:p>
            <w:pPr>
              <w:jc w:val="center"/>
              <w:ind w:right="111"/>
              <w:spacing w:after="0" w:line="108" w:lineRule="exact"/>
              <w:rPr>
                <w:sz w:val="20"/>
                <w:szCs w:val="20"/>
                <w:color w:val="auto"/>
              </w:rPr>
            </w:pPr>
            <w:r>
              <w:rPr>
                <w:rFonts w:ascii="Arial" w:cs="Arial" w:eastAsia="Arial" w:hAnsi="Arial"/>
                <w:sz w:val="12"/>
                <w:szCs w:val="12"/>
                <w:b w:val="1"/>
                <w:bCs w:val="1"/>
                <w:color w:val="auto"/>
              </w:rPr>
              <w:t>Date</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of Shares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111"/>
              <w:spacing w:after="0" w:line="135"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Grant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w w:val="95"/>
              </w:rPr>
              <w:t>Threshold</w:t>
            </w:r>
          </w:p>
        </w:tc>
        <w:tc>
          <w:tcPr>
            <w:tcW w:w="140" w:type="dxa"/>
            <w:vAlign w:val="bottom"/>
          </w:tcPr>
          <w:p>
            <w:pPr>
              <w:spacing w:after="0"/>
              <w:rPr>
                <w:sz w:val="11"/>
                <w:szCs w:val="11"/>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Target</w:t>
            </w:r>
          </w:p>
        </w:tc>
        <w:tc>
          <w:tcPr>
            <w:tcW w:w="92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Maximum</w:t>
            </w: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8"/>
              </w:rPr>
              <w:t>Threshold</w:t>
            </w:r>
          </w:p>
        </w:tc>
        <w:tc>
          <w:tcPr>
            <w:tcW w:w="7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Target</w:t>
            </w:r>
          </w:p>
        </w:tc>
        <w:tc>
          <w:tcPr>
            <w:tcW w:w="6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Maximum</w:t>
            </w:r>
          </w:p>
        </w:tc>
        <w:tc>
          <w:tcPr>
            <w:tcW w:w="2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of Stock</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111"/>
              <w:spacing w:after="0" w:line="135" w:lineRule="exact"/>
              <w:rPr>
                <w:sz w:val="20"/>
                <w:szCs w:val="20"/>
                <w:color w:val="auto"/>
              </w:rPr>
            </w:pPr>
            <w:r>
              <w:rPr>
                <w:rFonts w:ascii="Arial" w:cs="Arial" w:eastAsia="Arial" w:hAnsi="Arial"/>
                <w:sz w:val="13"/>
                <w:szCs w:val="13"/>
                <w:b w:val="1"/>
                <w:bCs w:val="1"/>
                <w:color w:val="auto"/>
                <w:w w:val="94"/>
              </w:rPr>
              <w:t>Value of</w:t>
            </w:r>
          </w:p>
        </w:tc>
        <w:tc>
          <w:tcPr>
            <w:tcW w:w="0" w:type="dxa"/>
            <w:vAlign w:val="bottom"/>
          </w:tcPr>
          <w:p>
            <w:pPr>
              <w:spacing w:after="0"/>
              <w:rPr>
                <w:sz w:val="1"/>
                <w:szCs w:val="1"/>
                <w:color w:val="auto"/>
              </w:rPr>
            </w:pPr>
          </w:p>
        </w:tc>
      </w:tr>
      <w:tr>
        <w:trPr>
          <w:trHeight w:val="121"/>
        </w:trPr>
        <w:tc>
          <w:tcPr>
            <w:tcW w:w="1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7"/>
              </w:rPr>
              <w:t>or Units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ind w:right="91"/>
              <w:spacing w:after="0" w:line="121" w:lineRule="exact"/>
              <w:rPr>
                <w:sz w:val="20"/>
                <w:szCs w:val="20"/>
                <w:color w:val="auto"/>
              </w:rPr>
            </w:pPr>
            <w:r>
              <w:rPr>
                <w:rFonts w:ascii="Arial" w:cs="Arial" w:eastAsia="Arial" w:hAnsi="Arial"/>
                <w:sz w:val="13"/>
                <w:szCs w:val="13"/>
                <w:b w:val="1"/>
                <w:bCs w:val="1"/>
                <w:color w:val="auto"/>
                <w:w w:val="95"/>
              </w:rPr>
              <w:t>Stock</w:t>
            </w:r>
          </w:p>
        </w:tc>
        <w:tc>
          <w:tcPr>
            <w:tcW w:w="0" w:type="dxa"/>
            <w:vAlign w:val="bottom"/>
          </w:tcPr>
          <w:p>
            <w:pPr>
              <w:spacing w:after="0"/>
              <w:rPr>
                <w:sz w:val="1"/>
                <w:szCs w:val="1"/>
                <w:color w:val="auto"/>
              </w:rPr>
            </w:pPr>
          </w:p>
        </w:tc>
      </w:tr>
      <w:tr>
        <w:trPr>
          <w:trHeight w:val="216"/>
        </w:trPr>
        <w:tc>
          <w:tcPr>
            <w:tcW w:w="130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Name</w:t>
            </w:r>
          </w:p>
        </w:tc>
        <w:tc>
          <w:tcPr>
            <w:tcW w:w="180" w:type="dxa"/>
            <w:vAlign w:val="bottom"/>
          </w:tcPr>
          <w:p>
            <w:pPr>
              <w:spacing w:after="0"/>
              <w:rPr>
                <w:sz w:val="18"/>
                <w:szCs w:val="18"/>
                <w:color w:val="auto"/>
              </w:rPr>
            </w:pPr>
          </w:p>
        </w:tc>
        <w:tc>
          <w:tcPr>
            <w:tcW w:w="64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rPr>
              <w:t>Date</w:t>
            </w:r>
          </w:p>
        </w:tc>
        <w:tc>
          <w:tcPr>
            <w:tcW w:w="200" w:type="dxa"/>
            <w:vAlign w:val="bottom"/>
          </w:tcPr>
          <w:p>
            <w:pPr>
              <w:spacing w:after="0"/>
              <w:rPr>
                <w:sz w:val="18"/>
                <w:szCs w:val="18"/>
                <w:color w:val="auto"/>
              </w:rPr>
            </w:pPr>
          </w:p>
        </w:tc>
        <w:tc>
          <w:tcPr>
            <w:tcW w:w="620" w:type="dxa"/>
            <w:vAlign w:val="bottom"/>
            <w:tcBorders>
              <w:bottom w:val="single" w:sz="8" w:color="auto"/>
            </w:tcBorders>
          </w:tcPr>
          <w:p>
            <w:pPr>
              <w:jc w:val="right"/>
              <w:ind w:right="110"/>
              <w:spacing w:after="0" w:line="21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(1)</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9"/>
              <w:spacing w:after="0" w:line="21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(1)</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9"/>
              <w:spacing w:after="0" w:line="21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(1)</w:t>
            </w:r>
          </w:p>
        </w:tc>
        <w:tc>
          <w:tcPr>
            <w:tcW w:w="180" w:type="dxa"/>
            <w:vAlign w:val="bottom"/>
          </w:tcPr>
          <w:p>
            <w:pPr>
              <w:spacing w:after="0"/>
              <w:rPr>
                <w:sz w:val="18"/>
                <w:szCs w:val="18"/>
                <w:color w:val="auto"/>
              </w:rPr>
            </w:pPr>
          </w:p>
        </w:tc>
        <w:tc>
          <w:tcPr>
            <w:tcW w:w="6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(2)</w:t>
            </w:r>
          </w:p>
        </w:tc>
        <w:tc>
          <w:tcPr>
            <w:tcW w:w="200" w:type="dxa"/>
            <w:vAlign w:val="bottom"/>
          </w:tcPr>
          <w:p>
            <w:pPr>
              <w:spacing w:after="0"/>
              <w:rPr>
                <w:sz w:val="18"/>
                <w:szCs w:val="18"/>
                <w:color w:val="auto"/>
              </w:rPr>
            </w:pPr>
          </w:p>
        </w:tc>
        <w:tc>
          <w:tcPr>
            <w:tcW w:w="5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(2)</w:t>
            </w:r>
          </w:p>
        </w:tc>
        <w:tc>
          <w:tcPr>
            <w:tcW w:w="200" w:type="dxa"/>
            <w:vAlign w:val="bottom"/>
          </w:tcPr>
          <w:p>
            <w:pPr>
              <w:spacing w:after="0"/>
              <w:rPr>
                <w:sz w:val="18"/>
                <w:szCs w:val="18"/>
                <w:color w:val="auto"/>
              </w:rPr>
            </w:pPr>
          </w:p>
        </w:tc>
        <w:tc>
          <w:tcPr>
            <w:tcW w:w="6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(2)</w:t>
            </w:r>
          </w:p>
        </w:tc>
        <w:tc>
          <w:tcPr>
            <w:tcW w:w="220" w:type="dxa"/>
            <w:vAlign w:val="bottom"/>
          </w:tcPr>
          <w:p>
            <w:pPr>
              <w:spacing w:after="0"/>
              <w:rPr>
                <w:sz w:val="18"/>
                <w:szCs w:val="18"/>
                <w:color w:val="auto"/>
              </w:rPr>
            </w:pPr>
          </w:p>
        </w:tc>
        <w:tc>
          <w:tcPr>
            <w:tcW w:w="6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3"/>
                <w:szCs w:val="13"/>
                <w:b w:val="1"/>
                <w:bCs w:val="1"/>
                <w:color w:val="auto"/>
                <w:w w:val="86"/>
              </w:rPr>
              <w:t>(#)</w:t>
            </w:r>
            <w:r>
              <w:rPr>
                <w:rFonts w:ascii="Arial" w:cs="Arial" w:eastAsia="Arial" w:hAnsi="Arial"/>
                <w:sz w:val="20"/>
                <w:szCs w:val="20"/>
                <w:b w:val="1"/>
                <w:bCs w:val="1"/>
                <w:color w:val="auto"/>
                <w:w w:val="86"/>
                <w:vertAlign w:val="superscript"/>
              </w:rPr>
              <w:t>(3)</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93"/>
              </w:rPr>
              <w:t>Awards</w:t>
            </w:r>
          </w:p>
        </w:tc>
        <w:tc>
          <w:tcPr>
            <w:tcW w:w="0" w:type="dxa"/>
            <w:vAlign w:val="bottom"/>
          </w:tcPr>
          <w:p>
            <w:pPr>
              <w:spacing w:after="0"/>
              <w:rPr>
                <w:sz w:val="1"/>
                <w:szCs w:val="1"/>
                <w:color w:val="auto"/>
              </w:rPr>
            </w:pPr>
          </w:p>
        </w:tc>
      </w:tr>
      <w:tr>
        <w:trPr>
          <w:trHeight w:val="215"/>
        </w:trPr>
        <w:tc>
          <w:tcPr>
            <w:tcW w:w="1300" w:type="dxa"/>
            <w:vAlign w:val="bottom"/>
          </w:tcPr>
          <w:p>
            <w:pPr>
              <w:ind w:left="20"/>
              <w:spacing w:after="0"/>
              <w:rPr>
                <w:sz w:val="20"/>
                <w:szCs w:val="20"/>
                <w:color w:val="auto"/>
              </w:rPr>
            </w:pPr>
            <w:r>
              <w:rPr>
                <w:rFonts w:ascii="Arial" w:cs="Arial" w:eastAsia="Arial" w:hAnsi="Arial"/>
                <w:sz w:val="14"/>
                <w:szCs w:val="14"/>
                <w:color w:val="auto"/>
              </w:rPr>
              <w:t>Thomas L. Deitrich</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20"/>
              <w:spacing w:after="0"/>
              <w:rPr>
                <w:sz w:val="20"/>
                <w:szCs w:val="20"/>
                <w:color w:val="auto"/>
              </w:rPr>
            </w:pPr>
            <w:r>
              <w:rPr>
                <w:rFonts w:ascii="Arial" w:cs="Arial" w:eastAsia="Arial" w:hAnsi="Arial"/>
                <w:sz w:val="14"/>
                <w:szCs w:val="14"/>
                <w:color w:val="auto"/>
                <w:w w:val="99"/>
              </w:rPr>
              <w:t>$1,037,500</w:t>
            </w:r>
          </w:p>
        </w:tc>
        <w:tc>
          <w:tcPr>
            <w:tcW w:w="18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color w:val="auto"/>
                <w:w w:val="99"/>
              </w:rPr>
              <w:t>$1,556,250</w:t>
            </w:r>
          </w:p>
        </w:tc>
        <w:tc>
          <w:tcPr>
            <w:tcW w:w="1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2/24/2022</w:t>
            </w:r>
          </w:p>
        </w:tc>
        <w:tc>
          <w:tcPr>
            <w:tcW w:w="20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center"/>
              <w:ind w:left="128"/>
              <w:spacing w:after="0"/>
              <w:rPr>
                <w:sz w:val="20"/>
                <w:szCs w:val="20"/>
                <w:color w:val="auto"/>
              </w:rPr>
            </w:pPr>
            <w:r>
              <w:rPr>
                <w:rFonts w:ascii="Arial" w:cs="Arial" w:eastAsia="Arial" w:hAnsi="Arial"/>
                <w:sz w:val="14"/>
                <w:szCs w:val="14"/>
                <w:color w:val="auto"/>
              </w:rPr>
              <w:t>27,803</w:t>
            </w:r>
          </w:p>
        </w:tc>
        <w:tc>
          <w:tcPr>
            <w:tcW w:w="1100" w:type="dxa"/>
            <w:vAlign w:val="bottom"/>
            <w:gridSpan w:val="3"/>
          </w:tcPr>
          <w:p>
            <w:pPr>
              <w:ind w:left="220"/>
              <w:spacing w:after="0"/>
              <w:rPr>
                <w:sz w:val="20"/>
                <w:szCs w:val="20"/>
                <w:color w:val="auto"/>
              </w:rPr>
            </w:pPr>
            <w:r>
              <w:rPr>
                <w:rFonts w:ascii="Arial" w:cs="Arial" w:eastAsia="Arial" w:hAnsi="Arial"/>
                <w:sz w:val="14"/>
                <w:szCs w:val="14"/>
                <w:color w:val="auto"/>
              </w:rPr>
              <w:t>$1,499,972</w:t>
            </w:r>
          </w:p>
        </w:tc>
        <w:tc>
          <w:tcPr>
            <w:tcW w:w="0" w:type="dxa"/>
            <w:vAlign w:val="bottom"/>
          </w:tcPr>
          <w:p>
            <w:pPr>
              <w:spacing w:after="0"/>
              <w:rPr>
                <w:sz w:val="1"/>
                <w:szCs w:val="1"/>
                <w:color w:val="auto"/>
              </w:rPr>
            </w:pPr>
          </w:p>
        </w:tc>
      </w:tr>
      <w:tr>
        <w:trPr>
          <w:trHeight w:val="371"/>
        </w:trPr>
        <w:tc>
          <w:tcPr>
            <w:tcW w:w="13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2/24/2022</w:t>
            </w:r>
          </w:p>
        </w:tc>
        <w:tc>
          <w:tcPr>
            <w:tcW w:w="20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color w:val="auto"/>
              </w:rPr>
              <w:t>17,377</w:t>
            </w:r>
          </w:p>
        </w:tc>
        <w:tc>
          <w:tcPr>
            <w:tcW w:w="20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rPr>
              <w:t>46,339</w:t>
            </w:r>
          </w:p>
        </w:tc>
        <w:tc>
          <w:tcPr>
            <w:tcW w:w="2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92,678</w:t>
            </w:r>
          </w:p>
        </w:tc>
        <w:tc>
          <w:tcPr>
            <w:tcW w:w="220" w:type="dxa"/>
            <w:vAlign w:val="bottom"/>
          </w:tcPr>
          <w:p>
            <w:pPr>
              <w:spacing w:after="0"/>
              <w:rPr>
                <w:sz w:val="24"/>
                <w:szCs w:val="24"/>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894,014</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264"/>
        </w:trPr>
        <w:tc>
          <w:tcPr>
            <w:tcW w:w="1300" w:type="dxa"/>
            <w:vAlign w:val="bottom"/>
          </w:tcPr>
          <w:p>
            <w:pPr>
              <w:ind w:left="20"/>
              <w:spacing w:after="0"/>
              <w:rPr>
                <w:sz w:val="20"/>
                <w:szCs w:val="20"/>
                <w:color w:val="auto"/>
              </w:rPr>
            </w:pPr>
            <w:r>
              <w:rPr>
                <w:rFonts w:ascii="Arial" w:cs="Arial" w:eastAsia="Arial" w:hAnsi="Arial"/>
                <w:sz w:val="14"/>
                <w:szCs w:val="14"/>
                <w:color w:val="auto"/>
              </w:rPr>
              <w:t>Joan S. Hooper</w:t>
            </w:r>
          </w:p>
        </w:tc>
        <w:tc>
          <w:tcPr>
            <w:tcW w:w="18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397,500</w:t>
            </w:r>
          </w:p>
        </w:tc>
        <w:tc>
          <w:tcPr>
            <w:tcW w:w="18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596,250</w:t>
            </w:r>
          </w:p>
        </w:tc>
        <w:tc>
          <w:tcPr>
            <w:tcW w:w="180" w:type="dxa"/>
            <w:vAlign w:val="bottom"/>
          </w:tcPr>
          <w:p>
            <w:pPr>
              <w:spacing w:after="0"/>
              <w:rPr>
                <w:sz w:val="22"/>
                <w:szCs w:val="22"/>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2/24/2022</w:t>
            </w:r>
          </w:p>
        </w:tc>
        <w:tc>
          <w:tcPr>
            <w:tcW w:w="20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center"/>
              <w:ind w:left="128"/>
              <w:spacing w:after="0"/>
              <w:rPr>
                <w:sz w:val="20"/>
                <w:szCs w:val="20"/>
                <w:color w:val="auto"/>
              </w:rPr>
            </w:pPr>
            <w:r>
              <w:rPr>
                <w:rFonts w:ascii="Arial" w:cs="Arial" w:eastAsia="Arial" w:hAnsi="Arial"/>
                <w:sz w:val="14"/>
                <w:szCs w:val="14"/>
                <w:color w:val="auto"/>
              </w:rPr>
              <w:t>13,902</w:t>
            </w:r>
          </w:p>
        </w:tc>
        <w:tc>
          <w:tcPr>
            <w:tcW w:w="3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1"/>
              <w:spacing w:after="0"/>
              <w:rPr>
                <w:sz w:val="20"/>
                <w:szCs w:val="20"/>
                <w:color w:val="auto"/>
              </w:rPr>
            </w:pPr>
            <w:r>
              <w:rPr>
                <w:rFonts w:ascii="Arial" w:cs="Arial" w:eastAsia="Arial" w:hAnsi="Arial"/>
                <w:sz w:val="14"/>
                <w:szCs w:val="14"/>
                <w:color w:val="auto"/>
              </w:rPr>
              <w:t>750,013</w:t>
            </w:r>
          </w:p>
        </w:tc>
        <w:tc>
          <w:tcPr>
            <w:tcW w:w="0" w:type="dxa"/>
            <w:vAlign w:val="bottom"/>
          </w:tcPr>
          <w:p>
            <w:pPr>
              <w:spacing w:after="0"/>
              <w:rPr>
                <w:sz w:val="1"/>
                <w:szCs w:val="1"/>
                <w:color w:val="auto"/>
              </w:rPr>
            </w:pPr>
          </w:p>
        </w:tc>
      </w:tr>
      <w:tr>
        <w:trPr>
          <w:trHeight w:val="371"/>
        </w:trPr>
        <w:tc>
          <w:tcPr>
            <w:tcW w:w="13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2/24/2022</w:t>
            </w:r>
          </w:p>
        </w:tc>
        <w:tc>
          <w:tcPr>
            <w:tcW w:w="20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5,213</w:t>
            </w:r>
          </w:p>
        </w:tc>
        <w:tc>
          <w:tcPr>
            <w:tcW w:w="20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rPr>
              <w:t>13,901</w:t>
            </w:r>
          </w:p>
        </w:tc>
        <w:tc>
          <w:tcPr>
            <w:tcW w:w="2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27,802</w:t>
            </w:r>
          </w:p>
        </w:tc>
        <w:tc>
          <w:tcPr>
            <w:tcW w:w="220" w:type="dxa"/>
            <w:vAlign w:val="bottom"/>
          </w:tcPr>
          <w:p>
            <w:pPr>
              <w:spacing w:after="0"/>
              <w:rPr>
                <w:sz w:val="24"/>
                <w:szCs w:val="24"/>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268,158</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264"/>
        </w:trPr>
        <w:tc>
          <w:tcPr>
            <w:tcW w:w="1300" w:type="dxa"/>
            <w:vAlign w:val="bottom"/>
          </w:tcPr>
          <w:p>
            <w:pPr>
              <w:ind w:left="20"/>
              <w:spacing w:after="0"/>
              <w:rPr>
                <w:sz w:val="20"/>
                <w:szCs w:val="20"/>
                <w:color w:val="auto"/>
              </w:rPr>
            </w:pPr>
            <w:r>
              <w:rPr>
                <w:rFonts w:ascii="Arial" w:cs="Arial" w:eastAsia="Arial" w:hAnsi="Arial"/>
                <w:sz w:val="14"/>
                <w:szCs w:val="14"/>
                <w:color w:val="auto"/>
              </w:rPr>
              <w:t>Michel C. Cadieux</w:t>
            </w:r>
          </w:p>
        </w:tc>
        <w:tc>
          <w:tcPr>
            <w:tcW w:w="18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307,500</w:t>
            </w:r>
          </w:p>
        </w:tc>
        <w:tc>
          <w:tcPr>
            <w:tcW w:w="18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461,250</w:t>
            </w:r>
          </w:p>
        </w:tc>
        <w:tc>
          <w:tcPr>
            <w:tcW w:w="180" w:type="dxa"/>
            <w:vAlign w:val="bottom"/>
          </w:tcPr>
          <w:p>
            <w:pPr>
              <w:spacing w:after="0"/>
              <w:rPr>
                <w:sz w:val="22"/>
                <w:szCs w:val="22"/>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2/24/2022</w:t>
            </w:r>
          </w:p>
        </w:tc>
        <w:tc>
          <w:tcPr>
            <w:tcW w:w="20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52"/>
              <w:spacing w:after="0"/>
              <w:rPr>
                <w:sz w:val="20"/>
                <w:szCs w:val="20"/>
                <w:color w:val="auto"/>
              </w:rPr>
            </w:pPr>
            <w:r>
              <w:rPr>
                <w:rFonts w:ascii="Arial" w:cs="Arial" w:eastAsia="Arial" w:hAnsi="Arial"/>
                <w:sz w:val="14"/>
                <w:szCs w:val="14"/>
                <w:color w:val="auto"/>
              </w:rPr>
              <w:t>7,414</w:t>
            </w:r>
          </w:p>
        </w:tc>
        <w:tc>
          <w:tcPr>
            <w:tcW w:w="3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1"/>
              <w:spacing w:after="0"/>
              <w:rPr>
                <w:sz w:val="20"/>
                <w:szCs w:val="20"/>
                <w:color w:val="auto"/>
              </w:rPr>
            </w:pPr>
            <w:r>
              <w:rPr>
                <w:rFonts w:ascii="Arial" w:cs="Arial" w:eastAsia="Arial" w:hAnsi="Arial"/>
                <w:sz w:val="14"/>
                <w:szCs w:val="14"/>
                <w:color w:val="auto"/>
              </w:rPr>
              <w:t>399,985</w:t>
            </w:r>
          </w:p>
        </w:tc>
        <w:tc>
          <w:tcPr>
            <w:tcW w:w="0" w:type="dxa"/>
            <w:vAlign w:val="bottom"/>
          </w:tcPr>
          <w:p>
            <w:pPr>
              <w:spacing w:after="0"/>
              <w:rPr>
                <w:sz w:val="1"/>
                <w:szCs w:val="1"/>
                <w:color w:val="auto"/>
              </w:rPr>
            </w:pPr>
          </w:p>
        </w:tc>
      </w:tr>
      <w:tr>
        <w:trPr>
          <w:trHeight w:val="371"/>
        </w:trPr>
        <w:tc>
          <w:tcPr>
            <w:tcW w:w="13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2/24/2022</w:t>
            </w:r>
          </w:p>
        </w:tc>
        <w:tc>
          <w:tcPr>
            <w:tcW w:w="20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2,780</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7,414</w:t>
            </w:r>
          </w:p>
        </w:tc>
        <w:tc>
          <w:tcPr>
            <w:tcW w:w="20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rPr>
              <w:t>14,828</w:t>
            </w:r>
          </w:p>
        </w:tc>
        <w:tc>
          <w:tcPr>
            <w:tcW w:w="220" w:type="dxa"/>
            <w:vAlign w:val="bottom"/>
          </w:tcPr>
          <w:p>
            <w:pPr>
              <w:spacing w:after="0"/>
              <w:rPr>
                <w:sz w:val="24"/>
                <w:szCs w:val="24"/>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143,022</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264"/>
        </w:trPr>
        <w:tc>
          <w:tcPr>
            <w:tcW w:w="1300" w:type="dxa"/>
            <w:vAlign w:val="bottom"/>
          </w:tcPr>
          <w:p>
            <w:pPr>
              <w:ind w:left="20"/>
              <w:spacing w:after="0"/>
              <w:rPr>
                <w:sz w:val="20"/>
                <w:szCs w:val="20"/>
                <w:color w:val="auto"/>
              </w:rPr>
            </w:pPr>
            <w:r>
              <w:rPr>
                <w:rFonts w:ascii="Arial" w:cs="Arial" w:eastAsia="Arial" w:hAnsi="Arial"/>
                <w:sz w:val="14"/>
                <w:szCs w:val="14"/>
                <w:color w:val="auto"/>
              </w:rPr>
              <w:t>Donald L. Reeves</w:t>
            </w:r>
          </w:p>
        </w:tc>
        <w:tc>
          <w:tcPr>
            <w:tcW w:w="18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297,500</w:t>
            </w:r>
          </w:p>
        </w:tc>
        <w:tc>
          <w:tcPr>
            <w:tcW w:w="18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446,250</w:t>
            </w:r>
          </w:p>
        </w:tc>
        <w:tc>
          <w:tcPr>
            <w:tcW w:w="180" w:type="dxa"/>
            <w:vAlign w:val="bottom"/>
          </w:tcPr>
          <w:p>
            <w:pPr>
              <w:spacing w:after="0"/>
              <w:rPr>
                <w:sz w:val="22"/>
                <w:szCs w:val="22"/>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2/24/2022</w:t>
            </w:r>
          </w:p>
        </w:tc>
        <w:tc>
          <w:tcPr>
            <w:tcW w:w="20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52"/>
              <w:spacing w:after="0"/>
              <w:rPr>
                <w:sz w:val="20"/>
                <w:szCs w:val="20"/>
                <w:color w:val="auto"/>
              </w:rPr>
            </w:pPr>
            <w:r>
              <w:rPr>
                <w:rFonts w:ascii="Arial" w:cs="Arial" w:eastAsia="Arial" w:hAnsi="Arial"/>
                <w:sz w:val="14"/>
                <w:szCs w:val="14"/>
                <w:color w:val="auto"/>
              </w:rPr>
              <w:t>4,171</w:t>
            </w:r>
          </w:p>
        </w:tc>
        <w:tc>
          <w:tcPr>
            <w:tcW w:w="3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1"/>
              <w:spacing w:after="0"/>
              <w:rPr>
                <w:sz w:val="20"/>
                <w:szCs w:val="20"/>
                <w:color w:val="auto"/>
              </w:rPr>
            </w:pPr>
            <w:r>
              <w:rPr>
                <w:rFonts w:ascii="Arial" w:cs="Arial" w:eastAsia="Arial" w:hAnsi="Arial"/>
                <w:sz w:val="14"/>
                <w:szCs w:val="14"/>
                <w:color w:val="auto"/>
              </w:rPr>
              <w:t>225,025</w:t>
            </w:r>
          </w:p>
        </w:tc>
        <w:tc>
          <w:tcPr>
            <w:tcW w:w="0" w:type="dxa"/>
            <w:vAlign w:val="bottom"/>
          </w:tcPr>
          <w:p>
            <w:pPr>
              <w:spacing w:after="0"/>
              <w:rPr>
                <w:sz w:val="1"/>
                <w:szCs w:val="1"/>
                <w:color w:val="auto"/>
              </w:rPr>
            </w:pPr>
          </w:p>
        </w:tc>
      </w:tr>
      <w:tr>
        <w:trPr>
          <w:trHeight w:val="371"/>
        </w:trPr>
        <w:tc>
          <w:tcPr>
            <w:tcW w:w="13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2/24/2022</w:t>
            </w:r>
          </w:p>
        </w:tc>
        <w:tc>
          <w:tcPr>
            <w:tcW w:w="20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1,564</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4,170</w:t>
            </w:r>
          </w:p>
        </w:tc>
        <w:tc>
          <w:tcPr>
            <w:tcW w:w="200" w:type="dxa"/>
            <w:vAlign w:val="bottom"/>
          </w:tcPr>
          <w:p>
            <w:pPr>
              <w:spacing w:after="0"/>
              <w:rPr>
                <w:sz w:val="24"/>
                <w:szCs w:val="24"/>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8,340</w:t>
            </w:r>
          </w:p>
        </w:tc>
        <w:tc>
          <w:tcPr>
            <w:tcW w:w="220" w:type="dxa"/>
            <w:vAlign w:val="bottom"/>
          </w:tcPr>
          <w:p>
            <w:pPr>
              <w:spacing w:after="0"/>
              <w:rPr>
                <w:sz w:val="24"/>
                <w:szCs w:val="24"/>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80,453</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264"/>
        </w:trPr>
        <w:tc>
          <w:tcPr>
            <w:tcW w:w="1300" w:type="dxa"/>
            <w:vAlign w:val="bottom"/>
          </w:tcPr>
          <w:p>
            <w:pPr>
              <w:ind w:left="20"/>
              <w:spacing w:after="0"/>
              <w:rPr>
                <w:sz w:val="20"/>
                <w:szCs w:val="20"/>
                <w:color w:val="auto"/>
              </w:rPr>
            </w:pPr>
            <w:r>
              <w:rPr>
                <w:rFonts w:ascii="Arial" w:cs="Arial" w:eastAsia="Arial" w:hAnsi="Arial"/>
                <w:sz w:val="14"/>
                <w:szCs w:val="14"/>
                <w:color w:val="auto"/>
              </w:rPr>
              <w:t>John F. Marcolini</w:t>
            </w:r>
          </w:p>
        </w:tc>
        <w:tc>
          <w:tcPr>
            <w:tcW w:w="18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269,500</w:t>
            </w:r>
          </w:p>
        </w:tc>
        <w:tc>
          <w:tcPr>
            <w:tcW w:w="18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404,250</w:t>
            </w:r>
          </w:p>
        </w:tc>
        <w:tc>
          <w:tcPr>
            <w:tcW w:w="180" w:type="dxa"/>
            <w:vAlign w:val="bottom"/>
          </w:tcPr>
          <w:p>
            <w:pPr>
              <w:spacing w:after="0"/>
              <w:rPr>
                <w:sz w:val="22"/>
                <w:szCs w:val="22"/>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2/24/2022</w:t>
            </w:r>
          </w:p>
        </w:tc>
        <w:tc>
          <w:tcPr>
            <w:tcW w:w="20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52"/>
              <w:spacing w:after="0"/>
              <w:rPr>
                <w:sz w:val="20"/>
                <w:szCs w:val="20"/>
                <w:color w:val="auto"/>
              </w:rPr>
            </w:pPr>
            <w:r>
              <w:rPr>
                <w:rFonts w:ascii="Arial" w:cs="Arial" w:eastAsia="Arial" w:hAnsi="Arial"/>
                <w:sz w:val="14"/>
                <w:szCs w:val="14"/>
                <w:color w:val="auto"/>
              </w:rPr>
              <w:t>4,171</w:t>
            </w:r>
          </w:p>
        </w:tc>
        <w:tc>
          <w:tcPr>
            <w:tcW w:w="3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1"/>
              <w:spacing w:after="0"/>
              <w:rPr>
                <w:sz w:val="20"/>
                <w:szCs w:val="20"/>
                <w:color w:val="auto"/>
              </w:rPr>
            </w:pPr>
            <w:r>
              <w:rPr>
                <w:rFonts w:ascii="Arial" w:cs="Arial" w:eastAsia="Arial" w:hAnsi="Arial"/>
                <w:sz w:val="14"/>
                <w:szCs w:val="14"/>
                <w:color w:val="auto"/>
              </w:rPr>
              <w:t>225,025</w:t>
            </w:r>
          </w:p>
        </w:tc>
        <w:tc>
          <w:tcPr>
            <w:tcW w:w="0" w:type="dxa"/>
            <w:vAlign w:val="bottom"/>
          </w:tcPr>
          <w:p>
            <w:pPr>
              <w:spacing w:after="0"/>
              <w:rPr>
                <w:sz w:val="1"/>
                <w:szCs w:val="1"/>
                <w:color w:val="auto"/>
              </w:rPr>
            </w:pPr>
          </w:p>
        </w:tc>
      </w:tr>
      <w:tr>
        <w:trPr>
          <w:trHeight w:val="371"/>
        </w:trPr>
        <w:tc>
          <w:tcPr>
            <w:tcW w:w="13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2/24/2022</w:t>
            </w:r>
          </w:p>
        </w:tc>
        <w:tc>
          <w:tcPr>
            <w:tcW w:w="20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1,564</w:t>
            </w: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4,170</w:t>
            </w:r>
          </w:p>
        </w:tc>
        <w:tc>
          <w:tcPr>
            <w:tcW w:w="200" w:type="dxa"/>
            <w:vAlign w:val="bottom"/>
          </w:tcPr>
          <w:p>
            <w:pPr>
              <w:spacing w:after="0"/>
              <w:rPr>
                <w:sz w:val="24"/>
                <w:szCs w:val="24"/>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8,340</w:t>
            </w:r>
          </w:p>
        </w:tc>
        <w:tc>
          <w:tcPr>
            <w:tcW w:w="220" w:type="dxa"/>
            <w:vAlign w:val="bottom"/>
          </w:tcPr>
          <w:p>
            <w:pPr>
              <w:spacing w:after="0"/>
              <w:rPr>
                <w:sz w:val="24"/>
                <w:szCs w:val="24"/>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3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80,453</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60960</wp:posOffset>
            </wp:positionV>
            <wp:extent cx="8229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9" w:lineRule="exact"/>
        <w:rPr>
          <w:sz w:val="20"/>
          <w:szCs w:val="20"/>
          <w:color w:val="auto"/>
        </w:rPr>
      </w:pPr>
    </w:p>
    <w:p>
      <w:pPr>
        <w:jc w:val="both"/>
        <w:ind w:left="1260" w:right="1420" w:hanging="346"/>
        <w:spacing w:after="0" w:line="285" w:lineRule="auto"/>
        <w:tabs>
          <w:tab w:leader="none" w:pos="12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threshold, target, and maximum opportunity under the Company's annual incentive program for fiscal 2022. Our annual incentive program is discussed under the caption “</w:t>
      </w:r>
      <w:r>
        <w:rPr>
          <w:rFonts w:ascii="Arial" w:cs="Arial" w:eastAsia="Arial" w:hAnsi="Arial"/>
          <w:sz w:val="14"/>
          <w:szCs w:val="14"/>
          <w:i w:val="1"/>
          <w:iCs w:val="1"/>
          <w:color w:val="auto"/>
        </w:rPr>
        <w:t>Annual Cash Incentives — The Itron Incentive Plan (IIP)</w:t>
      </w:r>
      <w:r>
        <w:rPr>
          <w:rFonts w:ascii="Arial" w:cs="Arial" w:eastAsia="Arial" w:hAnsi="Arial"/>
          <w:sz w:val="14"/>
          <w:szCs w:val="14"/>
          <w:color w:val="auto"/>
        </w:rPr>
        <w:t>” in this proxy statement.</w:t>
      </w:r>
    </w:p>
    <w:p>
      <w:pPr>
        <w:spacing w:after="0" w:line="9" w:lineRule="exact"/>
        <w:rPr>
          <w:rFonts w:ascii="Arial" w:cs="Arial" w:eastAsia="Arial" w:hAnsi="Arial"/>
          <w:sz w:val="14"/>
          <w:szCs w:val="14"/>
          <w:color w:val="auto"/>
        </w:rPr>
      </w:pPr>
    </w:p>
    <w:p>
      <w:pPr>
        <w:ind w:left="1260" w:right="1180" w:hanging="346"/>
        <w:spacing w:after="0" w:line="263" w:lineRule="auto"/>
        <w:tabs>
          <w:tab w:leader="none" w:pos="12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range of possible PRSU payouts for the three-year performance cycle beginning in 2022; earned PRSU awards are paid in Itron common stock. Our PRSUs are discussed under the caption “</w:t>
      </w:r>
      <w:r>
        <w:rPr>
          <w:rFonts w:ascii="Arial" w:cs="Arial" w:eastAsia="Arial" w:hAnsi="Arial"/>
          <w:sz w:val="14"/>
          <w:szCs w:val="14"/>
          <w:i w:val="1"/>
          <w:iCs w:val="1"/>
          <w:color w:val="auto"/>
        </w:rPr>
        <w:t>Long-Term Incentives – A Closer Look at PRSUs</w:t>
      </w:r>
      <w:r>
        <w:rPr>
          <w:rFonts w:ascii="Arial" w:cs="Arial" w:eastAsia="Arial" w:hAnsi="Arial"/>
          <w:sz w:val="14"/>
          <w:szCs w:val="14"/>
          <w:color w:val="auto"/>
        </w:rPr>
        <w:t>” in this proxy statement.</w:t>
      </w:r>
    </w:p>
    <w:p>
      <w:pPr>
        <w:spacing w:after="0" w:line="37" w:lineRule="exact"/>
        <w:rPr>
          <w:rFonts w:ascii="Arial" w:cs="Arial" w:eastAsia="Arial" w:hAnsi="Arial"/>
          <w:sz w:val="14"/>
          <w:szCs w:val="14"/>
          <w:color w:val="auto"/>
        </w:rPr>
      </w:pPr>
    </w:p>
    <w:p>
      <w:pPr>
        <w:ind w:left="1260" w:hanging="346"/>
        <w:spacing w:after="0"/>
        <w:tabs>
          <w:tab w:leader="none" w:pos="12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Amounts shown in this column reflect the number of RSUs granted under our 2010 SIP.</w:t>
      </w:r>
    </w:p>
    <w:p>
      <w:pPr>
        <w:spacing w:after="0" w:line="68" w:lineRule="exact"/>
        <w:rPr>
          <w:rFonts w:ascii="Arial" w:cs="Arial" w:eastAsia="Arial" w:hAnsi="Arial"/>
          <w:sz w:val="14"/>
          <w:szCs w:val="14"/>
          <w:color w:val="auto"/>
        </w:rPr>
      </w:pPr>
    </w:p>
    <w:p>
      <w:pPr>
        <w:ind w:left="1260" w:right="1000" w:hanging="346"/>
        <w:spacing w:after="0" w:line="256" w:lineRule="auto"/>
        <w:tabs>
          <w:tab w:leader="none" w:pos="12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Amounts shown are based on target performance achievement for the 2022 portion of the three-year performance cycle of PRSUs. As required under FASB ASC Topic 718, includes the value of the award contingent upon the Company's financial performance and the grant date fair value for the TSR multiplier for the 2022 portion of the award. See footnote 2 of the Summary Compensation Table in this proxy statement for further details.</w:t>
      </w:r>
    </w:p>
    <w:p>
      <w:pPr>
        <w:spacing w:after="0" w:line="127" w:lineRule="exact"/>
        <w:rPr>
          <w:sz w:val="20"/>
          <w:szCs w:val="20"/>
          <w:color w:val="auto"/>
        </w:rPr>
      </w:pPr>
    </w:p>
    <w:p>
      <w:pPr>
        <w:ind w:left="920" w:right="980"/>
        <w:spacing w:after="0" w:line="244" w:lineRule="auto"/>
        <w:rPr>
          <w:sz w:val="20"/>
          <w:szCs w:val="20"/>
          <w:color w:val="auto"/>
        </w:rPr>
      </w:pPr>
      <w:r>
        <w:rPr>
          <w:rFonts w:ascii="Arial" w:cs="Arial" w:eastAsia="Arial" w:hAnsi="Arial"/>
          <w:sz w:val="18"/>
          <w:szCs w:val="18"/>
          <w:color w:val="auto"/>
        </w:rPr>
        <w:t>The non-equity incentive awards included in this table and also set forth in the Summary Compensation Table represent the annual incentive component of our NEO’s compensation. These potential payout awards are paid in cash as a percentage of each of the NEO’s salary, based upon achievement of certain pre-determined financial performance criteria and strategic objectives. For more details, refer to the “</w:t>
      </w:r>
      <w:r>
        <w:rPr>
          <w:rFonts w:ascii="Arial" w:cs="Arial" w:eastAsia="Arial" w:hAnsi="Arial"/>
          <w:sz w:val="18"/>
          <w:szCs w:val="18"/>
          <w:i w:val="1"/>
          <w:iCs w:val="1"/>
          <w:color w:val="auto"/>
        </w:rPr>
        <w:t>EXECUTIVE COMPENSATION —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2022 Executive Compensation Program in Detail” </w:t>
      </w:r>
      <w:r>
        <w:rPr>
          <w:rFonts w:ascii="Arial" w:cs="Arial" w:eastAsia="Arial" w:hAnsi="Arial"/>
          <w:sz w:val="18"/>
          <w:szCs w:val="18"/>
          <w:color w:val="auto"/>
        </w:rPr>
        <w:t>section of the CD&amp;A.</w:t>
      </w:r>
    </w:p>
    <w:p>
      <w:pPr>
        <w:spacing w:after="0" w:line="149" w:lineRule="exact"/>
        <w:rPr>
          <w:sz w:val="20"/>
          <w:szCs w:val="20"/>
          <w:color w:val="auto"/>
        </w:rPr>
      </w:pPr>
    </w:p>
    <w:p>
      <w:pPr>
        <w:ind w:left="920" w:right="1000"/>
        <w:spacing w:after="0" w:line="253" w:lineRule="auto"/>
        <w:rPr>
          <w:sz w:val="20"/>
          <w:szCs w:val="20"/>
          <w:color w:val="auto"/>
        </w:rPr>
      </w:pPr>
      <w:r>
        <w:rPr>
          <w:rFonts w:ascii="Arial" w:cs="Arial" w:eastAsia="Arial" w:hAnsi="Arial"/>
          <w:sz w:val="18"/>
          <w:szCs w:val="18"/>
          <w:color w:val="auto"/>
        </w:rPr>
        <w:t xml:space="preserve">The equity incentive plan awards included in this table represent PRSUs granted in 2022 for the 2022-2024 performance period, which were issued under the 2010 SIP. For further details on these awards, see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 The 2022 Executive Compensation Program in Detail” </w:t>
      </w:r>
      <w:r>
        <w:rPr>
          <w:rFonts w:ascii="Arial" w:cs="Arial" w:eastAsia="Arial" w:hAnsi="Arial"/>
          <w:sz w:val="18"/>
          <w:szCs w:val="18"/>
          <w:color w:val="auto"/>
        </w:rPr>
        <w:t>in the CD&amp;A.</w:t>
      </w:r>
    </w:p>
    <w:p>
      <w:pPr>
        <w:spacing w:after="0" w:line="128" w:lineRule="exact"/>
        <w:rPr>
          <w:sz w:val="20"/>
          <w:szCs w:val="20"/>
          <w:color w:val="auto"/>
        </w:rPr>
      </w:pPr>
    </w:p>
    <w:p>
      <w:pPr>
        <w:ind w:left="920" w:right="1320"/>
        <w:spacing w:after="0" w:line="253" w:lineRule="auto"/>
        <w:rPr>
          <w:sz w:val="20"/>
          <w:szCs w:val="20"/>
          <w:color w:val="auto"/>
        </w:rPr>
      </w:pPr>
      <w:r>
        <w:rPr>
          <w:rFonts w:ascii="Arial" w:cs="Arial" w:eastAsia="Arial" w:hAnsi="Arial"/>
          <w:sz w:val="18"/>
          <w:szCs w:val="18"/>
          <w:color w:val="auto"/>
        </w:rPr>
        <w:t xml:space="preserve">The amounts included in the “All Other Stock Awards” column represent time-vested RSUs, which were issued under the 2010 SIP. For further details on these awards, </w:t>
      </w:r>
      <w:r>
        <w:rPr>
          <w:rFonts w:ascii="Arial" w:cs="Arial" w:eastAsia="Arial" w:hAnsi="Arial"/>
          <w:sz w:val="18"/>
          <w:szCs w:val="18"/>
          <w:i w:val="1"/>
          <w:iCs w:val="1"/>
          <w:color w:val="auto"/>
        </w:rPr>
        <w:t>see “EXECUTIVE COMPENSATION — The 2022</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Executive Compensation Program in Detail” </w:t>
      </w:r>
      <w:r>
        <w:rPr>
          <w:rFonts w:ascii="Arial" w:cs="Arial" w:eastAsia="Arial" w:hAnsi="Arial"/>
          <w:sz w:val="18"/>
          <w:szCs w:val="18"/>
          <w:color w:val="auto"/>
        </w:rPr>
        <w:t>in the CD&amp;A.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-40-</w:t>
            </w:r>
          </w:p>
        </w:tc>
      </w:tr>
      <w:tr>
        <w:trPr>
          <w:trHeight w:val="219"/>
        </w:trPr>
        <w:tc>
          <w:tcPr>
            <w:tcW w:w="316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44" w:name="page45"/>
    <w:bookmarkEnd w:id="44"/>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2022 Outstanding Equity Awards at Fiscal Year-End Table</w:t>
      </w:r>
    </w:p>
    <w:p>
      <w:pPr>
        <w:spacing w:after="0" w:line="185" w:lineRule="exact"/>
        <w:rPr>
          <w:sz w:val="20"/>
          <w:szCs w:val="20"/>
          <w:color w:val="auto"/>
        </w:rPr>
      </w:pPr>
    </w:p>
    <w:p>
      <w:pPr>
        <w:ind w:left="6" w:right="1040"/>
        <w:spacing w:after="0" w:line="271" w:lineRule="auto"/>
        <w:rPr>
          <w:sz w:val="20"/>
          <w:szCs w:val="20"/>
          <w:color w:val="auto"/>
        </w:rPr>
      </w:pPr>
      <w:r>
        <w:rPr>
          <w:rFonts w:ascii="Arial" w:cs="Arial" w:eastAsia="Arial" w:hAnsi="Arial"/>
          <w:sz w:val="18"/>
          <w:szCs w:val="18"/>
          <w:color w:val="auto"/>
        </w:rPr>
        <w:t>The following table provides information regarding outstanding equity awards held by each NEO as of December 31, 2022.</w:t>
      </w:r>
    </w:p>
    <w:p>
      <w:pPr>
        <w:spacing w:after="0" w:line="60" w:lineRule="exact"/>
        <w:rPr>
          <w:sz w:val="20"/>
          <w:szCs w:val="20"/>
          <w:color w:val="auto"/>
        </w:rPr>
      </w:pPr>
    </w:p>
    <w:p>
      <w:pPr>
        <w:jc w:val="center"/>
        <w:ind w:right="-65"/>
        <w:spacing w:after="0"/>
        <w:rPr>
          <w:sz w:val="20"/>
          <w:szCs w:val="20"/>
          <w:color w:val="auto"/>
        </w:rPr>
      </w:pPr>
      <w:r>
        <w:rPr>
          <w:rFonts w:ascii="Arial" w:cs="Arial" w:eastAsia="Arial" w:hAnsi="Arial"/>
          <w:sz w:val="13"/>
          <w:szCs w:val="13"/>
          <w:b w:val="1"/>
          <w:bCs w:val="1"/>
          <w:color w:val="auto"/>
        </w:rPr>
        <w:t>ITRON,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19050</wp:posOffset>
            </wp:positionV>
            <wp:extent cx="575183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33" w:lineRule="exact"/>
        <w:rPr>
          <w:sz w:val="20"/>
          <w:szCs w:val="20"/>
          <w:color w:val="auto"/>
        </w:rPr>
      </w:pPr>
    </w:p>
    <w:p>
      <w:pPr>
        <w:jc w:val="center"/>
        <w:ind w:right="-65"/>
        <w:spacing w:after="0"/>
        <w:rPr>
          <w:sz w:val="20"/>
          <w:szCs w:val="20"/>
          <w:color w:val="auto"/>
        </w:rPr>
      </w:pPr>
      <w:r>
        <w:rPr>
          <w:rFonts w:ascii="Arial" w:cs="Arial" w:eastAsia="Arial" w:hAnsi="Arial"/>
          <w:sz w:val="13"/>
          <w:szCs w:val="13"/>
          <w:b w:val="1"/>
          <w:bCs w:val="1"/>
          <w:color w:val="auto"/>
        </w:rPr>
        <w:t>Outstanding Equity Awards At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19050</wp:posOffset>
            </wp:positionV>
            <wp:extent cx="57518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33" w:lineRule="exact"/>
        <w:rPr>
          <w:sz w:val="20"/>
          <w:szCs w:val="20"/>
          <w:color w:val="auto"/>
        </w:rPr>
      </w:pPr>
    </w:p>
    <w:tbl>
      <w:tblPr>
        <w:tblLayout w:type="fixed"/>
        <w:tblInd w:w="46" w:type="dxa"/>
        <w:tblCellMar>
          <w:top w:w="0" w:type="dxa"/>
          <w:left w:w="0" w:type="dxa"/>
          <w:bottom w:w="0" w:type="dxa"/>
          <w:right w:w="0" w:type="dxa"/>
        </w:tblCellMar>
      </w:tblPr>
      <w:tr>
        <w:trPr>
          <w:trHeight w:val="176"/>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ind w:left="320"/>
              <w:spacing w:after="0"/>
              <w:rPr>
                <w:sz w:val="20"/>
                <w:szCs w:val="20"/>
                <w:color w:val="auto"/>
              </w:rPr>
            </w:pPr>
            <w:r>
              <w:rPr>
                <w:rFonts w:ascii="Arial" w:cs="Arial" w:eastAsia="Arial" w:hAnsi="Arial"/>
                <w:sz w:val="13"/>
                <w:szCs w:val="13"/>
                <w:b w:val="1"/>
                <w:bCs w:val="1"/>
                <w:color w:val="auto"/>
              </w:rPr>
              <w:t>Option Awards</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ind w:left="580"/>
              <w:spacing w:after="0"/>
              <w:rPr>
                <w:sz w:val="20"/>
                <w:szCs w:val="20"/>
                <w:color w:val="auto"/>
              </w:rPr>
            </w:pPr>
            <w:r>
              <w:rPr>
                <w:rFonts w:ascii="Arial" w:cs="Arial" w:eastAsia="Arial" w:hAnsi="Arial"/>
                <w:sz w:val="13"/>
                <w:szCs w:val="13"/>
                <w:b w:val="1"/>
                <w:bCs w:val="1"/>
                <w:color w:val="auto"/>
              </w:rPr>
              <w:t>Stock Awards</w:t>
            </w: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8"/>
              </w:rPr>
              <w:t>Equity Incentive</w:t>
            </w: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8"/>
              </w:rPr>
              <w:t>Equity Incentive</w:t>
            </w:r>
          </w:p>
        </w:tc>
        <w:tc>
          <w:tcPr>
            <w:tcW w:w="0" w:type="dxa"/>
            <w:vAlign w:val="bottom"/>
          </w:tcPr>
          <w:p>
            <w:pPr>
              <w:spacing w:after="0"/>
              <w:rPr>
                <w:sz w:val="1"/>
                <w:szCs w:val="1"/>
                <w:color w:val="auto"/>
              </w:rPr>
            </w:pPr>
          </w:p>
        </w:tc>
      </w:tr>
      <w:tr>
        <w:trPr>
          <w:trHeight w:val="135"/>
        </w:trPr>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5"/>
              </w:rPr>
              <w:t>Number of</w:t>
            </w: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8"/>
              </w:rPr>
              <w:t>Number of</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5"/>
              </w:rPr>
              <w:t>Number of</w:t>
            </w:r>
          </w:p>
        </w:tc>
        <w:tc>
          <w:tcPr>
            <w:tcW w:w="86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7"/>
              </w:rPr>
              <w:t>Market Value</w:t>
            </w:r>
          </w:p>
        </w:tc>
        <w:tc>
          <w:tcPr>
            <w:tcW w:w="10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7"/>
              </w:rPr>
              <w:t>Plan Awards:</w:t>
            </w: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Plan Awards:</w:t>
            </w:r>
          </w:p>
        </w:tc>
        <w:tc>
          <w:tcPr>
            <w:tcW w:w="0" w:type="dxa"/>
            <w:vAlign w:val="bottom"/>
          </w:tcPr>
          <w:p>
            <w:pPr>
              <w:spacing w:after="0"/>
              <w:rPr>
                <w:sz w:val="1"/>
                <w:szCs w:val="1"/>
                <w:color w:val="auto"/>
              </w:rPr>
            </w:pPr>
          </w:p>
        </w:tc>
      </w:tr>
      <w:tr>
        <w:trPr>
          <w:trHeight w:val="135"/>
        </w:trPr>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Number of</w:t>
            </w: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Market or Payout</w:t>
            </w:r>
          </w:p>
        </w:tc>
        <w:tc>
          <w:tcPr>
            <w:tcW w:w="0" w:type="dxa"/>
            <w:vAlign w:val="bottom"/>
          </w:tcPr>
          <w:p>
            <w:pPr>
              <w:spacing w:after="0"/>
              <w:rPr>
                <w:sz w:val="1"/>
                <w:szCs w:val="1"/>
                <w:color w:val="auto"/>
              </w:rPr>
            </w:pPr>
          </w:p>
        </w:tc>
      </w:tr>
      <w:tr>
        <w:trPr>
          <w:trHeight w:val="135"/>
        </w:trPr>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Securities</w:t>
            </w:r>
          </w:p>
        </w:tc>
        <w:tc>
          <w:tcPr>
            <w:tcW w:w="11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Securities</w:t>
            </w:r>
          </w:p>
        </w:tc>
        <w:tc>
          <w:tcPr>
            <w:tcW w:w="5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Option</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Shares or</w:t>
            </w:r>
          </w:p>
        </w:tc>
        <w:tc>
          <w:tcPr>
            <w:tcW w:w="86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of Shares or</w:t>
            </w:r>
          </w:p>
        </w:tc>
        <w:tc>
          <w:tcPr>
            <w:tcW w:w="10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Unearned</w:t>
            </w:r>
          </w:p>
        </w:tc>
        <w:tc>
          <w:tcPr>
            <w:tcW w:w="11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6"/>
              </w:rPr>
              <w:t>Value of Unearned</w:t>
            </w:r>
          </w:p>
        </w:tc>
        <w:tc>
          <w:tcPr>
            <w:tcW w:w="0" w:type="dxa"/>
            <w:vAlign w:val="bottom"/>
          </w:tcPr>
          <w:p>
            <w:pPr>
              <w:spacing w:after="0"/>
              <w:rPr>
                <w:sz w:val="1"/>
                <w:szCs w:val="1"/>
                <w:color w:val="auto"/>
              </w:rPr>
            </w:pPr>
          </w:p>
        </w:tc>
      </w:tr>
      <w:tr>
        <w:trPr>
          <w:trHeight w:val="135"/>
        </w:trPr>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Underlying</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Underlying</w:t>
            </w: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rPr>
              <w:t>Option</w:t>
            </w:r>
          </w:p>
        </w:tc>
        <w:tc>
          <w:tcPr>
            <w:tcW w:w="7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4"/>
              </w:rPr>
              <w:t>Units of</w:t>
            </w:r>
          </w:p>
        </w:tc>
        <w:tc>
          <w:tcPr>
            <w:tcW w:w="140" w:type="dxa"/>
            <w:vAlign w:val="bottom"/>
          </w:tcPr>
          <w:p>
            <w:pPr>
              <w:spacing w:after="0"/>
              <w:rPr>
                <w:sz w:val="11"/>
                <w:szCs w:val="11"/>
                <w:color w:val="auto"/>
              </w:rPr>
            </w:pPr>
          </w:p>
        </w:tc>
        <w:tc>
          <w:tcPr>
            <w:tcW w:w="7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4"/>
              </w:rPr>
              <w:t>Units of</w:t>
            </w:r>
          </w:p>
        </w:tc>
        <w:tc>
          <w:tcPr>
            <w:tcW w:w="10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8"/>
              </w:rPr>
              <w:t>Shares, Units</w:t>
            </w: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Shares, Units</w:t>
            </w:r>
          </w:p>
        </w:tc>
        <w:tc>
          <w:tcPr>
            <w:tcW w:w="0" w:type="dxa"/>
            <w:vAlign w:val="bottom"/>
          </w:tcPr>
          <w:p>
            <w:pPr>
              <w:spacing w:after="0"/>
              <w:rPr>
                <w:sz w:val="1"/>
                <w:szCs w:val="1"/>
                <w:color w:val="auto"/>
              </w:rPr>
            </w:pPr>
          </w:p>
        </w:tc>
      </w:tr>
      <w:tr>
        <w:trPr>
          <w:trHeight w:val="135"/>
        </w:trPr>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Unexercised</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Unexercised</w:t>
            </w:r>
          </w:p>
        </w:tc>
        <w:tc>
          <w:tcPr>
            <w:tcW w:w="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Exercise</w:t>
            </w: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Stock That</w:t>
            </w:r>
          </w:p>
        </w:tc>
        <w:tc>
          <w:tcPr>
            <w:tcW w:w="8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Stock That</w:t>
            </w:r>
          </w:p>
        </w:tc>
        <w:tc>
          <w:tcPr>
            <w:tcW w:w="10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or Other Rights</w:t>
            </w: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8"/>
              </w:rPr>
              <w:t>or Other Rights</w:t>
            </w:r>
          </w:p>
        </w:tc>
        <w:tc>
          <w:tcPr>
            <w:tcW w:w="0" w:type="dxa"/>
            <w:vAlign w:val="bottom"/>
          </w:tcPr>
          <w:p>
            <w:pPr>
              <w:spacing w:after="0"/>
              <w:rPr>
                <w:sz w:val="1"/>
                <w:szCs w:val="1"/>
                <w:color w:val="auto"/>
              </w:rPr>
            </w:pPr>
          </w:p>
        </w:tc>
      </w:tr>
      <w:tr>
        <w:trPr>
          <w:trHeight w:val="135"/>
        </w:trPr>
        <w:tc>
          <w:tcPr>
            <w:tcW w:w="1100" w:type="dxa"/>
            <w:vAlign w:val="bottom"/>
            <w:vMerge w:val="restart"/>
          </w:tcPr>
          <w:p>
            <w:pPr>
              <w:ind w:left="380"/>
              <w:spacing w:after="0"/>
              <w:rPr>
                <w:sz w:val="20"/>
                <w:szCs w:val="20"/>
                <w:color w:val="auto"/>
              </w:rPr>
            </w:pPr>
            <w:r>
              <w:rPr>
                <w:rFonts w:ascii="Arial" w:cs="Arial" w:eastAsia="Arial" w:hAnsi="Arial"/>
                <w:sz w:val="13"/>
                <w:szCs w:val="13"/>
                <w:b w:val="1"/>
                <w:bCs w:val="1"/>
                <w:color w:val="auto"/>
              </w:rPr>
              <w:t>Name</w:t>
            </w:r>
          </w:p>
        </w:tc>
        <w:tc>
          <w:tcPr>
            <w:tcW w:w="80" w:type="dxa"/>
            <w:vAlign w:val="bottom"/>
            <w:vMerge w:val="restart"/>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3"/>
              </w:rPr>
              <w:t>Grant Date</w:t>
            </w:r>
          </w:p>
        </w:tc>
        <w:tc>
          <w:tcPr>
            <w:tcW w:w="80" w:type="dxa"/>
            <w:vAlign w:val="bottom"/>
            <w:vMerge w:val="restart"/>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Options (#)</w:t>
            </w:r>
          </w:p>
        </w:tc>
        <w:tc>
          <w:tcPr>
            <w:tcW w:w="11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Options (#)</w:t>
            </w:r>
          </w:p>
        </w:tc>
        <w:tc>
          <w:tcPr>
            <w:tcW w:w="5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Price</w:t>
            </w:r>
          </w:p>
        </w:tc>
        <w:tc>
          <w:tcPr>
            <w:tcW w:w="100" w:type="dxa"/>
            <w:vAlign w:val="bottom"/>
          </w:tcPr>
          <w:p>
            <w:pPr>
              <w:spacing w:after="0"/>
              <w:rPr>
                <w:sz w:val="11"/>
                <w:szCs w:val="11"/>
                <w:color w:val="auto"/>
              </w:rPr>
            </w:pPr>
          </w:p>
        </w:tc>
        <w:tc>
          <w:tcPr>
            <w:tcW w:w="7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Expiration</w:t>
            </w: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Have Not</w:t>
            </w:r>
          </w:p>
        </w:tc>
        <w:tc>
          <w:tcPr>
            <w:tcW w:w="86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Have Not</w:t>
            </w:r>
          </w:p>
        </w:tc>
        <w:tc>
          <w:tcPr>
            <w:tcW w:w="10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8"/>
              </w:rPr>
              <w:t>That Have Not</w:t>
            </w: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That Have Not</w:t>
            </w:r>
          </w:p>
        </w:tc>
        <w:tc>
          <w:tcPr>
            <w:tcW w:w="0" w:type="dxa"/>
            <w:vAlign w:val="bottom"/>
          </w:tcPr>
          <w:p>
            <w:pPr>
              <w:spacing w:after="0"/>
              <w:rPr>
                <w:sz w:val="1"/>
                <w:szCs w:val="1"/>
                <w:color w:val="auto"/>
              </w:rPr>
            </w:pPr>
          </w:p>
        </w:tc>
      </w:tr>
      <w:tr>
        <w:trPr>
          <w:trHeight w:val="189"/>
        </w:trPr>
        <w:tc>
          <w:tcPr>
            <w:tcW w:w="11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Exercisable</w:t>
            </w:r>
          </w:p>
        </w:tc>
        <w:tc>
          <w:tcPr>
            <w:tcW w:w="80" w:type="dxa"/>
            <w:vAlign w:val="bottom"/>
          </w:tcPr>
          <w:p>
            <w:pPr>
              <w:spacing w:after="0"/>
              <w:rPr>
                <w:sz w:val="16"/>
                <w:szCs w:val="16"/>
                <w:color w:val="auto"/>
              </w:rPr>
            </w:pPr>
          </w:p>
        </w:tc>
        <w:tc>
          <w:tcPr>
            <w:tcW w:w="10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4"/>
              </w:rPr>
              <w:t xml:space="preserve">Unexercisable </w:t>
            </w:r>
            <w:r>
              <w:rPr>
                <w:rFonts w:ascii="Arial" w:cs="Arial" w:eastAsia="Arial" w:hAnsi="Arial"/>
                <w:sz w:val="20"/>
                <w:szCs w:val="20"/>
                <w:b w:val="1"/>
                <w:bCs w:val="1"/>
                <w:color w:val="auto"/>
                <w:w w:val="94"/>
                <w:vertAlign w:val="superscript"/>
              </w:rPr>
              <w:t>(1)</w:t>
            </w:r>
          </w:p>
        </w:tc>
        <w:tc>
          <w:tcPr>
            <w:tcW w:w="80" w:type="dxa"/>
            <w:vAlign w:val="bottom"/>
          </w:tcPr>
          <w:p>
            <w:pPr>
              <w:spacing w:after="0"/>
              <w:rPr>
                <w:sz w:val="16"/>
                <w:szCs w:val="16"/>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00" w:type="dxa"/>
            <w:vAlign w:val="bottom"/>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80" w:type="dxa"/>
            <w:vAlign w:val="bottom"/>
          </w:tcPr>
          <w:p>
            <w:pPr>
              <w:spacing w:after="0"/>
              <w:rPr>
                <w:sz w:val="16"/>
                <w:szCs w:val="16"/>
                <w:color w:val="auto"/>
              </w:rPr>
            </w:pPr>
          </w:p>
        </w:tc>
        <w:tc>
          <w:tcPr>
            <w:tcW w:w="7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3"/>
              </w:rPr>
              <w:t>Vested(#)</w:t>
            </w:r>
            <w:r>
              <w:rPr>
                <w:rFonts w:ascii="Arial" w:cs="Arial" w:eastAsia="Arial" w:hAnsi="Arial"/>
                <w:sz w:val="20"/>
                <w:szCs w:val="20"/>
                <w:b w:val="1"/>
                <w:bCs w:val="1"/>
                <w:color w:val="auto"/>
                <w:w w:val="93"/>
                <w:vertAlign w:val="superscript"/>
              </w:rPr>
              <w:t>(2)</w:t>
            </w:r>
          </w:p>
        </w:tc>
        <w:tc>
          <w:tcPr>
            <w:tcW w:w="80" w:type="dxa"/>
            <w:vAlign w:val="bottom"/>
          </w:tcPr>
          <w:p>
            <w:pPr>
              <w:spacing w:after="0"/>
              <w:rPr>
                <w:sz w:val="16"/>
                <w:szCs w:val="16"/>
                <w:color w:val="auto"/>
              </w:rPr>
            </w:pPr>
          </w:p>
        </w:tc>
        <w:tc>
          <w:tcPr>
            <w:tcW w:w="780" w:type="dxa"/>
            <w:vAlign w:val="bottom"/>
            <w:tcBorders>
              <w:bottom w:val="single" w:sz="8" w:color="auto"/>
            </w:tcBorders>
            <w:gridSpan w:val="2"/>
          </w:tcPr>
          <w:p>
            <w:pPr>
              <w:jc w:val="center"/>
              <w:spacing w:after="0" w:line="189" w:lineRule="exact"/>
              <w:rPr>
                <w:sz w:val="20"/>
                <w:szCs w:val="20"/>
                <w:color w:val="auto"/>
              </w:rPr>
            </w:pPr>
            <w:r>
              <w:rPr>
                <w:rFonts w:ascii="Arial" w:cs="Arial" w:eastAsia="Arial" w:hAnsi="Arial"/>
                <w:sz w:val="13"/>
                <w:szCs w:val="13"/>
                <w:b w:val="1"/>
                <w:bCs w:val="1"/>
                <w:color w:val="auto"/>
                <w:w w:val="91"/>
              </w:rPr>
              <w:t>Vested ($)</w:t>
            </w:r>
            <w:r>
              <w:rPr>
                <w:rFonts w:ascii="Arial" w:cs="Arial" w:eastAsia="Arial" w:hAnsi="Arial"/>
                <w:sz w:val="20"/>
                <w:szCs w:val="20"/>
                <w:b w:val="1"/>
                <w:bCs w:val="1"/>
                <w:color w:val="auto"/>
                <w:w w:val="91"/>
                <w:vertAlign w:val="superscript"/>
              </w:rPr>
              <w:t>(5)</w:t>
            </w:r>
          </w:p>
        </w:tc>
        <w:tc>
          <w:tcPr>
            <w:tcW w:w="8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Vested (#)</w:t>
            </w:r>
          </w:p>
        </w:tc>
        <w:tc>
          <w:tcPr>
            <w:tcW w:w="80" w:type="dxa"/>
            <w:vAlign w:val="bottom"/>
          </w:tcPr>
          <w:p>
            <w:pPr>
              <w:spacing w:after="0"/>
              <w:rPr>
                <w:sz w:val="16"/>
                <w:szCs w:val="16"/>
                <w:color w:val="auto"/>
              </w:rPr>
            </w:pPr>
          </w:p>
        </w:tc>
        <w:tc>
          <w:tcPr>
            <w:tcW w:w="1120" w:type="dxa"/>
            <w:vAlign w:val="bottom"/>
            <w:tcBorders>
              <w:bottom w:val="single" w:sz="8" w:color="auto"/>
            </w:tcBorders>
            <w:gridSpan w:val="2"/>
          </w:tcPr>
          <w:p>
            <w:pPr>
              <w:jc w:val="center"/>
              <w:spacing w:after="0" w:line="189" w:lineRule="exact"/>
              <w:rPr>
                <w:sz w:val="20"/>
                <w:szCs w:val="20"/>
                <w:color w:val="auto"/>
              </w:rPr>
            </w:pPr>
            <w:r>
              <w:rPr>
                <w:rFonts w:ascii="Arial" w:cs="Arial" w:eastAsia="Arial" w:hAnsi="Arial"/>
                <w:sz w:val="13"/>
                <w:szCs w:val="13"/>
                <w:b w:val="1"/>
                <w:bCs w:val="1"/>
                <w:color w:val="auto"/>
                <w:w w:val="91"/>
              </w:rPr>
              <w:t>Vested ($)</w:t>
            </w:r>
            <w:r>
              <w:rPr>
                <w:rFonts w:ascii="Arial" w:cs="Arial" w:eastAsia="Arial" w:hAnsi="Arial"/>
                <w:sz w:val="20"/>
                <w:szCs w:val="20"/>
                <w:b w:val="1"/>
                <w:bCs w:val="1"/>
                <w:color w:val="auto"/>
                <w:w w:val="91"/>
                <w:vertAlign w:val="superscript"/>
              </w:rPr>
              <w:t>(5)</w:t>
            </w:r>
          </w:p>
        </w:tc>
        <w:tc>
          <w:tcPr>
            <w:tcW w:w="0" w:type="dxa"/>
            <w:vAlign w:val="bottom"/>
          </w:tcPr>
          <w:p>
            <w:pPr>
              <w:spacing w:after="0"/>
              <w:rPr>
                <w:sz w:val="1"/>
                <w:szCs w:val="1"/>
                <w:color w:val="auto"/>
              </w:rPr>
            </w:pPr>
          </w:p>
        </w:tc>
      </w:tr>
      <w:tr>
        <w:trPr>
          <w:trHeight w:val="168"/>
        </w:trPr>
        <w:tc>
          <w:tcPr>
            <w:tcW w:w="1180" w:type="dxa"/>
            <w:vAlign w:val="bottom"/>
            <w:gridSpan w:val="2"/>
          </w:tcPr>
          <w:p>
            <w:pPr>
              <w:ind w:left="40"/>
              <w:spacing w:after="0"/>
              <w:rPr>
                <w:sz w:val="20"/>
                <w:szCs w:val="20"/>
                <w:color w:val="auto"/>
              </w:rPr>
            </w:pPr>
            <w:r>
              <w:rPr>
                <w:rFonts w:ascii="Arial" w:cs="Arial" w:eastAsia="Arial" w:hAnsi="Arial"/>
                <w:sz w:val="13"/>
                <w:szCs w:val="13"/>
                <w:color w:val="auto"/>
              </w:rPr>
              <w:t>Thomas L. Deitrich</w:t>
            </w:r>
          </w:p>
        </w:tc>
        <w:tc>
          <w:tcPr>
            <w:tcW w:w="660" w:type="dxa"/>
            <w:vAlign w:val="bottom"/>
          </w:tcPr>
          <w:p>
            <w:pPr>
              <w:jc w:val="right"/>
              <w:spacing w:after="0"/>
              <w:rPr>
                <w:sz w:val="20"/>
                <w:szCs w:val="20"/>
                <w:color w:val="auto"/>
              </w:rPr>
            </w:pPr>
            <w:r>
              <w:rPr>
                <w:rFonts w:ascii="Arial" w:cs="Arial" w:eastAsia="Arial" w:hAnsi="Arial"/>
                <w:sz w:val="13"/>
                <w:szCs w:val="13"/>
                <w:color w:val="auto"/>
                <w:w w:val="95"/>
              </w:rPr>
              <w:t>12/10/2015</w:t>
            </w:r>
          </w:p>
        </w:tc>
        <w:tc>
          <w:tcPr>
            <w:tcW w:w="80" w:type="dxa"/>
            <w:vAlign w:val="bottom"/>
          </w:tcPr>
          <w:p>
            <w:pPr>
              <w:spacing w:after="0"/>
              <w:rPr>
                <w:sz w:val="14"/>
                <w:szCs w:val="14"/>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83,779</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95"/>
              </w:rPr>
              <w:t>$35.13</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12/10/2025</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2/24/2016</w:t>
            </w:r>
          </w:p>
        </w:tc>
        <w:tc>
          <w:tcPr>
            <w:tcW w:w="80" w:type="dxa"/>
            <w:vAlign w:val="bottom"/>
          </w:tcPr>
          <w:p>
            <w:pPr>
              <w:spacing w:after="0"/>
              <w:rPr>
                <w:sz w:val="16"/>
                <w:szCs w:val="16"/>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37,957</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95"/>
              </w:rPr>
              <w:t>$40.05</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2/24/2026</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2/23/2017</w:t>
            </w:r>
          </w:p>
        </w:tc>
        <w:tc>
          <w:tcPr>
            <w:tcW w:w="80" w:type="dxa"/>
            <w:vAlign w:val="bottom"/>
          </w:tcPr>
          <w:p>
            <w:pPr>
              <w:spacing w:after="0"/>
              <w:rPr>
                <w:sz w:val="16"/>
                <w:szCs w:val="16"/>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22,701</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95"/>
              </w:rPr>
              <w:t>$65.55</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2/23/2027</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2/22/2018</w:t>
            </w:r>
          </w:p>
        </w:tc>
        <w:tc>
          <w:tcPr>
            <w:tcW w:w="80" w:type="dxa"/>
            <w:vAlign w:val="bottom"/>
          </w:tcPr>
          <w:p>
            <w:pPr>
              <w:spacing w:after="0"/>
              <w:rPr>
                <w:sz w:val="16"/>
                <w:szCs w:val="16"/>
                <w:color w:val="auto"/>
              </w:rPr>
            </w:pP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20,116</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95"/>
              </w:rPr>
              <w:t>$69.30</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2/22/2028</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9/19/2019</w:t>
            </w:r>
          </w:p>
        </w:tc>
        <w:tc>
          <w:tcPr>
            <w:tcW w:w="80" w:type="dxa"/>
            <w:vAlign w:val="bottom"/>
          </w:tcPr>
          <w:p>
            <w:pPr>
              <w:spacing w:after="0"/>
              <w:rPr>
                <w:sz w:val="16"/>
                <w:szCs w:val="16"/>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76,337</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95"/>
              </w:rPr>
              <w:t>$76.55</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9/19/2029</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2/20/2020</w:t>
            </w:r>
          </w:p>
        </w:tc>
        <w:tc>
          <w:tcPr>
            <w:tcW w:w="80" w:type="dxa"/>
            <w:vAlign w:val="bottom"/>
          </w:tcPr>
          <w:p>
            <w:pPr>
              <w:spacing w:after="0"/>
              <w:rPr>
                <w:sz w:val="16"/>
                <w:szCs w:val="16"/>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18,712</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9,357</w:t>
            </w:r>
          </w:p>
        </w:tc>
        <w:tc>
          <w:tcPr>
            <w:tcW w:w="8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95"/>
              </w:rPr>
              <w:t>$87.27</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2/20/2030</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2/20/2020</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2,865</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145,112</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2/18/2021</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9,972</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505,082</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2/18/2021</w:t>
            </w: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14,958</w:t>
            </w:r>
            <w:r>
              <w:rPr>
                <w:rFonts w:ascii="Arial" w:cs="Arial" w:eastAsia="Arial" w:hAnsi="Arial"/>
                <w:sz w:val="20"/>
                <w:szCs w:val="20"/>
                <w:color w:val="auto"/>
                <w:vertAlign w:val="superscript"/>
              </w:rPr>
              <w:t>(3)</w:t>
            </w:r>
          </w:p>
        </w:tc>
        <w:tc>
          <w:tcPr>
            <w:tcW w:w="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97"/>
              <w:spacing w:after="0"/>
              <w:rPr>
                <w:sz w:val="20"/>
                <w:szCs w:val="20"/>
                <w:color w:val="auto"/>
              </w:rPr>
            </w:pPr>
            <w:r>
              <w:rPr>
                <w:rFonts w:ascii="Arial" w:cs="Arial" w:eastAsia="Arial" w:hAnsi="Arial"/>
                <w:sz w:val="13"/>
                <w:szCs w:val="13"/>
                <w:color w:val="auto"/>
              </w:rPr>
              <w:t>757,623</w:t>
            </w:r>
          </w:p>
        </w:tc>
        <w:tc>
          <w:tcPr>
            <w:tcW w:w="0" w:type="dxa"/>
            <w:vAlign w:val="bottom"/>
          </w:tcPr>
          <w:p>
            <w:pPr>
              <w:spacing w:after="0"/>
              <w:rPr>
                <w:sz w:val="1"/>
                <w:szCs w:val="1"/>
                <w:color w:val="auto"/>
              </w:rPr>
            </w:pPr>
          </w:p>
        </w:tc>
      </w:tr>
      <w:tr>
        <w:trPr>
          <w:trHeight w:val="166"/>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2/24/2022</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27,803</w:t>
            </w:r>
          </w:p>
        </w:tc>
        <w:tc>
          <w:tcPr>
            <w:tcW w:w="80" w:type="dxa"/>
            <w:vAlign w:val="bottom"/>
          </w:tcPr>
          <w:p>
            <w:pPr>
              <w:spacing w:after="0"/>
              <w:rPr>
                <w:sz w:val="14"/>
                <w:szCs w:val="14"/>
                <w:color w:val="auto"/>
              </w:rPr>
            </w:pPr>
          </w:p>
        </w:tc>
        <w:tc>
          <w:tcPr>
            <w:tcW w:w="780" w:type="dxa"/>
            <w:vAlign w:val="bottom"/>
            <w:gridSpan w:val="2"/>
          </w:tcPr>
          <w:p>
            <w:pPr>
              <w:jc w:val="right"/>
              <w:ind w:right="17"/>
              <w:spacing w:after="0"/>
              <w:rPr>
                <w:sz w:val="20"/>
                <w:szCs w:val="20"/>
                <w:color w:val="auto"/>
              </w:rPr>
            </w:pPr>
            <w:r>
              <w:rPr>
                <w:rFonts w:ascii="Arial" w:cs="Arial" w:eastAsia="Arial" w:hAnsi="Arial"/>
                <w:sz w:val="13"/>
                <w:szCs w:val="13"/>
                <w:color w:val="auto"/>
              </w:rPr>
              <w:t>$1,408,222</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2/24/2022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46,339</w:t>
            </w:r>
            <w:r>
              <w:rPr>
                <w:rFonts w:ascii="Arial" w:cs="Arial" w:eastAsia="Arial" w:hAnsi="Arial"/>
                <w:sz w:val="20"/>
                <w:szCs w:val="20"/>
                <w:color w:val="auto"/>
                <w:vertAlign w:val="superscript"/>
              </w:rPr>
              <w:t>(4)</w:t>
            </w:r>
          </w:p>
        </w:tc>
        <w:tc>
          <w:tcPr>
            <w:tcW w:w="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77"/>
              <w:spacing w:after="0"/>
              <w:rPr>
                <w:sz w:val="20"/>
                <w:szCs w:val="20"/>
                <w:color w:val="auto"/>
              </w:rPr>
            </w:pPr>
            <w:r>
              <w:rPr>
                <w:rFonts w:ascii="Arial" w:cs="Arial" w:eastAsia="Arial" w:hAnsi="Arial"/>
                <w:sz w:val="13"/>
                <w:szCs w:val="13"/>
                <w:color w:val="auto"/>
                <w:w w:val="93"/>
              </w:rPr>
              <w:t>2,347,070</w:t>
            </w:r>
          </w:p>
        </w:tc>
        <w:tc>
          <w:tcPr>
            <w:tcW w:w="0" w:type="dxa"/>
            <w:vAlign w:val="bottom"/>
          </w:tcPr>
          <w:p>
            <w:pPr>
              <w:spacing w:after="0"/>
              <w:rPr>
                <w:sz w:val="1"/>
                <w:szCs w:val="1"/>
                <w:color w:val="auto"/>
              </w:rPr>
            </w:pPr>
          </w:p>
        </w:tc>
      </w:tr>
      <w:tr>
        <w:trPr>
          <w:trHeight w:val="203"/>
        </w:trPr>
        <w:tc>
          <w:tcPr>
            <w:tcW w:w="1180" w:type="dxa"/>
            <w:vAlign w:val="bottom"/>
            <w:gridSpan w:val="2"/>
          </w:tcPr>
          <w:p>
            <w:pPr>
              <w:ind w:left="40"/>
              <w:spacing w:after="0"/>
              <w:rPr>
                <w:sz w:val="20"/>
                <w:szCs w:val="20"/>
                <w:color w:val="auto"/>
              </w:rPr>
            </w:pPr>
            <w:r>
              <w:rPr>
                <w:rFonts w:ascii="Arial" w:cs="Arial" w:eastAsia="Arial" w:hAnsi="Arial"/>
                <w:sz w:val="13"/>
                <w:szCs w:val="13"/>
                <w:color w:val="auto"/>
              </w:rPr>
              <w:t>Joan S. Hooper</w:t>
            </w:r>
          </w:p>
        </w:tc>
        <w:tc>
          <w:tcPr>
            <w:tcW w:w="660" w:type="dxa"/>
            <w:vAlign w:val="bottom"/>
          </w:tcPr>
          <w:p>
            <w:pPr>
              <w:jc w:val="right"/>
              <w:spacing w:after="0"/>
              <w:rPr>
                <w:sz w:val="20"/>
                <w:szCs w:val="20"/>
                <w:color w:val="auto"/>
              </w:rPr>
            </w:pPr>
            <w:r>
              <w:rPr>
                <w:rFonts w:ascii="Arial" w:cs="Arial" w:eastAsia="Arial" w:hAnsi="Arial"/>
                <w:sz w:val="13"/>
                <w:szCs w:val="13"/>
                <w:color w:val="auto"/>
              </w:rPr>
              <w:t>6/20/2017</w:t>
            </w:r>
          </w:p>
        </w:tc>
        <w:tc>
          <w:tcPr>
            <w:tcW w:w="80" w:type="dxa"/>
            <w:vAlign w:val="bottom"/>
          </w:tcPr>
          <w:p>
            <w:pPr>
              <w:spacing w:after="0"/>
              <w:rPr>
                <w:sz w:val="17"/>
                <w:szCs w:val="17"/>
                <w:color w:val="auto"/>
              </w:rPr>
            </w:pP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11,515</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95"/>
              </w:rPr>
              <w:t>$68.45</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6/20/2027</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2/22/2018</w:t>
            </w:r>
          </w:p>
        </w:tc>
        <w:tc>
          <w:tcPr>
            <w:tcW w:w="80" w:type="dxa"/>
            <w:vAlign w:val="bottom"/>
          </w:tcPr>
          <w:p>
            <w:pPr>
              <w:spacing w:after="0"/>
              <w:rPr>
                <w:sz w:val="16"/>
                <w:szCs w:val="16"/>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10,058</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95"/>
              </w:rPr>
              <w:t>$69.30</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2/22/2028</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2/20/2020</w:t>
            </w:r>
          </w:p>
        </w:tc>
        <w:tc>
          <w:tcPr>
            <w:tcW w:w="80" w:type="dxa"/>
            <w:vAlign w:val="bottom"/>
          </w:tcPr>
          <w:p>
            <w:pPr>
              <w:spacing w:after="0"/>
              <w:rPr>
                <w:sz w:val="16"/>
                <w:szCs w:val="16"/>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7,796</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3,899</w:t>
            </w:r>
          </w:p>
        </w:tc>
        <w:tc>
          <w:tcPr>
            <w:tcW w:w="8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95"/>
              </w:rPr>
              <w:t>$87.27</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2/20/2030</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2/20/2020</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1,194</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60,476</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2/18/2021</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2,327</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117,863</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2/18/2021</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4,654</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235,725</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2/18/2021</w:t>
            </w: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6,980</w:t>
            </w:r>
            <w:r>
              <w:rPr>
                <w:rFonts w:ascii="Arial" w:cs="Arial" w:eastAsia="Arial" w:hAnsi="Arial"/>
                <w:sz w:val="20"/>
                <w:szCs w:val="20"/>
                <w:color w:val="auto"/>
                <w:vertAlign w:val="superscript"/>
              </w:rPr>
              <w:t>(3)</w:t>
            </w:r>
          </w:p>
        </w:tc>
        <w:tc>
          <w:tcPr>
            <w:tcW w:w="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97"/>
              <w:spacing w:after="0"/>
              <w:rPr>
                <w:sz w:val="20"/>
                <w:szCs w:val="20"/>
                <w:color w:val="auto"/>
              </w:rPr>
            </w:pPr>
            <w:r>
              <w:rPr>
                <w:rFonts w:ascii="Arial" w:cs="Arial" w:eastAsia="Arial" w:hAnsi="Arial"/>
                <w:sz w:val="13"/>
                <w:szCs w:val="13"/>
                <w:color w:val="auto"/>
              </w:rPr>
              <w:t>353,537</w:t>
            </w:r>
          </w:p>
        </w:tc>
        <w:tc>
          <w:tcPr>
            <w:tcW w:w="0" w:type="dxa"/>
            <w:vAlign w:val="bottom"/>
          </w:tcPr>
          <w:p>
            <w:pPr>
              <w:spacing w:after="0"/>
              <w:rPr>
                <w:sz w:val="1"/>
                <w:szCs w:val="1"/>
                <w:color w:val="auto"/>
              </w:rPr>
            </w:pPr>
          </w:p>
        </w:tc>
      </w:tr>
      <w:tr>
        <w:trPr>
          <w:trHeight w:val="166"/>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2/24/2022</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13,902</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704,136</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2/24/2022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13,901</w:t>
            </w:r>
            <w:r>
              <w:rPr>
                <w:rFonts w:ascii="Arial" w:cs="Arial" w:eastAsia="Arial" w:hAnsi="Arial"/>
                <w:sz w:val="20"/>
                <w:szCs w:val="20"/>
                <w:color w:val="auto"/>
                <w:vertAlign w:val="superscript"/>
              </w:rPr>
              <w:t>(4)</w:t>
            </w:r>
          </w:p>
        </w:tc>
        <w:tc>
          <w:tcPr>
            <w:tcW w:w="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97"/>
              <w:spacing w:after="0"/>
              <w:rPr>
                <w:sz w:val="20"/>
                <w:szCs w:val="20"/>
                <w:color w:val="auto"/>
              </w:rPr>
            </w:pPr>
            <w:r>
              <w:rPr>
                <w:rFonts w:ascii="Arial" w:cs="Arial" w:eastAsia="Arial" w:hAnsi="Arial"/>
                <w:sz w:val="13"/>
                <w:szCs w:val="13"/>
                <w:color w:val="auto"/>
              </w:rPr>
              <w:t>704,086</w:t>
            </w:r>
          </w:p>
        </w:tc>
        <w:tc>
          <w:tcPr>
            <w:tcW w:w="0" w:type="dxa"/>
            <w:vAlign w:val="bottom"/>
          </w:tcPr>
          <w:p>
            <w:pPr>
              <w:spacing w:after="0"/>
              <w:rPr>
                <w:sz w:val="1"/>
                <w:szCs w:val="1"/>
                <w:color w:val="auto"/>
              </w:rPr>
            </w:pPr>
          </w:p>
        </w:tc>
      </w:tr>
      <w:tr>
        <w:trPr>
          <w:trHeight w:val="203"/>
        </w:trPr>
        <w:tc>
          <w:tcPr>
            <w:tcW w:w="1180" w:type="dxa"/>
            <w:vAlign w:val="bottom"/>
            <w:gridSpan w:val="2"/>
          </w:tcPr>
          <w:p>
            <w:pPr>
              <w:ind w:left="40"/>
              <w:spacing w:after="0"/>
              <w:rPr>
                <w:sz w:val="20"/>
                <w:szCs w:val="20"/>
                <w:color w:val="auto"/>
              </w:rPr>
            </w:pPr>
            <w:r>
              <w:rPr>
                <w:rFonts w:ascii="Arial" w:cs="Arial" w:eastAsia="Arial" w:hAnsi="Arial"/>
                <w:sz w:val="13"/>
                <w:szCs w:val="13"/>
                <w:color w:val="auto"/>
              </w:rPr>
              <w:t>Michel C. Cadieux</w:t>
            </w:r>
          </w:p>
        </w:tc>
        <w:tc>
          <w:tcPr>
            <w:tcW w:w="660" w:type="dxa"/>
            <w:vAlign w:val="bottom"/>
          </w:tcPr>
          <w:p>
            <w:pPr>
              <w:jc w:val="right"/>
              <w:spacing w:after="0"/>
              <w:rPr>
                <w:sz w:val="20"/>
                <w:szCs w:val="20"/>
                <w:color w:val="auto"/>
              </w:rPr>
            </w:pPr>
            <w:r>
              <w:rPr>
                <w:rFonts w:ascii="Arial" w:cs="Arial" w:eastAsia="Arial" w:hAnsi="Arial"/>
                <w:sz w:val="13"/>
                <w:szCs w:val="13"/>
                <w:color w:val="auto"/>
              </w:rPr>
              <w:t>2/23/2017</w:t>
            </w:r>
          </w:p>
        </w:tc>
        <w:tc>
          <w:tcPr>
            <w:tcW w:w="80" w:type="dxa"/>
            <w:vAlign w:val="bottom"/>
          </w:tcPr>
          <w:p>
            <w:pPr>
              <w:spacing w:after="0"/>
              <w:rPr>
                <w:sz w:val="17"/>
                <w:szCs w:val="17"/>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9,080</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95"/>
              </w:rPr>
              <w:t>$65.55</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2/23/2027</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2/22/2018</w:t>
            </w:r>
          </w:p>
        </w:tc>
        <w:tc>
          <w:tcPr>
            <w:tcW w:w="80" w:type="dxa"/>
            <w:vAlign w:val="bottom"/>
          </w:tcPr>
          <w:p>
            <w:pPr>
              <w:spacing w:after="0"/>
              <w:rPr>
                <w:sz w:val="16"/>
                <w:szCs w:val="16"/>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8,046</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95"/>
              </w:rPr>
              <w:t>$69.30</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2/22/2028</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2/20/2020</w:t>
            </w:r>
          </w:p>
        </w:tc>
        <w:tc>
          <w:tcPr>
            <w:tcW w:w="80" w:type="dxa"/>
            <w:vAlign w:val="bottom"/>
          </w:tcPr>
          <w:p>
            <w:pPr>
              <w:spacing w:after="0"/>
              <w:rPr>
                <w:sz w:val="16"/>
                <w:szCs w:val="16"/>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4,990</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2,495</w:t>
            </w:r>
          </w:p>
        </w:tc>
        <w:tc>
          <w:tcPr>
            <w:tcW w:w="8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95"/>
              </w:rPr>
              <w:t>$87.27</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2/20/2030</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2/20/2020</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764</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38,697</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2/18/2021</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332</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16,816</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2/18/2021</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2,659</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134,678</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2/18/2021</w:t>
            </w: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3,988</w:t>
            </w:r>
            <w:r>
              <w:rPr>
                <w:rFonts w:ascii="Arial" w:cs="Arial" w:eastAsia="Arial" w:hAnsi="Arial"/>
                <w:sz w:val="20"/>
                <w:szCs w:val="20"/>
                <w:color w:val="auto"/>
                <w:vertAlign w:val="superscript"/>
              </w:rPr>
              <w:t>(3)</w:t>
            </w:r>
          </w:p>
        </w:tc>
        <w:tc>
          <w:tcPr>
            <w:tcW w:w="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97"/>
              <w:spacing w:after="0"/>
              <w:rPr>
                <w:sz w:val="20"/>
                <w:szCs w:val="20"/>
                <w:color w:val="auto"/>
              </w:rPr>
            </w:pPr>
            <w:r>
              <w:rPr>
                <w:rFonts w:ascii="Arial" w:cs="Arial" w:eastAsia="Arial" w:hAnsi="Arial"/>
                <w:sz w:val="13"/>
                <w:szCs w:val="13"/>
                <w:color w:val="auto"/>
              </w:rPr>
              <w:t>201,992</w:t>
            </w:r>
          </w:p>
        </w:tc>
        <w:tc>
          <w:tcPr>
            <w:tcW w:w="0" w:type="dxa"/>
            <w:vAlign w:val="bottom"/>
          </w:tcPr>
          <w:p>
            <w:pPr>
              <w:spacing w:after="0"/>
              <w:rPr>
                <w:sz w:val="1"/>
                <w:szCs w:val="1"/>
                <w:color w:val="auto"/>
              </w:rPr>
            </w:pPr>
          </w:p>
        </w:tc>
      </w:tr>
      <w:tr>
        <w:trPr>
          <w:trHeight w:val="166"/>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2/24/2022</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7,414</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375,519</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2/24/2022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7,414</w:t>
            </w:r>
            <w:r>
              <w:rPr>
                <w:rFonts w:ascii="Arial" w:cs="Arial" w:eastAsia="Arial" w:hAnsi="Arial"/>
                <w:sz w:val="20"/>
                <w:szCs w:val="20"/>
                <w:color w:val="auto"/>
                <w:vertAlign w:val="superscript"/>
              </w:rPr>
              <w:t>(4)</w:t>
            </w:r>
          </w:p>
        </w:tc>
        <w:tc>
          <w:tcPr>
            <w:tcW w:w="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97"/>
              <w:spacing w:after="0"/>
              <w:rPr>
                <w:sz w:val="20"/>
                <w:szCs w:val="20"/>
                <w:color w:val="auto"/>
              </w:rPr>
            </w:pPr>
            <w:r>
              <w:rPr>
                <w:rFonts w:ascii="Arial" w:cs="Arial" w:eastAsia="Arial" w:hAnsi="Arial"/>
                <w:sz w:val="13"/>
                <w:szCs w:val="13"/>
                <w:color w:val="auto"/>
              </w:rPr>
              <w:t>375,519</w:t>
            </w:r>
          </w:p>
        </w:tc>
        <w:tc>
          <w:tcPr>
            <w:tcW w:w="0" w:type="dxa"/>
            <w:vAlign w:val="bottom"/>
          </w:tcPr>
          <w:p>
            <w:pPr>
              <w:spacing w:after="0"/>
              <w:rPr>
                <w:sz w:val="1"/>
                <w:szCs w:val="1"/>
                <w:color w:val="auto"/>
              </w:rPr>
            </w:pPr>
          </w:p>
        </w:tc>
      </w:tr>
      <w:tr>
        <w:trPr>
          <w:trHeight w:val="203"/>
        </w:trPr>
        <w:tc>
          <w:tcPr>
            <w:tcW w:w="1180" w:type="dxa"/>
            <w:vAlign w:val="bottom"/>
            <w:gridSpan w:val="2"/>
          </w:tcPr>
          <w:p>
            <w:pPr>
              <w:ind w:left="40"/>
              <w:spacing w:after="0"/>
              <w:rPr>
                <w:sz w:val="20"/>
                <w:szCs w:val="20"/>
                <w:color w:val="auto"/>
              </w:rPr>
            </w:pPr>
            <w:r>
              <w:rPr>
                <w:rFonts w:ascii="Arial" w:cs="Arial" w:eastAsia="Arial" w:hAnsi="Arial"/>
                <w:sz w:val="13"/>
                <w:szCs w:val="13"/>
                <w:color w:val="auto"/>
              </w:rPr>
              <w:t>Donald L. Reeves</w:t>
            </w:r>
          </w:p>
        </w:tc>
        <w:tc>
          <w:tcPr>
            <w:tcW w:w="660" w:type="dxa"/>
            <w:vAlign w:val="bottom"/>
          </w:tcPr>
          <w:p>
            <w:pPr>
              <w:jc w:val="right"/>
              <w:spacing w:after="0"/>
              <w:rPr>
                <w:sz w:val="20"/>
                <w:szCs w:val="20"/>
                <w:color w:val="auto"/>
              </w:rPr>
            </w:pPr>
            <w:r>
              <w:rPr>
                <w:rFonts w:ascii="Arial" w:cs="Arial" w:eastAsia="Arial" w:hAnsi="Arial"/>
                <w:sz w:val="13"/>
                <w:szCs w:val="13"/>
                <w:color w:val="auto"/>
              </w:rPr>
              <w:t>4/10/2014</w:t>
            </w:r>
          </w:p>
        </w:tc>
        <w:tc>
          <w:tcPr>
            <w:tcW w:w="80" w:type="dxa"/>
            <w:vAlign w:val="bottom"/>
          </w:tcPr>
          <w:p>
            <w:pPr>
              <w:spacing w:after="0"/>
              <w:rPr>
                <w:sz w:val="17"/>
                <w:szCs w:val="17"/>
                <w:color w:val="auto"/>
              </w:rPr>
            </w:pP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983</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95"/>
              </w:rPr>
              <w:t>$63.16</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4/9/2024</w:t>
            </w: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5/10/2016</w:t>
            </w:r>
          </w:p>
        </w:tc>
        <w:tc>
          <w:tcPr>
            <w:tcW w:w="80" w:type="dxa"/>
            <w:vAlign w:val="bottom"/>
          </w:tcPr>
          <w:p>
            <w:pPr>
              <w:spacing w:after="0"/>
              <w:rPr>
                <w:sz w:val="16"/>
                <w:szCs w:val="16"/>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4,802</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95"/>
              </w:rPr>
              <w:t>$55.49</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5/9/2026</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9/12/2018</w:t>
            </w:r>
          </w:p>
        </w:tc>
        <w:tc>
          <w:tcPr>
            <w:tcW w:w="80" w:type="dxa"/>
            <w:vAlign w:val="bottom"/>
          </w:tcPr>
          <w:p>
            <w:pPr>
              <w:spacing w:after="0"/>
              <w:rPr>
                <w:sz w:val="16"/>
                <w:szCs w:val="16"/>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3,300</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95"/>
              </w:rPr>
              <w:t>$66.30</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9/12/2028</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2/20/2020</w:t>
            </w:r>
          </w:p>
        </w:tc>
        <w:tc>
          <w:tcPr>
            <w:tcW w:w="80" w:type="dxa"/>
            <w:vAlign w:val="bottom"/>
          </w:tcPr>
          <w:p>
            <w:pPr>
              <w:spacing w:after="0"/>
              <w:rPr>
                <w:sz w:val="16"/>
                <w:szCs w:val="16"/>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2,806</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1,404</w:t>
            </w:r>
          </w:p>
        </w:tc>
        <w:tc>
          <w:tcPr>
            <w:tcW w:w="8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95"/>
              </w:rPr>
              <w:t>$87.27</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2/20/2030</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2/20/2020</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430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21,780</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2/18/2021</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1,496</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75,772</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2/18/2021</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332</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16,816</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2/18/2021</w:t>
            </w: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0"/>
              </w:rPr>
              <w:t>2,243</w:t>
            </w:r>
            <w:r>
              <w:rPr>
                <w:rFonts w:ascii="Arial" w:cs="Arial" w:eastAsia="Arial" w:hAnsi="Arial"/>
                <w:sz w:val="20"/>
                <w:szCs w:val="20"/>
                <w:color w:val="auto"/>
                <w:w w:val="90"/>
                <w:vertAlign w:val="superscript"/>
              </w:rPr>
              <w:t>(3)</w:t>
            </w:r>
          </w:p>
        </w:tc>
        <w:tc>
          <w:tcPr>
            <w:tcW w:w="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97"/>
              <w:spacing w:after="0"/>
              <w:rPr>
                <w:sz w:val="20"/>
                <w:szCs w:val="20"/>
                <w:color w:val="auto"/>
              </w:rPr>
            </w:pPr>
            <w:r>
              <w:rPr>
                <w:rFonts w:ascii="Arial" w:cs="Arial" w:eastAsia="Arial" w:hAnsi="Arial"/>
                <w:sz w:val="13"/>
                <w:szCs w:val="13"/>
                <w:color w:val="auto"/>
              </w:rPr>
              <w:t>113,608</w:t>
            </w:r>
          </w:p>
        </w:tc>
        <w:tc>
          <w:tcPr>
            <w:tcW w:w="0" w:type="dxa"/>
            <w:vAlign w:val="bottom"/>
          </w:tcPr>
          <w:p>
            <w:pPr>
              <w:spacing w:after="0"/>
              <w:rPr>
                <w:sz w:val="1"/>
                <w:szCs w:val="1"/>
                <w:color w:val="auto"/>
              </w:rPr>
            </w:pPr>
          </w:p>
        </w:tc>
      </w:tr>
      <w:tr>
        <w:trPr>
          <w:trHeight w:val="166"/>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2/24/2022</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4,171</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211,261</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2/24/2022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0"/>
              </w:rPr>
              <w:t>4,170</w:t>
            </w:r>
            <w:r>
              <w:rPr>
                <w:rFonts w:ascii="Arial" w:cs="Arial" w:eastAsia="Arial" w:hAnsi="Arial"/>
                <w:sz w:val="20"/>
                <w:szCs w:val="20"/>
                <w:color w:val="auto"/>
                <w:w w:val="90"/>
                <w:vertAlign w:val="superscript"/>
              </w:rPr>
              <w:t>(4)</w:t>
            </w:r>
          </w:p>
        </w:tc>
        <w:tc>
          <w:tcPr>
            <w:tcW w:w="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97"/>
              <w:spacing w:after="0"/>
              <w:rPr>
                <w:sz w:val="20"/>
                <w:szCs w:val="20"/>
                <w:color w:val="auto"/>
              </w:rPr>
            </w:pPr>
            <w:r>
              <w:rPr>
                <w:rFonts w:ascii="Arial" w:cs="Arial" w:eastAsia="Arial" w:hAnsi="Arial"/>
                <w:sz w:val="13"/>
                <w:szCs w:val="13"/>
                <w:color w:val="auto"/>
              </w:rPr>
              <w:t>211,211</w:t>
            </w:r>
          </w:p>
        </w:tc>
        <w:tc>
          <w:tcPr>
            <w:tcW w:w="0" w:type="dxa"/>
            <w:vAlign w:val="bottom"/>
          </w:tcPr>
          <w:p>
            <w:pPr>
              <w:spacing w:after="0"/>
              <w:rPr>
                <w:sz w:val="1"/>
                <w:szCs w:val="1"/>
                <w:color w:val="auto"/>
              </w:rPr>
            </w:pPr>
          </w:p>
        </w:tc>
      </w:tr>
      <w:tr>
        <w:trPr>
          <w:trHeight w:val="203"/>
        </w:trPr>
        <w:tc>
          <w:tcPr>
            <w:tcW w:w="1180" w:type="dxa"/>
            <w:vAlign w:val="bottom"/>
            <w:gridSpan w:val="2"/>
          </w:tcPr>
          <w:p>
            <w:pPr>
              <w:ind w:left="40"/>
              <w:spacing w:after="0"/>
              <w:rPr>
                <w:sz w:val="20"/>
                <w:szCs w:val="20"/>
                <w:color w:val="auto"/>
              </w:rPr>
            </w:pPr>
            <w:r>
              <w:rPr>
                <w:rFonts w:ascii="Arial" w:cs="Arial" w:eastAsia="Arial" w:hAnsi="Arial"/>
                <w:sz w:val="13"/>
                <w:szCs w:val="13"/>
                <w:color w:val="auto"/>
              </w:rPr>
              <w:t>John F. Marcolini</w:t>
            </w:r>
          </w:p>
        </w:tc>
        <w:tc>
          <w:tcPr>
            <w:tcW w:w="660" w:type="dxa"/>
            <w:vAlign w:val="bottom"/>
          </w:tcPr>
          <w:p>
            <w:pPr>
              <w:jc w:val="right"/>
              <w:spacing w:after="0"/>
              <w:rPr>
                <w:sz w:val="20"/>
                <w:szCs w:val="20"/>
                <w:color w:val="auto"/>
              </w:rPr>
            </w:pPr>
            <w:r>
              <w:rPr>
                <w:rFonts w:ascii="Arial" w:cs="Arial" w:eastAsia="Arial" w:hAnsi="Arial"/>
                <w:sz w:val="13"/>
                <w:szCs w:val="13"/>
                <w:color w:val="auto"/>
              </w:rPr>
              <w:t>2/20/2020</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382</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19,348</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9/10/2020</w:t>
            </w:r>
          </w:p>
        </w:tc>
        <w:tc>
          <w:tcPr>
            <w:tcW w:w="80" w:type="dxa"/>
            <w:vAlign w:val="bottom"/>
          </w:tcPr>
          <w:p>
            <w:pPr>
              <w:spacing w:after="0"/>
              <w:rPr>
                <w:sz w:val="16"/>
                <w:szCs w:val="16"/>
                <w:color w:val="auto"/>
              </w:rPr>
            </w:pP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2,522</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8"/>
              </w:rPr>
              <w:t>1,261</w:t>
            </w:r>
          </w:p>
        </w:tc>
        <w:tc>
          <w:tcPr>
            <w:tcW w:w="8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95"/>
              </w:rPr>
              <w:t>$57.68</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9/10/2030</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9/10/2020</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470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23,806</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2/18/2021</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117"/>
              <w:spacing w:after="0"/>
              <w:rPr>
                <w:sz w:val="20"/>
                <w:szCs w:val="20"/>
                <w:color w:val="auto"/>
              </w:rPr>
            </w:pPr>
            <w:r>
              <w:rPr>
                <w:rFonts w:ascii="Arial" w:cs="Arial" w:eastAsia="Arial" w:hAnsi="Arial"/>
                <w:sz w:val="13"/>
                <w:szCs w:val="13"/>
                <w:color w:val="auto"/>
              </w:rPr>
              <w:t>665</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33,682</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2/18/2021</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1,164</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58,957</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2/18/2021</w:t>
            </w: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1,745</w:t>
            </w:r>
            <w:r>
              <w:rPr>
                <w:rFonts w:ascii="Arial" w:cs="Arial" w:eastAsia="Arial" w:hAnsi="Arial"/>
                <w:sz w:val="20"/>
                <w:szCs w:val="20"/>
                <w:color w:val="auto"/>
                <w:vertAlign w:val="superscript"/>
              </w:rPr>
              <w:t>(3)</w:t>
            </w:r>
          </w:p>
        </w:tc>
        <w:tc>
          <w:tcPr>
            <w:tcW w:w="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97"/>
              <w:spacing w:after="0"/>
              <w:rPr>
                <w:sz w:val="20"/>
                <w:szCs w:val="20"/>
                <w:color w:val="auto"/>
              </w:rPr>
            </w:pPr>
            <w:r>
              <w:rPr>
                <w:rFonts w:ascii="Arial" w:cs="Arial" w:eastAsia="Arial" w:hAnsi="Arial"/>
                <w:sz w:val="13"/>
                <w:szCs w:val="13"/>
                <w:color w:val="auto"/>
              </w:rPr>
              <w:t>88,384</w:t>
            </w:r>
          </w:p>
        </w:tc>
        <w:tc>
          <w:tcPr>
            <w:tcW w:w="0" w:type="dxa"/>
            <w:vAlign w:val="bottom"/>
          </w:tcPr>
          <w:p>
            <w:pPr>
              <w:spacing w:after="0"/>
              <w:rPr>
                <w:sz w:val="1"/>
                <w:szCs w:val="1"/>
                <w:color w:val="auto"/>
              </w:rPr>
            </w:pPr>
          </w:p>
        </w:tc>
      </w:tr>
      <w:tr>
        <w:trPr>
          <w:trHeight w:val="166"/>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2/24/2022</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4,171</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211,261</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2/24/2022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4,170</w:t>
            </w:r>
            <w:r>
              <w:rPr>
                <w:rFonts w:ascii="Arial" w:cs="Arial" w:eastAsia="Arial" w:hAnsi="Arial"/>
                <w:sz w:val="20"/>
                <w:szCs w:val="20"/>
                <w:color w:val="auto"/>
                <w:vertAlign w:val="superscript"/>
              </w:rPr>
              <w:t>(4)</w:t>
            </w:r>
          </w:p>
        </w:tc>
        <w:tc>
          <w:tcPr>
            <w:tcW w:w="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97"/>
              <w:spacing w:after="0"/>
              <w:rPr>
                <w:sz w:val="20"/>
                <w:szCs w:val="20"/>
                <w:color w:val="auto"/>
              </w:rPr>
            </w:pPr>
            <w:r>
              <w:rPr>
                <w:rFonts w:ascii="Arial" w:cs="Arial" w:eastAsia="Arial" w:hAnsi="Arial"/>
                <w:sz w:val="13"/>
                <w:szCs w:val="13"/>
                <w:color w:val="auto"/>
              </w:rPr>
              <w:t>211,211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8229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15" w:lineRule="exact"/>
        <w:rPr>
          <w:sz w:val="20"/>
          <w:szCs w:val="20"/>
          <w:color w:val="auto"/>
        </w:rPr>
      </w:pPr>
    </w:p>
    <w:p>
      <w:pPr>
        <w:ind w:left="346" w:hanging="346"/>
        <w:spacing w:after="0"/>
        <w:tabs>
          <w:tab w:leader="none" w:pos="346" w:val="left"/>
        </w:tabs>
        <w:numPr>
          <w:ilvl w:val="0"/>
          <w:numId w:val="42"/>
        </w:numPr>
        <w:rPr>
          <w:rFonts w:ascii="Arial" w:cs="Arial" w:eastAsia="Arial" w:hAnsi="Arial"/>
          <w:sz w:val="14"/>
          <w:szCs w:val="14"/>
          <w:color w:val="auto"/>
        </w:rPr>
      </w:pPr>
      <w:r>
        <w:rPr>
          <w:rFonts w:ascii="Arial" w:cs="Arial" w:eastAsia="Arial" w:hAnsi="Arial"/>
          <w:sz w:val="14"/>
          <w:szCs w:val="14"/>
          <w:color w:val="auto"/>
        </w:rPr>
        <w:t>One third of the options granted on February 20, 2020 vest on each of February 20, 2021, 2022, and 2023.</w:t>
      </w:r>
    </w:p>
    <w:p>
      <w:pPr>
        <w:sectPr>
          <w:pgSz w:w="11900" w:h="16838" w:orient="portrait"/>
          <w:cols w:equalWidth="0" w:num="1">
            <w:col w:w="9106"/>
          </w:cols>
          <w:pgMar w:left="1354" w:top="263" w:right="1439" w:bottom="1440" w:gutter="0" w:footer="0" w:header="0"/>
        </w:sectPr>
      </w:pPr>
    </w:p>
    <w:p>
      <w:pPr>
        <w:spacing w:after="0" w:line="315" w:lineRule="exact"/>
        <w:rPr>
          <w:sz w:val="20"/>
          <w:szCs w:val="20"/>
          <w:color w:val="auto"/>
        </w:rPr>
      </w:pPr>
    </w:p>
    <w:p>
      <w:pPr>
        <w:ind w:left="6"/>
        <w:spacing w:after="0"/>
        <w:tabs>
          <w:tab w:leader="none" w:pos="4426" w:val="left"/>
        </w:tabs>
        <w:rPr>
          <w:sz w:val="20"/>
          <w:szCs w:val="20"/>
          <w:color w:val="auto"/>
        </w:rPr>
      </w:pPr>
      <w:r>
        <w:rPr>
          <w:rFonts w:ascii="Arial" w:cs="Arial" w:eastAsia="Arial" w:hAnsi="Arial"/>
          <w:sz w:val="12"/>
          <w:szCs w:val="12"/>
          <w:color w:val="auto"/>
        </w:rPr>
        <w:t> </w:t>
      </w:r>
      <w:r>
        <w:rPr>
          <w:sz w:val="20"/>
          <w:szCs w:val="20"/>
          <w:color w:val="auto"/>
        </w:rPr>
        <w:tab/>
      </w: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161925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06"/>
          </w:cols>
          <w:pgMar w:left="1354" w:top="263" w:right="1439" w:bottom="1440" w:gutter="0" w:footer="0" w:header="0"/>
          <w:type w:val="continuous"/>
        </w:sectPr>
      </w:pPr>
    </w:p>
    <w:bookmarkStart w:id="45" w:name="page46"/>
    <w:bookmarkEnd w:id="45"/>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0"/>
          <w:szCs w:val="20"/>
          <w:color w:val="auto"/>
        </w:rPr>
      </w:pPr>
    </w:p>
    <w:p>
      <w:pPr>
        <w:ind w:left="1260" w:right="940" w:hanging="346"/>
        <w:spacing w:after="0" w:line="263" w:lineRule="auto"/>
        <w:tabs>
          <w:tab w:leader="none" w:pos="12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RSUs granted under the 2010 SIP. One third of the RSUs granted on February 20, 2020 vest on each of February 20, 2021, 2022, and 2023. One third of the RSUs granted on February 18, 2021 vest on each of February 18, 2022, 2023, and 2024. One third of the RSUs granted on February 24, 2022 vest on each of February 24, 2023, 2024, and 2025.</w:t>
      </w:r>
    </w:p>
    <w:p>
      <w:pPr>
        <w:spacing w:after="0" w:line="64" w:lineRule="exact"/>
        <w:rPr>
          <w:rFonts w:ascii="Arial" w:cs="Arial" w:eastAsia="Arial" w:hAnsi="Arial"/>
          <w:sz w:val="14"/>
          <w:szCs w:val="14"/>
          <w:color w:val="auto"/>
        </w:rPr>
      </w:pPr>
    </w:p>
    <w:p>
      <w:pPr>
        <w:ind w:left="1280"/>
        <w:spacing w:after="0"/>
        <w:rPr>
          <w:rFonts w:ascii="Arial" w:cs="Arial" w:eastAsia="Arial" w:hAnsi="Arial"/>
          <w:sz w:val="14"/>
          <w:szCs w:val="14"/>
          <w:color w:val="auto"/>
        </w:rPr>
      </w:pPr>
      <w:r>
        <w:rPr>
          <w:rFonts w:ascii="Arial" w:cs="Arial" w:eastAsia="Arial" w:hAnsi="Arial"/>
          <w:sz w:val="14"/>
          <w:szCs w:val="14"/>
          <w:color w:val="auto"/>
        </w:rPr>
        <w:t>Vesting information for each RSU award for the NEOs that is unvested as of December 31, 2022 is described in the table below.</w:t>
      </w:r>
    </w:p>
    <w:p>
      <w:pPr>
        <w:sectPr>
          <w:pgSz w:w="11900" w:h="16838" w:orient="portrait"/>
          <w:cols w:equalWidth="0" w:num="1">
            <w:col w:w="11020"/>
          </w:cols>
          <w:pgMar w:left="440" w:top="263" w:right="439" w:bottom="1440" w:gutter="0" w:footer="0" w:header="0"/>
        </w:sectPr>
      </w:pPr>
    </w:p>
    <w:p>
      <w:pPr>
        <w:spacing w:after="0" w:line="69" w:lineRule="exact"/>
        <w:rPr>
          <w:sz w:val="20"/>
          <w:szCs w:val="20"/>
          <w:color w:val="auto"/>
        </w:rPr>
      </w:pPr>
    </w:p>
    <w:tbl>
      <w:tblPr>
        <w:tblLayout w:type="fixed"/>
        <w:tblInd w:w="1280" w:type="dxa"/>
        <w:tblCellMar>
          <w:top w:w="0" w:type="dxa"/>
          <w:left w:w="0" w:type="dxa"/>
          <w:bottom w:w="0" w:type="dxa"/>
          <w:right w:w="0" w:type="dxa"/>
        </w:tblCellMar>
      </w:tblPr>
      <w:tr>
        <w:trPr>
          <w:trHeight w:val="171"/>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Vesting Date</w:t>
            </w:r>
          </w:p>
        </w:tc>
        <w:tc>
          <w:tcPr>
            <w:tcW w:w="1380" w:type="dxa"/>
            <w:vAlign w:val="bottom"/>
            <w:gridSpan w:val="2"/>
          </w:tcPr>
          <w:p>
            <w:pPr>
              <w:ind w:left="130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gridSpan w:val="2"/>
          </w:tcPr>
          <w:p>
            <w:pPr>
              <w:jc w:val="right"/>
              <w:ind w:right="62"/>
              <w:spacing w:after="0"/>
              <w:rPr>
                <w:sz w:val="20"/>
                <w:szCs w:val="20"/>
                <w:color w:val="auto"/>
              </w:rPr>
            </w:pPr>
            <w:r>
              <w:rPr>
                <w:rFonts w:ascii="Arial" w:cs="Arial" w:eastAsia="Arial" w:hAnsi="Arial"/>
                <w:sz w:val="14"/>
                <w:szCs w:val="14"/>
                <w:b w:val="1"/>
                <w:bCs w:val="1"/>
                <w:color w:val="auto"/>
              </w:rPr>
              <w:t>Thomas L.</w:t>
            </w:r>
            <w:r>
              <w:rPr>
                <w:rFonts w:ascii="Times New Roman" w:cs="Times New Roman" w:eastAsia="Times New Roman" w:hAnsi="Times New Roman"/>
                <w:sz w:val="7"/>
                <w:szCs w:val="7"/>
                <w:color w:val="auto"/>
                <w:vertAlign w:val="subscript"/>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gridSpan w:val="3"/>
          </w:tcPr>
          <w:p>
            <w:pPr>
              <w:jc w:val="right"/>
              <w:ind w:right="71"/>
              <w:spacing w:after="0"/>
              <w:rPr>
                <w:sz w:val="20"/>
                <w:szCs w:val="20"/>
                <w:color w:val="auto"/>
              </w:rPr>
            </w:pPr>
            <w:r>
              <w:rPr>
                <w:rFonts w:ascii="Arial" w:cs="Arial" w:eastAsia="Arial" w:hAnsi="Arial"/>
                <w:sz w:val="14"/>
                <w:szCs w:val="14"/>
                <w:b w:val="1"/>
                <w:bCs w:val="1"/>
                <w:color w:val="auto"/>
              </w:rPr>
              <w:t>Joan S.</w:t>
            </w:r>
            <w:r>
              <w:rPr>
                <w:rFonts w:ascii="Times New Roman" w:cs="Times New Roman" w:eastAsia="Times New Roman" w:hAnsi="Times New Roman"/>
                <w:sz w:val="7"/>
                <w:szCs w:val="7"/>
                <w:color w:val="auto"/>
                <w:vertAlign w:val="subscript"/>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gridSpan w:val="3"/>
          </w:tcPr>
          <w:p>
            <w:pPr>
              <w:jc w:val="right"/>
              <w:ind w:right="62"/>
              <w:spacing w:after="0"/>
              <w:rPr>
                <w:sz w:val="20"/>
                <w:szCs w:val="20"/>
                <w:color w:val="auto"/>
              </w:rPr>
            </w:pPr>
            <w:r>
              <w:rPr>
                <w:rFonts w:ascii="Arial" w:cs="Arial" w:eastAsia="Arial" w:hAnsi="Arial"/>
                <w:sz w:val="14"/>
                <w:szCs w:val="14"/>
                <w:b w:val="1"/>
                <w:bCs w:val="1"/>
                <w:color w:val="auto"/>
              </w:rPr>
              <w:t>Michel C.</w:t>
            </w:r>
            <w:r>
              <w:rPr>
                <w:rFonts w:ascii="Times New Roman" w:cs="Times New Roman" w:eastAsia="Times New Roman" w:hAnsi="Times New Roman"/>
                <w:sz w:val="7"/>
                <w:szCs w:val="7"/>
                <w:color w:val="auto"/>
                <w:vertAlign w:val="subscript"/>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gridSpan w:val="3"/>
          </w:tcPr>
          <w:p>
            <w:pPr>
              <w:jc w:val="right"/>
              <w:ind w:right="62"/>
              <w:spacing w:after="0"/>
              <w:rPr>
                <w:sz w:val="20"/>
                <w:szCs w:val="20"/>
                <w:color w:val="auto"/>
              </w:rPr>
            </w:pPr>
            <w:r>
              <w:rPr>
                <w:rFonts w:ascii="Arial" w:cs="Arial" w:eastAsia="Arial" w:hAnsi="Arial"/>
                <w:sz w:val="14"/>
                <w:szCs w:val="14"/>
                <w:b w:val="1"/>
                <w:bCs w:val="1"/>
                <w:color w:val="auto"/>
              </w:rPr>
              <w:t>Donald L.</w:t>
            </w:r>
            <w:r>
              <w:rPr>
                <w:rFonts w:ascii="Times New Roman" w:cs="Times New Roman" w:eastAsia="Times New Roman" w:hAnsi="Times New Roman"/>
                <w:sz w:val="7"/>
                <w:szCs w:val="7"/>
                <w:color w:val="auto"/>
                <w:vertAlign w:val="subscript"/>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John F.</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220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Deitrich</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Hooper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Cadieux</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Reeves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Marcolini</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0" w:type="dxa"/>
            <w:vAlign w:val="bottom"/>
          </w:tcPr>
          <w:p>
            <w:pPr>
              <w:ind w:left="20"/>
              <w:spacing w:after="0"/>
              <w:rPr>
                <w:sz w:val="20"/>
                <w:szCs w:val="20"/>
                <w:color w:val="auto"/>
              </w:rPr>
            </w:pPr>
            <w:r>
              <w:rPr>
                <w:rFonts w:ascii="Arial" w:cs="Arial" w:eastAsia="Arial" w:hAnsi="Arial"/>
                <w:sz w:val="14"/>
                <w:szCs w:val="14"/>
                <w:b w:val="1"/>
                <w:bCs w:val="1"/>
                <w:color w:val="auto"/>
              </w:rPr>
              <w:t>2023</w:t>
            </w:r>
          </w:p>
        </w:tc>
        <w:tc>
          <w:tcPr>
            <w:tcW w:w="1380" w:type="dxa"/>
            <w:vAlign w:val="bottom"/>
            <w:gridSpan w:val="2"/>
          </w:tcPr>
          <w:p>
            <w:pPr>
              <w:ind w:left="130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spacing w:after="0"/>
              <w:rPr>
                <w:sz w:val="18"/>
                <w:szCs w:val="18"/>
                <w:color w:val="auto"/>
              </w:rPr>
            </w:pPr>
          </w:p>
        </w:tc>
        <w:tc>
          <w:tcPr>
            <w:tcW w:w="14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ind w:right="71"/>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0" w:type="dxa"/>
            <w:vAlign w:val="bottom"/>
          </w:tcPr>
          <w:p>
            <w:pPr>
              <w:ind w:left="20"/>
              <w:spacing w:after="0"/>
              <w:rPr>
                <w:sz w:val="20"/>
                <w:szCs w:val="20"/>
                <w:color w:val="auto"/>
              </w:rPr>
            </w:pPr>
            <w:r>
              <w:rPr>
                <w:rFonts w:ascii="Arial" w:cs="Arial" w:eastAsia="Arial" w:hAnsi="Arial"/>
                <w:sz w:val="14"/>
                <w:szCs w:val="14"/>
                <w:color w:val="auto"/>
              </w:rPr>
              <w:t>2/18/2023</w:t>
            </w:r>
          </w:p>
        </w:tc>
        <w:tc>
          <w:tcPr>
            <w:tcW w:w="1380" w:type="dxa"/>
            <w:vAlign w:val="bottom"/>
            <w:gridSpan w:val="2"/>
          </w:tcPr>
          <w:p>
            <w:pPr>
              <w:ind w:left="130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jc w:val="center"/>
              <w:ind w:left="8"/>
              <w:spacing w:after="0"/>
              <w:rPr>
                <w:sz w:val="20"/>
                <w:szCs w:val="20"/>
                <w:color w:val="auto"/>
              </w:rPr>
            </w:pPr>
            <w:r>
              <w:rPr>
                <w:rFonts w:ascii="Arial" w:cs="Arial" w:eastAsia="Arial" w:hAnsi="Arial"/>
                <w:sz w:val="14"/>
                <w:szCs w:val="14"/>
                <w:color w:val="auto"/>
              </w:rPr>
              <w:t>4,986</w:t>
            </w:r>
          </w:p>
        </w:tc>
        <w:tc>
          <w:tcPr>
            <w:tcW w:w="14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3,491</w:t>
            </w:r>
          </w:p>
        </w:tc>
        <w:tc>
          <w:tcPr>
            <w:tcW w:w="100" w:type="dxa"/>
            <w:vAlign w:val="bottom"/>
          </w:tcPr>
          <w:p>
            <w:pPr>
              <w:jc w:val="right"/>
              <w:ind w:right="71"/>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gridSpan w:val="2"/>
          </w:tcPr>
          <w:p>
            <w:pPr>
              <w:jc w:val="right"/>
              <w:ind w:right="48"/>
              <w:spacing w:after="0"/>
              <w:rPr>
                <w:sz w:val="20"/>
                <w:szCs w:val="20"/>
                <w:color w:val="auto"/>
              </w:rPr>
            </w:pPr>
            <w:r>
              <w:rPr>
                <w:rFonts w:ascii="Arial" w:cs="Arial" w:eastAsia="Arial" w:hAnsi="Arial"/>
                <w:sz w:val="14"/>
                <w:szCs w:val="14"/>
                <w:color w:val="auto"/>
              </w:rPr>
              <w:t>1,496</w:t>
            </w:r>
          </w:p>
        </w:tc>
        <w:tc>
          <w:tcPr>
            <w:tcW w:w="12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gridSpan w:val="2"/>
          </w:tcPr>
          <w:p>
            <w:pPr>
              <w:jc w:val="right"/>
              <w:ind w:right="68"/>
              <w:spacing w:after="0"/>
              <w:rPr>
                <w:sz w:val="20"/>
                <w:szCs w:val="20"/>
                <w:color w:val="auto"/>
              </w:rPr>
            </w:pPr>
            <w:r>
              <w:rPr>
                <w:rFonts w:ascii="Arial" w:cs="Arial" w:eastAsia="Arial" w:hAnsi="Arial"/>
                <w:sz w:val="14"/>
                <w:szCs w:val="14"/>
                <w:color w:val="auto"/>
              </w:rPr>
              <w:t>914</w:t>
            </w:r>
          </w:p>
        </w:tc>
        <w:tc>
          <w:tcPr>
            <w:tcW w:w="12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914</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0" w:type="dxa"/>
            <w:vAlign w:val="bottom"/>
          </w:tcPr>
          <w:p>
            <w:pPr>
              <w:ind w:left="20"/>
              <w:spacing w:after="0"/>
              <w:rPr>
                <w:sz w:val="20"/>
                <w:szCs w:val="20"/>
                <w:color w:val="auto"/>
              </w:rPr>
            </w:pPr>
            <w:r>
              <w:rPr>
                <w:rFonts w:ascii="Arial" w:cs="Arial" w:eastAsia="Arial" w:hAnsi="Arial"/>
                <w:sz w:val="14"/>
                <w:szCs w:val="14"/>
                <w:color w:val="auto"/>
              </w:rPr>
              <w:t>2/20/2023</w:t>
            </w:r>
          </w:p>
        </w:tc>
        <w:tc>
          <w:tcPr>
            <w:tcW w:w="1380" w:type="dxa"/>
            <w:vAlign w:val="bottom"/>
            <w:gridSpan w:val="2"/>
          </w:tcPr>
          <w:p>
            <w:pPr>
              <w:ind w:left="130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jc w:val="center"/>
              <w:ind w:left="8"/>
              <w:spacing w:after="0"/>
              <w:rPr>
                <w:sz w:val="20"/>
                <w:szCs w:val="20"/>
                <w:color w:val="auto"/>
              </w:rPr>
            </w:pPr>
            <w:r>
              <w:rPr>
                <w:rFonts w:ascii="Arial" w:cs="Arial" w:eastAsia="Arial" w:hAnsi="Arial"/>
                <w:sz w:val="14"/>
                <w:szCs w:val="14"/>
                <w:color w:val="auto"/>
              </w:rPr>
              <w:t>2,865</w:t>
            </w:r>
          </w:p>
        </w:tc>
        <w:tc>
          <w:tcPr>
            <w:tcW w:w="14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1,194</w:t>
            </w:r>
          </w:p>
        </w:tc>
        <w:tc>
          <w:tcPr>
            <w:tcW w:w="100" w:type="dxa"/>
            <w:vAlign w:val="bottom"/>
          </w:tcPr>
          <w:p>
            <w:pPr>
              <w:jc w:val="right"/>
              <w:ind w:right="71"/>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gridSpan w:val="2"/>
          </w:tcPr>
          <w:p>
            <w:pPr>
              <w:jc w:val="right"/>
              <w:ind w:right="48"/>
              <w:spacing w:after="0"/>
              <w:rPr>
                <w:sz w:val="20"/>
                <w:szCs w:val="20"/>
                <w:color w:val="auto"/>
              </w:rPr>
            </w:pPr>
            <w:r>
              <w:rPr>
                <w:rFonts w:ascii="Arial" w:cs="Arial" w:eastAsia="Arial" w:hAnsi="Arial"/>
                <w:sz w:val="14"/>
                <w:szCs w:val="14"/>
                <w:color w:val="auto"/>
              </w:rPr>
              <w:t>764</w:t>
            </w:r>
          </w:p>
        </w:tc>
        <w:tc>
          <w:tcPr>
            <w:tcW w:w="12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gridSpan w:val="2"/>
          </w:tcPr>
          <w:p>
            <w:pPr>
              <w:jc w:val="right"/>
              <w:ind w:right="68"/>
              <w:spacing w:after="0"/>
              <w:rPr>
                <w:sz w:val="20"/>
                <w:szCs w:val="20"/>
                <w:color w:val="auto"/>
              </w:rPr>
            </w:pPr>
            <w:r>
              <w:rPr>
                <w:rFonts w:ascii="Arial" w:cs="Arial" w:eastAsia="Arial" w:hAnsi="Arial"/>
                <w:sz w:val="14"/>
                <w:szCs w:val="14"/>
                <w:color w:val="auto"/>
              </w:rPr>
              <w:t>430</w:t>
            </w:r>
          </w:p>
        </w:tc>
        <w:tc>
          <w:tcPr>
            <w:tcW w:w="12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0" w:type="dxa"/>
            <w:vAlign w:val="bottom"/>
          </w:tcPr>
          <w:p>
            <w:pPr>
              <w:ind w:left="20"/>
              <w:spacing w:after="0"/>
              <w:rPr>
                <w:sz w:val="20"/>
                <w:szCs w:val="20"/>
                <w:color w:val="auto"/>
              </w:rPr>
            </w:pPr>
            <w:r>
              <w:rPr>
                <w:rFonts w:ascii="Arial" w:cs="Arial" w:eastAsia="Arial" w:hAnsi="Arial"/>
                <w:sz w:val="14"/>
                <w:szCs w:val="14"/>
                <w:color w:val="auto"/>
              </w:rPr>
              <w:t>2/24/2023</w:t>
            </w:r>
          </w:p>
        </w:tc>
        <w:tc>
          <w:tcPr>
            <w:tcW w:w="1380" w:type="dxa"/>
            <w:vAlign w:val="bottom"/>
            <w:gridSpan w:val="2"/>
          </w:tcPr>
          <w:p>
            <w:pPr>
              <w:ind w:left="130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jc w:val="center"/>
              <w:ind w:left="8"/>
              <w:spacing w:after="0"/>
              <w:rPr>
                <w:sz w:val="20"/>
                <w:szCs w:val="20"/>
                <w:color w:val="auto"/>
              </w:rPr>
            </w:pPr>
            <w:r>
              <w:rPr>
                <w:rFonts w:ascii="Arial" w:cs="Arial" w:eastAsia="Arial" w:hAnsi="Arial"/>
                <w:sz w:val="14"/>
                <w:szCs w:val="14"/>
                <w:color w:val="auto"/>
              </w:rPr>
              <w:t>9,268</w:t>
            </w:r>
          </w:p>
        </w:tc>
        <w:tc>
          <w:tcPr>
            <w:tcW w:w="14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4,634</w:t>
            </w:r>
          </w:p>
        </w:tc>
        <w:tc>
          <w:tcPr>
            <w:tcW w:w="100" w:type="dxa"/>
            <w:vAlign w:val="bottom"/>
          </w:tcPr>
          <w:p>
            <w:pPr>
              <w:jc w:val="right"/>
              <w:ind w:right="71"/>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gridSpan w:val="2"/>
          </w:tcPr>
          <w:p>
            <w:pPr>
              <w:jc w:val="right"/>
              <w:ind w:right="48"/>
              <w:spacing w:after="0"/>
              <w:rPr>
                <w:sz w:val="20"/>
                <w:szCs w:val="20"/>
                <w:color w:val="auto"/>
              </w:rPr>
            </w:pPr>
            <w:r>
              <w:rPr>
                <w:rFonts w:ascii="Arial" w:cs="Arial" w:eastAsia="Arial" w:hAnsi="Arial"/>
                <w:sz w:val="14"/>
                <w:szCs w:val="14"/>
                <w:color w:val="auto"/>
              </w:rPr>
              <w:t>2,471</w:t>
            </w:r>
          </w:p>
        </w:tc>
        <w:tc>
          <w:tcPr>
            <w:tcW w:w="12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gridSpan w:val="2"/>
          </w:tcPr>
          <w:p>
            <w:pPr>
              <w:jc w:val="right"/>
              <w:ind w:right="48"/>
              <w:spacing w:after="0"/>
              <w:rPr>
                <w:sz w:val="20"/>
                <w:szCs w:val="20"/>
                <w:color w:val="auto"/>
              </w:rPr>
            </w:pPr>
            <w:r>
              <w:rPr>
                <w:rFonts w:ascii="Arial" w:cs="Arial" w:eastAsia="Arial" w:hAnsi="Arial"/>
                <w:sz w:val="14"/>
                <w:szCs w:val="14"/>
                <w:color w:val="auto"/>
              </w:rPr>
              <w:t>1,390</w:t>
            </w:r>
          </w:p>
        </w:tc>
        <w:tc>
          <w:tcPr>
            <w:tcW w:w="12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1,390</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0" w:type="dxa"/>
            <w:vAlign w:val="bottom"/>
          </w:tcPr>
          <w:p>
            <w:pPr>
              <w:ind w:left="20"/>
              <w:spacing w:after="0"/>
              <w:rPr>
                <w:sz w:val="20"/>
                <w:szCs w:val="20"/>
                <w:color w:val="auto"/>
              </w:rPr>
            </w:pPr>
            <w:r>
              <w:rPr>
                <w:rFonts w:ascii="Arial" w:cs="Arial" w:eastAsia="Arial" w:hAnsi="Arial"/>
                <w:sz w:val="14"/>
                <w:szCs w:val="14"/>
                <w:color w:val="auto"/>
              </w:rPr>
              <w:t>9/10/2023</w:t>
            </w:r>
          </w:p>
        </w:tc>
        <w:tc>
          <w:tcPr>
            <w:tcW w:w="1380" w:type="dxa"/>
            <w:vAlign w:val="bottom"/>
            <w:gridSpan w:val="2"/>
          </w:tcPr>
          <w:p>
            <w:pPr>
              <w:ind w:left="130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spacing w:after="0"/>
              <w:rPr>
                <w:sz w:val="18"/>
                <w:szCs w:val="18"/>
                <w:color w:val="auto"/>
              </w:rPr>
            </w:pPr>
          </w:p>
        </w:tc>
        <w:tc>
          <w:tcPr>
            <w:tcW w:w="14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ind w:right="71"/>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0" w:type="dxa"/>
            <w:vAlign w:val="bottom"/>
          </w:tcPr>
          <w:p>
            <w:pPr>
              <w:spacing w:after="0"/>
              <w:rPr>
                <w:sz w:val="6"/>
                <w:szCs w:val="6"/>
                <w:color w:val="auto"/>
              </w:rPr>
            </w:pPr>
          </w:p>
        </w:tc>
        <w:tc>
          <w:tcPr>
            <w:tcW w:w="1380" w:type="dxa"/>
            <w:vAlign w:val="bottom"/>
            <w:gridSpan w:val="2"/>
          </w:tcPr>
          <w:p>
            <w:pPr>
              <w:ind w:left="130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spacing w:after="0"/>
              <w:rPr>
                <w:sz w:val="6"/>
                <w:szCs w:val="6"/>
                <w:color w:val="auto"/>
              </w:rPr>
            </w:pPr>
          </w:p>
        </w:tc>
        <w:tc>
          <w:tcPr>
            <w:tcW w:w="14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jc w:val="right"/>
              <w:ind w:right="71"/>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0" w:type="dxa"/>
            <w:vAlign w:val="bottom"/>
          </w:tcPr>
          <w:p>
            <w:pPr>
              <w:ind w:left="20"/>
              <w:spacing w:after="0"/>
              <w:rPr>
                <w:sz w:val="20"/>
                <w:szCs w:val="20"/>
                <w:color w:val="auto"/>
              </w:rPr>
            </w:pPr>
            <w:r>
              <w:rPr>
                <w:rFonts w:ascii="Arial" w:cs="Arial" w:eastAsia="Arial" w:hAnsi="Arial"/>
                <w:sz w:val="14"/>
                <w:szCs w:val="14"/>
                <w:b w:val="1"/>
                <w:bCs w:val="1"/>
                <w:color w:val="auto"/>
              </w:rPr>
              <w:t>2024</w:t>
            </w:r>
          </w:p>
        </w:tc>
        <w:tc>
          <w:tcPr>
            <w:tcW w:w="1380" w:type="dxa"/>
            <w:vAlign w:val="bottom"/>
            <w:gridSpan w:val="2"/>
          </w:tcPr>
          <w:p>
            <w:pPr>
              <w:ind w:left="130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spacing w:after="0"/>
              <w:rPr>
                <w:sz w:val="21"/>
                <w:szCs w:val="21"/>
                <w:color w:val="auto"/>
              </w:rPr>
            </w:pPr>
          </w:p>
        </w:tc>
        <w:tc>
          <w:tcPr>
            <w:tcW w:w="14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jc w:val="right"/>
              <w:ind w:right="71"/>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0" w:type="dxa"/>
            <w:vAlign w:val="bottom"/>
          </w:tcPr>
          <w:p>
            <w:pPr>
              <w:ind w:left="20"/>
              <w:spacing w:after="0"/>
              <w:rPr>
                <w:sz w:val="20"/>
                <w:szCs w:val="20"/>
                <w:color w:val="auto"/>
              </w:rPr>
            </w:pPr>
            <w:r>
              <w:rPr>
                <w:rFonts w:ascii="Arial" w:cs="Arial" w:eastAsia="Arial" w:hAnsi="Arial"/>
                <w:sz w:val="14"/>
                <w:szCs w:val="14"/>
                <w:color w:val="auto"/>
              </w:rPr>
              <w:t>2/18/2024</w:t>
            </w:r>
          </w:p>
        </w:tc>
        <w:tc>
          <w:tcPr>
            <w:tcW w:w="1380" w:type="dxa"/>
            <w:vAlign w:val="bottom"/>
            <w:gridSpan w:val="2"/>
          </w:tcPr>
          <w:p>
            <w:pPr>
              <w:ind w:left="130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jc w:val="center"/>
              <w:ind w:left="8"/>
              <w:spacing w:after="0"/>
              <w:rPr>
                <w:sz w:val="20"/>
                <w:szCs w:val="20"/>
                <w:color w:val="auto"/>
              </w:rPr>
            </w:pPr>
            <w:r>
              <w:rPr>
                <w:rFonts w:ascii="Arial" w:cs="Arial" w:eastAsia="Arial" w:hAnsi="Arial"/>
                <w:sz w:val="14"/>
                <w:szCs w:val="14"/>
                <w:color w:val="auto"/>
              </w:rPr>
              <w:t>4,986</w:t>
            </w:r>
          </w:p>
        </w:tc>
        <w:tc>
          <w:tcPr>
            <w:tcW w:w="14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3,491</w:t>
            </w:r>
          </w:p>
        </w:tc>
        <w:tc>
          <w:tcPr>
            <w:tcW w:w="100" w:type="dxa"/>
            <w:vAlign w:val="bottom"/>
          </w:tcPr>
          <w:p>
            <w:pPr>
              <w:jc w:val="right"/>
              <w:ind w:right="71"/>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gridSpan w:val="2"/>
          </w:tcPr>
          <w:p>
            <w:pPr>
              <w:jc w:val="right"/>
              <w:ind w:right="48"/>
              <w:spacing w:after="0"/>
              <w:rPr>
                <w:sz w:val="20"/>
                <w:szCs w:val="20"/>
                <w:color w:val="auto"/>
              </w:rPr>
            </w:pPr>
            <w:r>
              <w:rPr>
                <w:rFonts w:ascii="Arial" w:cs="Arial" w:eastAsia="Arial" w:hAnsi="Arial"/>
                <w:sz w:val="14"/>
                <w:szCs w:val="14"/>
                <w:color w:val="auto"/>
              </w:rPr>
              <w:t>1,496</w:t>
            </w:r>
          </w:p>
        </w:tc>
        <w:tc>
          <w:tcPr>
            <w:tcW w:w="12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gridSpan w:val="2"/>
          </w:tcPr>
          <w:p>
            <w:pPr>
              <w:jc w:val="right"/>
              <w:ind w:right="68"/>
              <w:spacing w:after="0"/>
              <w:rPr>
                <w:sz w:val="20"/>
                <w:szCs w:val="20"/>
                <w:color w:val="auto"/>
              </w:rPr>
            </w:pPr>
            <w:r>
              <w:rPr>
                <w:rFonts w:ascii="Arial" w:cs="Arial" w:eastAsia="Arial" w:hAnsi="Arial"/>
                <w:sz w:val="14"/>
                <w:szCs w:val="14"/>
                <w:color w:val="auto"/>
              </w:rPr>
              <w:t>914</w:t>
            </w:r>
          </w:p>
        </w:tc>
        <w:tc>
          <w:tcPr>
            <w:tcW w:w="12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915</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0" w:type="dxa"/>
            <w:vAlign w:val="bottom"/>
          </w:tcPr>
          <w:p>
            <w:pPr>
              <w:ind w:left="20"/>
              <w:spacing w:after="0"/>
              <w:rPr>
                <w:sz w:val="20"/>
                <w:szCs w:val="20"/>
                <w:color w:val="auto"/>
              </w:rPr>
            </w:pPr>
            <w:r>
              <w:rPr>
                <w:rFonts w:ascii="Arial" w:cs="Arial" w:eastAsia="Arial" w:hAnsi="Arial"/>
                <w:sz w:val="14"/>
                <w:szCs w:val="14"/>
                <w:color w:val="auto"/>
              </w:rPr>
              <w:t>2/24/2024</w:t>
            </w:r>
          </w:p>
        </w:tc>
        <w:tc>
          <w:tcPr>
            <w:tcW w:w="1380" w:type="dxa"/>
            <w:vAlign w:val="bottom"/>
            <w:gridSpan w:val="2"/>
          </w:tcPr>
          <w:p>
            <w:pPr>
              <w:ind w:left="130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jc w:val="center"/>
              <w:ind w:left="8"/>
              <w:spacing w:after="0"/>
              <w:rPr>
                <w:sz w:val="20"/>
                <w:szCs w:val="20"/>
                <w:color w:val="auto"/>
              </w:rPr>
            </w:pPr>
            <w:r>
              <w:rPr>
                <w:rFonts w:ascii="Arial" w:cs="Arial" w:eastAsia="Arial" w:hAnsi="Arial"/>
                <w:sz w:val="14"/>
                <w:szCs w:val="14"/>
                <w:color w:val="auto"/>
              </w:rPr>
              <w:t>9,268</w:t>
            </w:r>
          </w:p>
        </w:tc>
        <w:tc>
          <w:tcPr>
            <w:tcW w:w="14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4,634</w:t>
            </w:r>
          </w:p>
        </w:tc>
        <w:tc>
          <w:tcPr>
            <w:tcW w:w="100" w:type="dxa"/>
            <w:vAlign w:val="bottom"/>
          </w:tcPr>
          <w:p>
            <w:pPr>
              <w:jc w:val="right"/>
              <w:ind w:right="71"/>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gridSpan w:val="2"/>
          </w:tcPr>
          <w:p>
            <w:pPr>
              <w:jc w:val="right"/>
              <w:ind w:right="48"/>
              <w:spacing w:after="0"/>
              <w:rPr>
                <w:sz w:val="20"/>
                <w:szCs w:val="20"/>
                <w:color w:val="auto"/>
              </w:rPr>
            </w:pPr>
            <w:r>
              <w:rPr>
                <w:rFonts w:ascii="Arial" w:cs="Arial" w:eastAsia="Arial" w:hAnsi="Arial"/>
                <w:sz w:val="14"/>
                <w:szCs w:val="14"/>
                <w:color w:val="auto"/>
              </w:rPr>
              <w:t>2,471</w:t>
            </w:r>
          </w:p>
        </w:tc>
        <w:tc>
          <w:tcPr>
            <w:tcW w:w="12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gridSpan w:val="2"/>
          </w:tcPr>
          <w:p>
            <w:pPr>
              <w:jc w:val="right"/>
              <w:ind w:right="48"/>
              <w:spacing w:after="0"/>
              <w:rPr>
                <w:sz w:val="20"/>
                <w:szCs w:val="20"/>
                <w:color w:val="auto"/>
              </w:rPr>
            </w:pPr>
            <w:r>
              <w:rPr>
                <w:rFonts w:ascii="Arial" w:cs="Arial" w:eastAsia="Arial" w:hAnsi="Arial"/>
                <w:sz w:val="14"/>
                <w:szCs w:val="14"/>
                <w:color w:val="auto"/>
              </w:rPr>
              <w:t>1,390</w:t>
            </w:r>
          </w:p>
        </w:tc>
        <w:tc>
          <w:tcPr>
            <w:tcW w:w="12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1,390</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0" w:type="dxa"/>
            <w:vAlign w:val="bottom"/>
          </w:tcPr>
          <w:p>
            <w:pPr>
              <w:spacing w:after="0"/>
              <w:rPr>
                <w:sz w:val="6"/>
                <w:szCs w:val="6"/>
                <w:color w:val="auto"/>
              </w:rPr>
            </w:pPr>
          </w:p>
        </w:tc>
        <w:tc>
          <w:tcPr>
            <w:tcW w:w="1380" w:type="dxa"/>
            <w:vAlign w:val="bottom"/>
            <w:gridSpan w:val="2"/>
          </w:tcPr>
          <w:p>
            <w:pPr>
              <w:ind w:left="130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spacing w:after="0"/>
              <w:rPr>
                <w:sz w:val="6"/>
                <w:szCs w:val="6"/>
                <w:color w:val="auto"/>
              </w:rPr>
            </w:pPr>
          </w:p>
        </w:tc>
        <w:tc>
          <w:tcPr>
            <w:tcW w:w="14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jc w:val="right"/>
              <w:ind w:right="71"/>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0" w:type="dxa"/>
            <w:vAlign w:val="bottom"/>
          </w:tcPr>
          <w:p>
            <w:pPr>
              <w:ind w:left="20"/>
              <w:spacing w:after="0"/>
              <w:rPr>
                <w:sz w:val="20"/>
                <w:szCs w:val="20"/>
                <w:color w:val="auto"/>
              </w:rPr>
            </w:pPr>
            <w:r>
              <w:rPr>
                <w:rFonts w:ascii="Arial" w:cs="Arial" w:eastAsia="Arial" w:hAnsi="Arial"/>
                <w:sz w:val="14"/>
                <w:szCs w:val="14"/>
                <w:b w:val="1"/>
                <w:bCs w:val="1"/>
                <w:color w:val="auto"/>
              </w:rPr>
              <w:t>2025</w:t>
            </w:r>
          </w:p>
        </w:tc>
        <w:tc>
          <w:tcPr>
            <w:tcW w:w="1380" w:type="dxa"/>
            <w:vAlign w:val="bottom"/>
            <w:gridSpan w:val="2"/>
          </w:tcPr>
          <w:p>
            <w:pPr>
              <w:ind w:left="130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spacing w:after="0"/>
              <w:rPr>
                <w:sz w:val="21"/>
                <w:szCs w:val="21"/>
                <w:color w:val="auto"/>
              </w:rPr>
            </w:pPr>
          </w:p>
        </w:tc>
        <w:tc>
          <w:tcPr>
            <w:tcW w:w="14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jc w:val="right"/>
              <w:ind w:right="71"/>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0" w:type="dxa"/>
            <w:vAlign w:val="bottom"/>
          </w:tcPr>
          <w:p>
            <w:pPr>
              <w:ind w:left="20"/>
              <w:spacing w:after="0"/>
              <w:rPr>
                <w:sz w:val="20"/>
                <w:szCs w:val="20"/>
                <w:color w:val="auto"/>
              </w:rPr>
            </w:pPr>
            <w:r>
              <w:rPr>
                <w:rFonts w:ascii="Arial" w:cs="Arial" w:eastAsia="Arial" w:hAnsi="Arial"/>
                <w:sz w:val="14"/>
                <w:szCs w:val="14"/>
                <w:color w:val="auto"/>
              </w:rPr>
              <w:t>2/24/2025</w:t>
            </w:r>
          </w:p>
        </w:tc>
        <w:tc>
          <w:tcPr>
            <w:tcW w:w="1380" w:type="dxa"/>
            <w:vAlign w:val="bottom"/>
            <w:gridSpan w:val="2"/>
          </w:tcPr>
          <w:p>
            <w:pPr>
              <w:ind w:left="130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jc w:val="center"/>
              <w:ind w:left="8"/>
              <w:spacing w:after="0"/>
              <w:rPr>
                <w:sz w:val="20"/>
                <w:szCs w:val="20"/>
                <w:color w:val="auto"/>
              </w:rPr>
            </w:pPr>
            <w:r>
              <w:rPr>
                <w:rFonts w:ascii="Arial" w:cs="Arial" w:eastAsia="Arial" w:hAnsi="Arial"/>
                <w:sz w:val="14"/>
                <w:szCs w:val="14"/>
                <w:color w:val="auto"/>
              </w:rPr>
              <w:t>9,268</w:t>
            </w:r>
          </w:p>
        </w:tc>
        <w:tc>
          <w:tcPr>
            <w:tcW w:w="14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4,634</w:t>
            </w:r>
          </w:p>
        </w:tc>
        <w:tc>
          <w:tcPr>
            <w:tcW w:w="100" w:type="dxa"/>
            <w:vAlign w:val="bottom"/>
          </w:tcPr>
          <w:p>
            <w:pPr>
              <w:jc w:val="right"/>
              <w:ind w:right="71"/>
              <w:spacing w:after="0"/>
              <w:rPr>
                <w:sz w:val="20"/>
                <w:szCs w:val="20"/>
                <w:color w:val="auto"/>
              </w:rPr>
            </w:pPr>
            <w:r>
              <w:rPr>
                <w:rFonts w:ascii="Times New Roman" w:cs="Times New Roman" w:eastAsia="Times New Roman" w:hAnsi="Times New Roman"/>
                <w:sz w:val="2"/>
                <w:szCs w:val="2"/>
                <w:color w:val="auto"/>
                <w:w w:val="4294942296"/>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gridSpan w:val="2"/>
          </w:tcPr>
          <w:p>
            <w:pPr>
              <w:jc w:val="right"/>
              <w:ind w:right="48"/>
              <w:spacing w:after="0"/>
              <w:rPr>
                <w:sz w:val="20"/>
                <w:szCs w:val="20"/>
                <w:color w:val="auto"/>
              </w:rPr>
            </w:pPr>
            <w:r>
              <w:rPr>
                <w:rFonts w:ascii="Arial" w:cs="Arial" w:eastAsia="Arial" w:hAnsi="Arial"/>
                <w:sz w:val="14"/>
                <w:szCs w:val="14"/>
                <w:color w:val="auto"/>
              </w:rPr>
              <w:t>2,471</w:t>
            </w:r>
          </w:p>
        </w:tc>
        <w:tc>
          <w:tcPr>
            <w:tcW w:w="12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gridSpan w:val="2"/>
          </w:tcPr>
          <w:p>
            <w:pPr>
              <w:jc w:val="right"/>
              <w:ind w:right="48"/>
              <w:spacing w:after="0"/>
              <w:rPr>
                <w:sz w:val="20"/>
                <w:szCs w:val="20"/>
                <w:color w:val="auto"/>
              </w:rPr>
            </w:pPr>
            <w:r>
              <w:rPr>
                <w:rFonts w:ascii="Arial" w:cs="Arial" w:eastAsia="Arial" w:hAnsi="Arial"/>
                <w:sz w:val="14"/>
                <w:szCs w:val="14"/>
                <w:color w:val="auto"/>
              </w:rPr>
              <w:t>1,391</w:t>
            </w:r>
          </w:p>
        </w:tc>
        <w:tc>
          <w:tcPr>
            <w:tcW w:w="12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1,391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5715000</wp:posOffset>
            </wp:positionH>
            <wp:positionV relativeFrom="paragraph">
              <wp:posOffset>-1494155</wp:posOffset>
            </wp:positionV>
            <wp:extent cx="4286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type w:val="continuous"/>
        </w:sectPr>
      </w:pPr>
    </w:p>
    <w:p>
      <w:pPr>
        <w:spacing w:after="0" w:line="107" w:lineRule="exact"/>
        <w:rPr>
          <w:sz w:val="20"/>
          <w:szCs w:val="20"/>
          <w:color w:val="auto"/>
        </w:rPr>
      </w:pPr>
    </w:p>
    <w:p>
      <w:pPr>
        <w:ind w:left="1260" w:right="1800" w:hanging="346"/>
        <w:spacing w:after="0" w:line="285" w:lineRule="auto"/>
        <w:tabs>
          <w:tab w:leader="none" w:pos="12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PRSUs granted for the three-year performance cycle beginning in 2021 assuming achievement at target levels of performance.</w:t>
      </w:r>
    </w:p>
    <w:p>
      <w:pPr>
        <w:spacing w:after="0" w:line="9" w:lineRule="exact"/>
        <w:rPr>
          <w:rFonts w:ascii="Arial" w:cs="Arial" w:eastAsia="Arial" w:hAnsi="Arial"/>
          <w:sz w:val="14"/>
          <w:szCs w:val="14"/>
          <w:color w:val="auto"/>
        </w:rPr>
      </w:pPr>
    </w:p>
    <w:p>
      <w:pPr>
        <w:ind w:left="1260" w:right="1800" w:hanging="346"/>
        <w:spacing w:after="0" w:line="285" w:lineRule="auto"/>
        <w:tabs>
          <w:tab w:leader="none" w:pos="12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PRSUs granted for the three-year performance cycle beginning in 2022 assuming achievement at target levels of performance.</w:t>
      </w:r>
    </w:p>
    <w:p>
      <w:pPr>
        <w:spacing w:after="0" w:line="22" w:lineRule="exact"/>
        <w:rPr>
          <w:rFonts w:ascii="Arial" w:cs="Arial" w:eastAsia="Arial" w:hAnsi="Arial"/>
          <w:sz w:val="14"/>
          <w:szCs w:val="14"/>
          <w:color w:val="auto"/>
        </w:rPr>
      </w:pPr>
    </w:p>
    <w:p>
      <w:pPr>
        <w:ind w:left="1260" w:hanging="346"/>
        <w:spacing w:after="0"/>
        <w:tabs>
          <w:tab w:leader="none" w:pos="12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Based on the closing price of our common stock on December 31, 2022 ($50.65).</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2022 Option Exercises and Stock Vested Table</w:t>
      </w:r>
    </w:p>
    <w:p>
      <w:pPr>
        <w:spacing w:after="0" w:line="171" w:lineRule="exact"/>
        <w:rPr>
          <w:sz w:val="20"/>
          <w:szCs w:val="20"/>
          <w:color w:val="auto"/>
        </w:rPr>
      </w:pPr>
    </w:p>
    <w:p>
      <w:pPr>
        <w:ind w:left="920" w:right="1060"/>
        <w:spacing w:after="0" w:line="271" w:lineRule="auto"/>
        <w:rPr>
          <w:sz w:val="20"/>
          <w:szCs w:val="20"/>
          <w:color w:val="auto"/>
        </w:rPr>
      </w:pPr>
      <w:r>
        <w:rPr>
          <w:rFonts w:ascii="Arial" w:cs="Arial" w:eastAsia="Arial" w:hAnsi="Arial"/>
          <w:sz w:val="18"/>
          <w:szCs w:val="18"/>
          <w:color w:val="auto"/>
        </w:rPr>
        <w:t>The following table provides information regarding stock option exercises and shares acquired upon the vesting of stock awards by the NEOs during the 2022 fiscal year.</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ITRON,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57785</wp:posOffset>
            </wp:positionV>
            <wp:extent cx="57518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57785</wp:posOffset>
            </wp:positionV>
            <wp:extent cx="57518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51830" cy="8890"/>
                    </a:xfrm>
                    <a:prstGeom prst="rect">
                      <a:avLst/>
                    </a:prstGeom>
                    <a:noFill/>
                  </pic:spPr>
                </pic:pic>
              </a:graphicData>
            </a:graphic>
          </wp:anchor>
        </w:drawing>
      </w:r>
    </w:p>
    <w:p>
      <w:pPr>
        <w:spacing w:after="0" w:line="157" w:lineRule="exact"/>
        <w:rPr>
          <w:sz w:val="20"/>
          <w:szCs w:val="20"/>
          <w:color w:val="auto"/>
        </w:rPr>
      </w:pPr>
    </w:p>
    <w:tbl>
      <w:tblPr>
        <w:tblLayout w:type="fixed"/>
        <w:tblInd w:w="980" w:type="dxa"/>
        <w:tblCellMar>
          <w:top w:w="0" w:type="dxa"/>
          <w:left w:w="0" w:type="dxa"/>
          <w:bottom w:w="0" w:type="dxa"/>
          <w:right w:w="0" w:type="dxa"/>
        </w:tblCellMar>
      </w:tblPr>
      <w:tr>
        <w:trPr>
          <w:trHeight w:val="196"/>
        </w:trPr>
        <w:tc>
          <w:tcPr>
            <w:tcW w:w="3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60" w:type="dxa"/>
            <w:vAlign w:val="bottom"/>
            <w:gridSpan w:val="4"/>
          </w:tcPr>
          <w:p>
            <w:pPr>
              <w:ind w:left="840"/>
              <w:spacing w:after="0"/>
              <w:rPr>
                <w:sz w:val="20"/>
                <w:szCs w:val="20"/>
                <w:color w:val="auto"/>
              </w:rPr>
            </w:pPr>
            <w:r>
              <w:rPr>
                <w:rFonts w:ascii="Arial" w:cs="Arial" w:eastAsia="Arial" w:hAnsi="Arial"/>
                <w:sz w:val="14"/>
                <w:szCs w:val="14"/>
                <w:b w:val="1"/>
                <w:bCs w:val="1"/>
                <w:color w:val="auto"/>
              </w:rPr>
              <w:t>Option Awards</w:t>
            </w:r>
          </w:p>
        </w:tc>
        <w:tc>
          <w:tcPr>
            <w:tcW w:w="2560" w:type="dxa"/>
            <w:vAlign w:val="bottom"/>
            <w:gridSpan w:val="3"/>
          </w:tcPr>
          <w:p>
            <w:pPr>
              <w:jc w:val="right"/>
              <w:ind w:right="719"/>
              <w:spacing w:after="0"/>
              <w:rPr>
                <w:sz w:val="20"/>
                <w:szCs w:val="20"/>
                <w:color w:val="auto"/>
              </w:rPr>
            </w:pPr>
            <w:r>
              <w:rPr>
                <w:rFonts w:ascii="Arial" w:cs="Arial" w:eastAsia="Arial" w:hAnsi="Arial"/>
                <w:sz w:val="14"/>
                <w:szCs w:val="14"/>
                <w:b w:val="1"/>
                <w:bCs w:val="1"/>
                <w:color w:val="auto"/>
              </w:rPr>
              <w:t>Stock Awards</w:t>
            </w:r>
          </w:p>
        </w:tc>
      </w:tr>
      <w:tr>
        <w:trPr>
          <w:trHeight w:val="56"/>
        </w:trPr>
        <w:tc>
          <w:tcPr>
            <w:tcW w:w="3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37"/>
        </w:trPr>
        <w:tc>
          <w:tcPr>
            <w:tcW w:w="3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Value Realized</w:t>
            </w: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6"/>
              </w:rPr>
              <w:t>Value</w:t>
            </w:r>
          </w:p>
        </w:tc>
      </w:tr>
      <w:tr>
        <w:trPr>
          <w:trHeight w:val="162"/>
        </w:trPr>
        <w:tc>
          <w:tcPr>
            <w:tcW w:w="3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Number of Shares</w:t>
            </w: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Upon</w:t>
            </w: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Number of Shares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Realized</w:t>
            </w:r>
          </w:p>
        </w:tc>
      </w:tr>
      <w:tr>
        <w:trPr>
          <w:trHeight w:val="162"/>
        </w:trPr>
        <w:tc>
          <w:tcPr>
            <w:tcW w:w="3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Acquired on Exercise</w:t>
            </w: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Exercises</w:t>
            </w: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Acquired on Vesting</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on Vesting</w:t>
            </w:r>
          </w:p>
        </w:tc>
      </w:tr>
      <w:tr>
        <w:trPr>
          <w:trHeight w:val="270"/>
        </w:trPr>
        <w:tc>
          <w:tcPr>
            <w:tcW w:w="348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23"/>
                <w:szCs w:val="23"/>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0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(1)</w:t>
            </w:r>
          </w:p>
        </w:tc>
        <w:tc>
          <w:tcPr>
            <w:tcW w:w="160" w:type="dxa"/>
            <w:vAlign w:val="bottom"/>
          </w:tcPr>
          <w:p>
            <w:pPr>
              <w:spacing w:after="0"/>
              <w:rPr>
                <w:sz w:val="23"/>
                <w:szCs w:val="23"/>
                <w:color w:val="auto"/>
              </w:rPr>
            </w:pPr>
          </w:p>
        </w:tc>
        <w:tc>
          <w:tcPr>
            <w:tcW w:w="100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28"/>
                <w:szCs w:val="28"/>
                <w:b w:val="1"/>
                <w:bCs w:val="1"/>
                <w:color w:val="auto"/>
                <w:w w:val="91"/>
                <w:vertAlign w:val="subscript"/>
              </w:rPr>
              <w:t>($)</w:t>
            </w:r>
            <w:r>
              <w:rPr>
                <w:rFonts w:ascii="Arial" w:cs="Arial" w:eastAsia="Arial" w:hAnsi="Arial"/>
                <w:sz w:val="12"/>
                <w:szCs w:val="12"/>
                <w:b w:val="1"/>
                <w:bCs w:val="1"/>
                <w:color w:val="auto"/>
                <w:w w:val="91"/>
              </w:rPr>
              <w:t>(1)(2)</w:t>
            </w:r>
          </w:p>
        </w:tc>
      </w:tr>
      <w:tr>
        <w:trPr>
          <w:trHeight w:val="295"/>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Thomas L. Deitrich</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58"/>
              <w:spacing w:after="0"/>
              <w:rPr>
                <w:sz w:val="20"/>
                <w:szCs w:val="20"/>
                <w:color w:val="auto"/>
              </w:rPr>
            </w:pPr>
            <w:r>
              <w:rPr>
                <w:rFonts w:ascii="Arial" w:cs="Arial" w:eastAsia="Arial" w:hAnsi="Arial"/>
                <w:sz w:val="18"/>
                <w:szCs w:val="18"/>
                <w:color w:val="auto"/>
              </w:rPr>
              <w:t>24,198</w:t>
            </w:r>
          </w:p>
        </w:tc>
        <w:tc>
          <w:tcPr>
            <w:tcW w:w="16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1,042,586</w:t>
            </w:r>
          </w:p>
        </w:tc>
      </w:tr>
      <w:tr>
        <w:trPr>
          <w:trHeight w:val="365"/>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Joan S. Hooper</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8"/>
              </w:rPr>
              <w:t>11,377</w:t>
            </w:r>
          </w:p>
        </w:tc>
        <w:tc>
          <w:tcPr>
            <w:tcW w:w="16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515,079</w:t>
            </w:r>
          </w:p>
        </w:tc>
      </w:tr>
      <w:tr>
        <w:trPr>
          <w:trHeight w:val="364"/>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Michel C. Cadieux</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58"/>
              <w:spacing w:after="0"/>
              <w:rPr>
                <w:sz w:val="20"/>
                <w:szCs w:val="20"/>
                <w:color w:val="auto"/>
              </w:rPr>
            </w:pPr>
            <w:r>
              <w:rPr>
                <w:rFonts w:ascii="Arial" w:cs="Arial" w:eastAsia="Arial" w:hAnsi="Arial"/>
                <w:sz w:val="18"/>
                <w:szCs w:val="18"/>
                <w:color w:val="auto"/>
              </w:rPr>
              <w:t>5,606</w:t>
            </w:r>
          </w:p>
        </w:tc>
        <w:tc>
          <w:tcPr>
            <w:tcW w:w="16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242,727</w:t>
            </w:r>
          </w:p>
        </w:tc>
      </w:tr>
      <w:tr>
        <w:trPr>
          <w:trHeight w:val="365"/>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Donald L. Reeves</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58"/>
              <w:spacing w:after="0"/>
              <w:rPr>
                <w:sz w:val="20"/>
                <w:szCs w:val="20"/>
                <w:color w:val="auto"/>
              </w:rPr>
            </w:pPr>
            <w:r>
              <w:rPr>
                <w:rFonts w:ascii="Arial" w:cs="Arial" w:eastAsia="Arial" w:hAnsi="Arial"/>
                <w:sz w:val="18"/>
                <w:szCs w:val="18"/>
                <w:color w:val="auto"/>
              </w:rPr>
              <w:t>3,108</w:t>
            </w:r>
          </w:p>
        </w:tc>
        <w:tc>
          <w:tcPr>
            <w:tcW w:w="16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127,127</w:t>
            </w:r>
          </w:p>
        </w:tc>
      </w:tr>
      <w:tr>
        <w:trPr>
          <w:trHeight w:val="365"/>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John F. Marcolini</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58"/>
              <w:spacing w:after="0"/>
              <w:rPr>
                <w:sz w:val="20"/>
                <w:szCs w:val="20"/>
                <w:color w:val="auto"/>
              </w:rPr>
            </w:pPr>
            <w:r>
              <w:rPr>
                <w:rFonts w:ascii="Arial" w:cs="Arial" w:eastAsia="Arial" w:hAnsi="Arial"/>
                <w:sz w:val="18"/>
                <w:szCs w:val="18"/>
                <w:color w:val="auto"/>
              </w:rPr>
              <w:t>2,999</w:t>
            </w:r>
          </w:p>
        </w:tc>
        <w:tc>
          <w:tcPr>
            <w:tcW w:w="16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119,790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125730</wp:posOffset>
            </wp:positionV>
            <wp:extent cx="8229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91" w:lineRule="exact"/>
        <w:rPr>
          <w:sz w:val="20"/>
          <w:szCs w:val="20"/>
          <w:color w:val="auto"/>
        </w:rPr>
      </w:pPr>
    </w:p>
    <w:p>
      <w:pPr>
        <w:ind w:left="1260" w:right="1220" w:hanging="346"/>
        <w:spacing w:after="0" w:line="285" w:lineRule="auto"/>
        <w:tabs>
          <w:tab w:leader="none" w:pos="12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PRSUs earned based on financial results, as adjusted, for the three-year performance cycle beginning in 2020 and vested on December 31, 2022.</w:t>
      </w:r>
    </w:p>
    <w:p>
      <w:pPr>
        <w:spacing w:after="0" w:line="36" w:lineRule="exact"/>
        <w:rPr>
          <w:rFonts w:ascii="Arial" w:cs="Arial" w:eastAsia="Arial" w:hAnsi="Arial"/>
          <w:sz w:val="14"/>
          <w:szCs w:val="14"/>
          <w:color w:val="auto"/>
        </w:rPr>
      </w:pPr>
    </w:p>
    <w:p>
      <w:pPr>
        <w:ind w:left="1280"/>
        <w:spacing w:after="0"/>
        <w:rPr>
          <w:rFonts w:ascii="Arial" w:cs="Arial" w:eastAsia="Arial" w:hAnsi="Arial"/>
          <w:sz w:val="14"/>
          <w:szCs w:val="14"/>
          <w:color w:val="auto"/>
        </w:rPr>
      </w:pPr>
      <w:r>
        <w:rPr>
          <w:rFonts w:ascii="Arial" w:cs="Arial" w:eastAsia="Arial" w:hAnsi="Arial"/>
          <w:sz w:val="14"/>
          <w:szCs w:val="14"/>
          <w:color w:val="auto"/>
        </w:rPr>
        <w:t>See “</w:t>
      </w:r>
      <w:r>
        <w:rPr>
          <w:rFonts w:ascii="Arial" w:cs="Arial" w:eastAsia="Arial" w:hAnsi="Arial"/>
          <w:sz w:val="14"/>
          <w:szCs w:val="14"/>
          <w:i w:val="1"/>
          <w:iCs w:val="1"/>
          <w:color w:val="auto"/>
        </w:rPr>
        <w:t>Long-Term Incentives — A Closer Look at PRSUs</w:t>
      </w:r>
      <w:r>
        <w:rPr>
          <w:rFonts w:ascii="Arial" w:cs="Arial" w:eastAsia="Arial" w:hAnsi="Arial"/>
          <w:sz w:val="14"/>
          <w:szCs w:val="14"/>
          <w:color w:val="auto"/>
        </w:rPr>
        <w:t>” in this proxy statement for more detail.</w:t>
      </w:r>
    </w:p>
    <w:p>
      <w:pPr>
        <w:spacing w:after="0" w:line="82" w:lineRule="exact"/>
        <w:rPr>
          <w:rFonts w:ascii="Arial" w:cs="Arial" w:eastAsia="Arial" w:hAnsi="Arial"/>
          <w:sz w:val="14"/>
          <w:szCs w:val="14"/>
          <w:color w:val="auto"/>
        </w:rPr>
      </w:pPr>
    </w:p>
    <w:p>
      <w:pPr>
        <w:ind w:left="1260" w:hanging="346"/>
        <w:spacing w:after="0"/>
        <w:tabs>
          <w:tab w:leader="none" w:pos="12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Based on the fair market value of our common stock on the vest date.</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-42-</w:t>
            </w:r>
          </w:p>
        </w:tc>
      </w:tr>
      <w:tr>
        <w:trPr>
          <w:trHeight w:val="219"/>
        </w:trPr>
        <w:tc>
          <w:tcPr>
            <w:tcW w:w="316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type w:val="continuous"/>
        </w:sectPr>
      </w:pPr>
    </w:p>
    <w:bookmarkStart w:id="46" w:name="page47"/>
    <w:bookmarkEnd w:id="46"/>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2022 Nonqualified Deferred Compensation Table</w:t>
      </w:r>
    </w:p>
    <w:p>
      <w:pPr>
        <w:spacing w:after="0" w:line="185" w:lineRule="exact"/>
        <w:rPr>
          <w:sz w:val="20"/>
          <w:szCs w:val="20"/>
          <w:color w:val="auto"/>
        </w:rPr>
      </w:pPr>
    </w:p>
    <w:p>
      <w:pPr>
        <w:ind w:left="920" w:right="980"/>
        <w:spacing w:after="0" w:line="271" w:lineRule="auto"/>
        <w:rPr>
          <w:sz w:val="20"/>
          <w:szCs w:val="20"/>
          <w:color w:val="auto"/>
        </w:rPr>
      </w:pPr>
      <w:r>
        <w:rPr>
          <w:rFonts w:ascii="Arial" w:cs="Arial" w:eastAsia="Arial" w:hAnsi="Arial"/>
          <w:sz w:val="18"/>
          <w:szCs w:val="18"/>
          <w:color w:val="auto"/>
        </w:rPr>
        <w:t>The following table provides information regarding the nonqualified deferred compensation of each of the NEOs for the 2022 fiscal year.</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ITRON,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57785</wp:posOffset>
            </wp:positionV>
            <wp:extent cx="57518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57785</wp:posOffset>
            </wp:positionV>
            <wp:extent cx="575183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15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Registrant</w:t>
            </w:r>
          </w:p>
        </w:tc>
        <w:tc>
          <w:tcPr>
            <w:tcW w:w="12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Aggregate</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2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Executive</w:t>
            </w:r>
          </w:p>
        </w:tc>
        <w:tc>
          <w:tcPr>
            <w:tcW w:w="13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Contributions</w:t>
            </w:r>
          </w:p>
        </w:tc>
        <w:tc>
          <w:tcPr>
            <w:tcW w:w="12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Earnings in</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Aggregate</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2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Contributions in</w:t>
            </w:r>
          </w:p>
        </w:tc>
        <w:tc>
          <w:tcPr>
            <w:tcW w:w="360" w:type="dxa"/>
            <w:vAlign w:val="bottom"/>
          </w:tcPr>
          <w:p>
            <w:pPr>
              <w:spacing w:after="0"/>
              <w:rPr>
                <w:sz w:val="14"/>
                <w:szCs w:val="14"/>
                <w:color w:val="auto"/>
              </w:rPr>
            </w:pPr>
          </w:p>
        </w:tc>
        <w:tc>
          <w:tcPr>
            <w:tcW w:w="9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in</w:t>
            </w:r>
          </w:p>
        </w:tc>
        <w:tc>
          <w:tcPr>
            <w:tcW w:w="12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Last Fiscal</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Withdrawals/</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Fiscal Year</w:t>
            </w:r>
          </w:p>
        </w:tc>
      </w:tr>
      <w:tr>
        <w:trPr>
          <w:trHeight w:val="162"/>
        </w:trPr>
        <w:tc>
          <w:tcPr>
            <w:tcW w:w="2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Last Fiscal Year</w:t>
            </w:r>
          </w:p>
        </w:tc>
        <w:tc>
          <w:tcPr>
            <w:tcW w:w="13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Last Fiscal Year</w:t>
            </w:r>
          </w:p>
        </w:tc>
        <w:tc>
          <w:tcPr>
            <w:tcW w:w="320" w:type="dxa"/>
            <w:vAlign w:val="bottom"/>
          </w:tcPr>
          <w:p>
            <w:pPr>
              <w:spacing w:after="0"/>
              <w:rPr>
                <w:sz w:val="14"/>
                <w:szCs w:val="14"/>
                <w:color w:val="auto"/>
              </w:rPr>
            </w:pPr>
          </w:p>
        </w:tc>
        <w:tc>
          <w:tcPr>
            <w:tcW w:w="9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Year</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Distributions</w:t>
            </w:r>
          </w:p>
        </w:tc>
        <w:tc>
          <w:tcPr>
            <w:tcW w:w="340" w:type="dxa"/>
            <w:vAlign w:val="bottom"/>
          </w:tcPr>
          <w:p>
            <w:pPr>
              <w:spacing w:after="0"/>
              <w:rPr>
                <w:sz w:val="14"/>
                <w:szCs w:val="14"/>
                <w:color w:val="auto"/>
              </w:rPr>
            </w:pPr>
          </w:p>
        </w:tc>
        <w:tc>
          <w:tcPr>
            <w:tcW w:w="720" w:type="dxa"/>
            <w:vAlign w:val="bottom"/>
          </w:tcPr>
          <w:p>
            <w:pPr>
              <w:jc w:val="center"/>
              <w:ind w:right="256"/>
              <w:spacing w:after="0"/>
              <w:rPr>
                <w:sz w:val="20"/>
                <w:szCs w:val="20"/>
                <w:color w:val="auto"/>
              </w:rPr>
            </w:pPr>
            <w:r>
              <w:rPr>
                <w:rFonts w:ascii="Arial" w:cs="Arial" w:eastAsia="Arial" w:hAnsi="Arial"/>
                <w:sz w:val="14"/>
                <w:szCs w:val="14"/>
                <w:b w:val="1"/>
                <w:bCs w:val="1"/>
                <w:color w:val="auto"/>
                <w:w w:val="98"/>
              </w:rPr>
              <w:t>End</w:t>
            </w:r>
          </w:p>
        </w:tc>
      </w:tr>
      <w:tr>
        <w:trPr>
          <w:trHeight w:val="270"/>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(1)</w:t>
            </w:r>
          </w:p>
        </w:tc>
        <w:tc>
          <w:tcPr>
            <w:tcW w:w="2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(2)</w:t>
            </w:r>
          </w:p>
        </w:tc>
        <w:tc>
          <w:tcPr>
            <w:tcW w:w="2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rPr>
              <w:t>($)</w:t>
            </w:r>
          </w:p>
        </w:tc>
      </w:tr>
      <w:tr>
        <w:trPr>
          <w:trHeight w:val="295"/>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Thomas L. Deitrich</w:t>
            </w:r>
          </w:p>
        </w:tc>
        <w:tc>
          <w:tcPr>
            <w:tcW w:w="340" w:type="dxa"/>
            <w:vAlign w:val="bottom"/>
          </w:tcPr>
          <w:p>
            <w:pPr>
              <w:spacing w:after="0"/>
              <w:rPr>
                <w:sz w:val="24"/>
                <w:szCs w:val="2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4"/>
                <w:szCs w:val="24"/>
                <w:color w:val="auto"/>
              </w:rPr>
            </w:pPr>
          </w:p>
        </w:tc>
        <w:tc>
          <w:tcPr>
            <w:tcW w:w="720" w:type="dxa"/>
            <w:vAlign w:val="bottom"/>
          </w:tcPr>
          <w:p>
            <w:pPr>
              <w:ind w:left="340"/>
              <w:spacing w:after="0"/>
              <w:rPr>
                <w:sz w:val="20"/>
                <w:szCs w:val="20"/>
                <w:color w:val="auto"/>
              </w:rPr>
            </w:pPr>
            <w:r>
              <w:rPr>
                <w:rFonts w:ascii="Arial" w:cs="Arial" w:eastAsia="Arial" w:hAnsi="Arial"/>
                <w:sz w:val="18"/>
                <w:szCs w:val="18"/>
                <w:color w:val="auto"/>
              </w:rPr>
              <w:t>—</w:t>
            </w:r>
          </w:p>
        </w:tc>
      </w:tr>
      <w:tr>
        <w:trPr>
          <w:trHeight w:val="364"/>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Joan S. Hooper</w:t>
            </w:r>
          </w:p>
        </w:tc>
        <w:tc>
          <w:tcPr>
            <w:tcW w:w="1120" w:type="dxa"/>
            <w:vAlign w:val="bottom"/>
            <w:gridSpan w:val="2"/>
          </w:tcPr>
          <w:p>
            <w:pPr>
              <w:ind w:left="220"/>
              <w:spacing w:after="0"/>
              <w:rPr>
                <w:sz w:val="20"/>
                <w:szCs w:val="20"/>
                <w:color w:val="auto"/>
              </w:rPr>
            </w:pPr>
            <w:r>
              <w:rPr>
                <w:rFonts w:ascii="Arial" w:cs="Arial" w:eastAsia="Arial" w:hAnsi="Arial"/>
                <w:sz w:val="18"/>
                <w:szCs w:val="18"/>
                <w:color w:val="auto"/>
              </w:rPr>
              <w:t>132,086</w:t>
            </w:r>
          </w:p>
        </w:tc>
        <w:tc>
          <w:tcPr>
            <w:tcW w:w="200" w:type="dxa"/>
            <w:vAlign w:val="bottom"/>
          </w:tcPr>
          <w:p>
            <w:pPr>
              <w:spacing w:after="0"/>
              <w:rPr>
                <w:sz w:val="24"/>
                <w:szCs w:val="24"/>
                <w:color w:val="auto"/>
              </w:rPr>
            </w:pPr>
          </w:p>
        </w:tc>
        <w:tc>
          <w:tcPr>
            <w:tcW w:w="1100" w:type="dxa"/>
            <w:vAlign w:val="bottom"/>
            <w:gridSpan w:val="2"/>
          </w:tcPr>
          <w:p>
            <w:pPr>
              <w:jc w:val="right"/>
              <w:ind w:right="176"/>
              <w:spacing w:after="0"/>
              <w:rPr>
                <w:sz w:val="20"/>
                <w:szCs w:val="20"/>
                <w:color w:val="auto"/>
              </w:rPr>
            </w:pPr>
            <w:r>
              <w:rPr>
                <w:rFonts w:ascii="Arial" w:cs="Arial" w:eastAsia="Arial" w:hAnsi="Arial"/>
                <w:sz w:val="18"/>
                <w:szCs w:val="18"/>
                <w:color w:val="auto"/>
              </w:rPr>
              <w:t>25,764</w:t>
            </w:r>
          </w:p>
        </w:tc>
        <w:tc>
          <w:tcPr>
            <w:tcW w:w="200" w:type="dxa"/>
            <w:vAlign w:val="bottom"/>
          </w:tcPr>
          <w:p>
            <w:pPr>
              <w:spacing w:after="0"/>
              <w:rPr>
                <w:sz w:val="24"/>
                <w:szCs w:val="24"/>
                <w:color w:val="auto"/>
              </w:rPr>
            </w:pPr>
          </w:p>
        </w:tc>
        <w:tc>
          <w:tcPr>
            <w:tcW w:w="1080" w:type="dxa"/>
            <w:vAlign w:val="bottom"/>
            <w:gridSpan w:val="2"/>
          </w:tcPr>
          <w:p>
            <w:pPr>
              <w:jc w:val="right"/>
              <w:ind w:right="36"/>
              <w:spacing w:after="0"/>
              <w:rPr>
                <w:sz w:val="20"/>
                <w:szCs w:val="20"/>
                <w:color w:val="auto"/>
              </w:rPr>
            </w:pPr>
            <w:r>
              <w:rPr>
                <w:rFonts w:ascii="Arial" w:cs="Arial" w:eastAsia="Arial" w:hAnsi="Arial"/>
                <w:sz w:val="18"/>
                <w:szCs w:val="18"/>
                <w:color w:val="auto"/>
              </w:rPr>
              <w:t>(171,844)</w:t>
            </w:r>
          </w:p>
        </w:tc>
        <w:tc>
          <w:tcPr>
            <w:tcW w:w="180" w:type="dxa"/>
            <w:vAlign w:val="bottom"/>
          </w:tcPr>
          <w:p>
            <w:pPr>
              <w:spacing w:after="0"/>
              <w:rPr>
                <w:sz w:val="24"/>
                <w:szCs w:val="2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873,307</w:t>
            </w:r>
          </w:p>
        </w:tc>
      </w:tr>
      <w:tr>
        <w:trPr>
          <w:trHeight w:val="364"/>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Michel C. Cadieux</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340" w:type="dxa"/>
            <w:vAlign w:val="bottom"/>
          </w:tcPr>
          <w:p>
            <w:pPr>
              <w:ind w:left="220"/>
              <w:spacing w:after="0"/>
              <w:rPr>
                <w:sz w:val="20"/>
                <w:szCs w:val="20"/>
                <w:color w:val="auto"/>
              </w:rPr>
            </w:pPr>
            <w:r>
              <w:rPr>
                <w:rFonts w:ascii="Arial" w:cs="Arial" w:eastAsia="Arial" w:hAnsi="Arial"/>
                <w:sz w:val="18"/>
                <w:szCs w:val="18"/>
                <w:color w:val="auto"/>
              </w:rPr>
              <w:t>​</w:t>
            </w:r>
          </w:p>
        </w:tc>
        <w:tc>
          <w:tcPr>
            <w:tcW w:w="720" w:type="dxa"/>
            <w:vAlign w:val="bottom"/>
          </w:tcPr>
          <w:p>
            <w:pPr>
              <w:ind w:left="340"/>
              <w:spacing w:after="0"/>
              <w:rPr>
                <w:sz w:val="20"/>
                <w:szCs w:val="20"/>
                <w:color w:val="auto"/>
              </w:rPr>
            </w:pPr>
            <w:r>
              <w:rPr>
                <w:rFonts w:ascii="Arial" w:cs="Arial" w:eastAsia="Arial" w:hAnsi="Arial"/>
                <w:sz w:val="18"/>
                <w:szCs w:val="18"/>
                <w:color w:val="auto"/>
              </w:rPr>
              <w:t>—</w:t>
            </w:r>
          </w:p>
        </w:tc>
      </w:tr>
      <w:tr>
        <w:trPr>
          <w:trHeight w:val="365"/>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Donald L. Reeves</w:t>
            </w:r>
          </w:p>
        </w:tc>
        <w:tc>
          <w:tcPr>
            <w:tcW w:w="340" w:type="dxa"/>
            <w:vAlign w:val="bottom"/>
          </w:tcPr>
          <w:p>
            <w:pPr>
              <w:spacing w:after="0"/>
              <w:rPr>
                <w:sz w:val="24"/>
                <w:szCs w:val="2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4"/>
                <w:szCs w:val="24"/>
                <w:color w:val="auto"/>
              </w:rPr>
            </w:pPr>
          </w:p>
        </w:tc>
        <w:tc>
          <w:tcPr>
            <w:tcW w:w="720" w:type="dxa"/>
            <w:vAlign w:val="bottom"/>
          </w:tcPr>
          <w:p>
            <w:pPr>
              <w:ind w:left="340"/>
              <w:spacing w:after="0"/>
              <w:rPr>
                <w:sz w:val="20"/>
                <w:szCs w:val="20"/>
                <w:color w:val="auto"/>
              </w:rPr>
            </w:pPr>
            <w:r>
              <w:rPr>
                <w:rFonts w:ascii="Arial" w:cs="Arial" w:eastAsia="Arial" w:hAnsi="Arial"/>
                <w:sz w:val="18"/>
                <w:szCs w:val="18"/>
                <w:color w:val="auto"/>
              </w:rPr>
              <w:t>—</w:t>
            </w:r>
          </w:p>
        </w:tc>
      </w:tr>
      <w:tr>
        <w:trPr>
          <w:trHeight w:val="364"/>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John F. Marcolini</w:t>
            </w:r>
          </w:p>
        </w:tc>
        <w:tc>
          <w:tcPr>
            <w:tcW w:w="340" w:type="dxa"/>
            <w:vAlign w:val="bottom"/>
          </w:tcPr>
          <w:p>
            <w:pPr>
              <w:spacing w:after="0"/>
              <w:rPr>
                <w:sz w:val="24"/>
                <w:szCs w:val="2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4"/>
                <w:szCs w:val="24"/>
                <w:color w:val="auto"/>
              </w:rPr>
            </w:pPr>
          </w:p>
        </w:tc>
        <w:tc>
          <w:tcPr>
            <w:tcW w:w="720" w:type="dxa"/>
            <w:vAlign w:val="bottom"/>
          </w:tcPr>
          <w:p>
            <w:pPr>
              <w:ind w:left="3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125730</wp:posOffset>
            </wp:positionV>
            <wp:extent cx="8229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91" w:lineRule="exact"/>
        <w:rPr>
          <w:sz w:val="20"/>
          <w:szCs w:val="20"/>
          <w:color w:val="auto"/>
        </w:rPr>
      </w:pPr>
    </w:p>
    <w:p>
      <w:pPr>
        <w:ind w:left="1260" w:hanging="346"/>
        <w:spacing w:after="0"/>
        <w:tabs>
          <w:tab w:leader="none" w:pos="12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This deferred compensation represents amounts that are reported as compensation earned in 2022 in the Summary Compensation Table.</w:t>
      </w:r>
    </w:p>
    <w:p>
      <w:pPr>
        <w:spacing w:after="0" w:line="68" w:lineRule="exact"/>
        <w:rPr>
          <w:rFonts w:ascii="Arial" w:cs="Arial" w:eastAsia="Arial" w:hAnsi="Arial"/>
          <w:sz w:val="14"/>
          <w:szCs w:val="14"/>
          <w:color w:val="auto"/>
        </w:rPr>
      </w:pPr>
    </w:p>
    <w:p>
      <w:pPr>
        <w:ind w:left="1260" w:hanging="346"/>
        <w:spacing w:after="0"/>
        <w:tabs>
          <w:tab w:leader="none" w:pos="12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This amount has been included in the “All Other Compensation” column of the Summary Compensation Table.</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Potential Payments upon Termination</w:t>
      </w:r>
    </w:p>
    <w:p>
      <w:pPr>
        <w:spacing w:after="0" w:line="171" w:lineRule="exact"/>
        <w:rPr>
          <w:sz w:val="20"/>
          <w:szCs w:val="20"/>
          <w:color w:val="auto"/>
        </w:rPr>
      </w:pPr>
    </w:p>
    <w:p>
      <w:pPr>
        <w:ind w:left="920" w:right="1080"/>
        <w:spacing w:after="0" w:line="271" w:lineRule="auto"/>
        <w:rPr>
          <w:sz w:val="20"/>
          <w:szCs w:val="20"/>
          <w:color w:val="auto"/>
        </w:rPr>
      </w:pPr>
      <w:r>
        <w:rPr>
          <w:rFonts w:ascii="Arial" w:cs="Arial" w:eastAsia="Arial" w:hAnsi="Arial"/>
          <w:sz w:val="18"/>
          <w:szCs w:val="18"/>
          <w:color w:val="auto"/>
        </w:rPr>
        <w:t>The following describes certain actions and payments upon termination in accordance with Company policies, the IIP and the provisions of our 2010 SIP, pursuant to which all of our equity awards are granted.</w:t>
      </w:r>
    </w:p>
    <w:p>
      <w:pPr>
        <w:spacing w:after="0" w:line="113" w:lineRule="exact"/>
        <w:rPr>
          <w:sz w:val="20"/>
          <w:szCs w:val="20"/>
          <w:color w:val="auto"/>
        </w:rPr>
      </w:pPr>
    </w:p>
    <w:p>
      <w:pPr>
        <w:ind w:left="920" w:right="1560"/>
        <w:spacing w:after="0" w:line="271" w:lineRule="auto"/>
        <w:rPr>
          <w:sz w:val="20"/>
          <w:szCs w:val="20"/>
          <w:color w:val="auto"/>
        </w:rPr>
      </w:pPr>
      <w:r>
        <w:rPr>
          <w:rFonts w:ascii="Arial" w:cs="Arial" w:eastAsia="Arial" w:hAnsi="Arial"/>
          <w:sz w:val="18"/>
          <w:szCs w:val="18"/>
          <w:color w:val="auto"/>
        </w:rPr>
        <w:t>Upon any termination of employment, our NEOs are entitled to receive any accrued and unpaid base salary through the date of termination.</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Termination for Cause</w:t>
      </w:r>
    </w:p>
    <w:p>
      <w:pPr>
        <w:spacing w:after="0" w:line="171" w:lineRule="exact"/>
        <w:rPr>
          <w:sz w:val="20"/>
          <w:szCs w:val="20"/>
          <w:color w:val="auto"/>
        </w:rPr>
      </w:pPr>
    </w:p>
    <w:p>
      <w:pPr>
        <w:ind w:left="920" w:right="980"/>
        <w:spacing w:after="0" w:line="253" w:lineRule="auto"/>
        <w:rPr>
          <w:sz w:val="20"/>
          <w:szCs w:val="20"/>
          <w:color w:val="auto"/>
        </w:rPr>
      </w:pPr>
      <w:r>
        <w:rPr>
          <w:rFonts w:ascii="Arial" w:cs="Arial" w:eastAsia="Arial" w:hAnsi="Arial"/>
          <w:sz w:val="18"/>
          <w:szCs w:val="18"/>
          <w:color w:val="auto"/>
        </w:rPr>
        <w:t>The executive is entitled to receive any accrued and unpaid base salary through the date of termination. All options granted automatically expire when terminated for cause and all unvested RSUs, unvested awards under the LTIP and the IIP are forfeited in the event of termination for cause.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-43-</w:t>
            </w:r>
          </w:p>
        </w:tc>
      </w:tr>
      <w:tr>
        <w:trPr>
          <w:trHeight w:val="233"/>
        </w:trPr>
        <w:tc>
          <w:tcPr>
            <w:tcW w:w="3160" w:type="dxa"/>
            <w:vAlign w:val="bottom"/>
            <w:tcBorders>
              <w:bottom w:val="single" w:sz="8" w:color="auto"/>
            </w:tcBorders>
          </w:tcPr>
          <w:p>
            <w:pPr>
              <w:spacing w:after="0"/>
              <w:rPr>
                <w:sz w:val="20"/>
                <w:szCs w:val="20"/>
                <w:color w:val="auto"/>
              </w:rPr>
            </w:pPr>
          </w:p>
        </w:tc>
        <w:tc>
          <w:tcPr>
            <w:tcW w:w="786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263" w:right="439" w:bottom="1440" w:gutter="0" w:footer="0" w:header="0"/>
        </w:sectPr>
      </w:pPr>
    </w:p>
    <w:bookmarkStart w:id="47" w:name="page48"/>
    <w:bookmarkEnd w:id="47"/>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Termination Due to Death, Disability, or Retirement</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What happens if termination is due to:</w:t>
      </w:r>
    </w:p>
    <w:p>
      <w:pPr>
        <w:spacing w:after="0" w:line="32" w:lineRule="exact"/>
        <w:rPr>
          <w:sz w:val="20"/>
          <w:szCs w:val="20"/>
          <w:color w:val="auto"/>
        </w:rPr>
      </w:pPr>
    </w:p>
    <w:tbl>
      <w:tblPr>
        <w:tblLayout w:type="fixed"/>
        <w:tblInd w:w="930" w:type="dxa"/>
        <w:tblCellMar>
          <w:top w:w="0" w:type="dxa"/>
          <w:left w:w="0" w:type="dxa"/>
          <w:bottom w:w="0" w:type="dxa"/>
          <w:right w:w="0" w:type="dxa"/>
        </w:tblCellMar>
      </w:tblPr>
      <w:tr>
        <w:trPr>
          <w:trHeight w:val="327"/>
        </w:trPr>
        <w:tc>
          <w:tcPr>
            <w:tcW w:w="1280" w:type="dxa"/>
            <w:vAlign w:val="bottom"/>
            <w:tcBorders>
              <w:top w:val="single" w:sz="8" w:color="auto"/>
              <w:left w:val="single" w:sz="8" w:color="auto"/>
            </w:tcBorders>
          </w:tcPr>
          <w:p>
            <w:pPr>
              <w:spacing w:after="0"/>
              <w:rPr>
                <w:sz w:val="24"/>
                <w:szCs w:val="24"/>
                <w:color w:val="auto"/>
              </w:rPr>
            </w:pPr>
          </w:p>
        </w:tc>
        <w:tc>
          <w:tcPr>
            <w:tcW w:w="1060" w:type="dxa"/>
            <w:vAlign w:val="bottom"/>
            <w:tcBorders>
              <w:top w:val="single" w:sz="8" w:color="auto"/>
              <w:right w:val="single" w:sz="8" w:color="auto"/>
            </w:tcBorders>
          </w:tcPr>
          <w:p>
            <w:pPr>
              <w:spacing w:after="0"/>
              <w:rPr>
                <w:sz w:val="24"/>
                <w:szCs w:val="24"/>
                <w:color w:val="auto"/>
              </w:rPr>
            </w:pPr>
          </w:p>
        </w:tc>
        <w:tc>
          <w:tcPr>
            <w:tcW w:w="3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Death or Disability</w:t>
            </w: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140" w:type="dxa"/>
            <w:vAlign w:val="bottom"/>
            <w:tcBorders>
              <w:top w:val="single" w:sz="8" w:color="auto"/>
              <w:bottom w:val="single" w:sz="8" w:color="auto"/>
              <w:right w:val="single" w:sz="8" w:color="auto"/>
            </w:tcBorders>
            <w:gridSpan w:val="3"/>
          </w:tcPr>
          <w:p>
            <w:pPr>
              <w:jc w:val="center"/>
              <w:ind w:right="1220"/>
              <w:spacing w:after="0"/>
              <w:rPr>
                <w:sz w:val="20"/>
                <w:szCs w:val="20"/>
                <w:color w:val="auto"/>
              </w:rPr>
            </w:pPr>
            <w:r>
              <w:rPr>
                <w:rFonts w:ascii="Arial" w:cs="Arial" w:eastAsia="Arial" w:hAnsi="Arial"/>
                <w:sz w:val="13"/>
                <w:szCs w:val="13"/>
                <w:b w:val="1"/>
                <w:bCs w:val="1"/>
                <w:color w:val="auto"/>
                <w:w w:val="97"/>
              </w:rPr>
              <w:t>Retirement</w:t>
            </w:r>
            <w:r>
              <w:rPr>
                <w:rFonts w:ascii="Arial" w:cs="Arial" w:eastAsia="Arial" w:hAnsi="Arial"/>
                <w:sz w:val="22"/>
                <w:szCs w:val="22"/>
                <w:color w:val="auto"/>
                <w:w w:val="97"/>
                <w:vertAlign w:val="superscript"/>
              </w:rPr>
              <w:t>(1)</w:t>
            </w:r>
          </w:p>
        </w:tc>
        <w:tc>
          <w:tcPr>
            <w:tcW w:w="0" w:type="dxa"/>
            <w:vAlign w:val="bottom"/>
          </w:tcPr>
          <w:p>
            <w:pPr>
              <w:spacing w:after="0"/>
              <w:rPr>
                <w:sz w:val="1"/>
                <w:szCs w:val="1"/>
                <w:color w:val="auto"/>
              </w:rPr>
            </w:pPr>
          </w:p>
        </w:tc>
      </w:tr>
      <w:tr>
        <w:trPr>
          <w:trHeight w:val="179"/>
        </w:trPr>
        <w:tc>
          <w:tcPr>
            <w:tcW w:w="2340" w:type="dxa"/>
            <w:vAlign w:val="bottom"/>
            <w:tcBorders>
              <w:left w:val="single" w:sz="8" w:color="auto"/>
              <w:right w:val="single" w:sz="8" w:color="auto"/>
            </w:tcBorders>
            <w:gridSpan w:val="2"/>
          </w:tcPr>
          <w:p>
            <w:pPr>
              <w:ind w:left="580"/>
              <w:spacing w:after="0"/>
              <w:rPr>
                <w:sz w:val="20"/>
                <w:szCs w:val="20"/>
                <w:color w:val="auto"/>
              </w:rPr>
            </w:pPr>
            <w:r>
              <w:rPr>
                <w:rFonts w:ascii="Arial" w:cs="Arial" w:eastAsia="Arial" w:hAnsi="Arial"/>
                <w:sz w:val="13"/>
                <w:szCs w:val="13"/>
                <w:b w:val="1"/>
                <w:bCs w:val="1"/>
                <w:color w:val="auto"/>
              </w:rPr>
              <w:t>Annual Incentive</w:t>
            </w:r>
          </w:p>
        </w:tc>
        <w:tc>
          <w:tcPr>
            <w:tcW w:w="3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Prorated</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Borders>
              <w:right w:val="single" w:sz="8" w:color="auto"/>
            </w:tcBorders>
            <w:gridSpan w:val="3"/>
            <w:vMerge w:val="restart"/>
          </w:tcPr>
          <w:p>
            <w:pPr>
              <w:jc w:val="center"/>
              <w:ind w:right="1220"/>
              <w:spacing w:after="0"/>
              <w:rPr>
                <w:sz w:val="20"/>
                <w:szCs w:val="20"/>
                <w:color w:val="auto"/>
              </w:rPr>
            </w:pPr>
            <w:r>
              <w:rPr>
                <w:rFonts w:ascii="Arial" w:cs="Arial" w:eastAsia="Arial" w:hAnsi="Arial"/>
                <w:sz w:val="13"/>
                <w:szCs w:val="13"/>
                <w:b w:val="1"/>
                <w:bCs w:val="1"/>
                <w:color w:val="auto"/>
              </w:rPr>
              <w:t>Prorated</w:t>
            </w:r>
          </w:p>
        </w:tc>
        <w:tc>
          <w:tcPr>
            <w:tcW w:w="0" w:type="dxa"/>
            <w:vAlign w:val="bottom"/>
          </w:tcPr>
          <w:p>
            <w:pPr>
              <w:spacing w:after="0"/>
              <w:rPr>
                <w:sz w:val="1"/>
                <w:szCs w:val="1"/>
                <w:color w:val="auto"/>
              </w:rPr>
            </w:pPr>
          </w:p>
        </w:tc>
      </w:tr>
      <w:tr>
        <w:trPr>
          <w:trHeight w:val="121"/>
        </w:trPr>
        <w:tc>
          <w:tcPr>
            <w:tcW w:w="2340" w:type="dxa"/>
            <w:vAlign w:val="bottom"/>
            <w:tcBorders>
              <w:left w:val="single" w:sz="8" w:color="auto"/>
              <w:right w:val="single" w:sz="8" w:color="auto"/>
            </w:tcBorders>
            <w:gridSpan w:val="2"/>
            <w:vMerge w:val="restart"/>
          </w:tcPr>
          <w:p>
            <w:pPr>
              <w:jc w:val="center"/>
              <w:ind w:right="40"/>
              <w:spacing w:after="0" w:line="247" w:lineRule="exact"/>
              <w:rPr>
                <w:sz w:val="20"/>
                <w:szCs w:val="20"/>
                <w:color w:val="auto"/>
              </w:rPr>
            </w:pPr>
            <w:r>
              <w:rPr>
                <w:rFonts w:ascii="Arial" w:cs="Arial" w:eastAsia="Arial" w:hAnsi="Arial"/>
                <w:sz w:val="13"/>
                <w:szCs w:val="13"/>
                <w:b w:val="1"/>
                <w:bCs w:val="1"/>
                <w:color w:val="auto"/>
                <w:w w:val="92"/>
              </w:rPr>
              <w:t>Plan</w:t>
            </w:r>
            <w:r>
              <w:rPr>
                <w:rFonts w:ascii="Arial" w:cs="Arial" w:eastAsia="Arial" w:hAnsi="Arial"/>
                <w:sz w:val="22"/>
                <w:szCs w:val="22"/>
                <w:b w:val="1"/>
                <w:bCs w:val="1"/>
                <w:color w:val="auto"/>
                <w:w w:val="92"/>
                <w:vertAlign w:val="superscript"/>
              </w:rPr>
              <w:t>(2)</w:t>
            </w:r>
          </w:p>
        </w:tc>
        <w:tc>
          <w:tcPr>
            <w:tcW w:w="3460" w:type="dxa"/>
            <w:vAlign w:val="bottom"/>
            <w:tcBorders>
              <w:right w:val="single" w:sz="8" w:color="auto"/>
            </w:tcBorders>
            <w:vMerge w:val="continue"/>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4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340" w:type="dxa"/>
            <w:vAlign w:val="bottom"/>
            <w:tcBorders>
              <w:left w:val="single" w:sz="8" w:color="auto"/>
              <w:bottom w:val="single" w:sz="8" w:color="auto"/>
              <w:right w:val="single" w:sz="8" w:color="auto"/>
            </w:tcBorders>
            <w:gridSpan w:val="2"/>
            <w:vMerge w:val="continue"/>
          </w:tcPr>
          <w:p>
            <w:pPr>
              <w:spacing w:after="0"/>
              <w:rPr>
                <w:sz w:val="10"/>
                <w:szCs w:val="10"/>
                <w:color w:val="auto"/>
              </w:rPr>
            </w:pPr>
          </w:p>
        </w:tc>
        <w:tc>
          <w:tcPr>
            <w:tcW w:w="346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2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3460" w:type="dxa"/>
            <w:vAlign w:val="bottom"/>
            <w:tcBorders>
              <w:right w:val="single" w:sz="8" w:color="auto"/>
            </w:tcBorders>
          </w:tcPr>
          <w:p>
            <w:pPr>
              <w:spacing w:after="0"/>
              <w:rPr>
                <w:sz w:val="15"/>
                <w:szCs w:val="15"/>
                <w:color w:val="auto"/>
              </w:rPr>
            </w:pPr>
          </w:p>
        </w:tc>
        <w:tc>
          <w:tcPr>
            <w:tcW w:w="3380" w:type="dxa"/>
            <w:vAlign w:val="bottom"/>
            <w:tcBorders>
              <w:right w:val="single" w:sz="8" w:color="auto"/>
            </w:tcBorders>
            <w:gridSpan w:val="5"/>
          </w:tcPr>
          <w:p>
            <w:pPr>
              <w:jc w:val="center"/>
              <w:ind w:right="40"/>
              <w:spacing w:after="0"/>
              <w:rPr>
                <w:sz w:val="20"/>
                <w:szCs w:val="20"/>
                <w:color w:val="auto"/>
              </w:rPr>
            </w:pPr>
            <w:r>
              <w:rPr>
                <w:rFonts w:ascii="Arial" w:cs="Arial" w:eastAsia="Arial" w:hAnsi="Arial"/>
                <w:sz w:val="13"/>
                <w:szCs w:val="13"/>
                <w:color w:val="auto"/>
              </w:rPr>
              <w:t>If retirement occurs after 12 months</w:t>
            </w:r>
          </w:p>
        </w:tc>
        <w:tc>
          <w:tcPr>
            <w:tcW w:w="0" w:type="dxa"/>
            <w:vAlign w:val="bottom"/>
          </w:tcPr>
          <w:p>
            <w:pPr>
              <w:spacing w:after="0"/>
              <w:rPr>
                <w:sz w:val="1"/>
                <w:szCs w:val="1"/>
                <w:color w:val="auto"/>
              </w:rPr>
            </w:pPr>
          </w:p>
        </w:tc>
      </w:tr>
      <w:tr>
        <w:trPr>
          <w:trHeight w:val="148"/>
        </w:trPr>
        <w:tc>
          <w:tcPr>
            <w:tcW w:w="1280" w:type="dxa"/>
            <w:vAlign w:val="bottom"/>
            <w:tcBorders>
              <w:lef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3460" w:type="dxa"/>
            <w:vAlign w:val="bottom"/>
            <w:tcBorders>
              <w:right w:val="single" w:sz="8" w:color="auto"/>
            </w:tcBorders>
          </w:tcPr>
          <w:p>
            <w:pPr>
              <w:spacing w:after="0"/>
              <w:rPr>
                <w:sz w:val="12"/>
                <w:szCs w:val="12"/>
                <w:color w:val="auto"/>
              </w:rPr>
            </w:pPr>
          </w:p>
        </w:tc>
        <w:tc>
          <w:tcPr>
            <w:tcW w:w="338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following grant date,</w:t>
            </w: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right w:val="single" w:sz="8" w:color="auto"/>
            </w:tcBorders>
            <w:gridSpan w:val="2"/>
            <w:vMerge w:val="restart"/>
          </w:tcPr>
          <w:p>
            <w:pPr>
              <w:jc w:val="center"/>
              <w:ind w:right="60"/>
              <w:spacing w:after="0"/>
              <w:rPr>
                <w:sz w:val="20"/>
                <w:szCs w:val="20"/>
                <w:color w:val="auto"/>
              </w:rPr>
            </w:pPr>
            <w:r>
              <w:rPr>
                <w:rFonts w:ascii="Arial" w:cs="Arial" w:eastAsia="Arial" w:hAnsi="Arial"/>
                <w:sz w:val="13"/>
                <w:szCs w:val="13"/>
                <w:color w:val="auto"/>
                <w:w w:val="92"/>
              </w:rPr>
              <w:t>RSUs</w:t>
            </w:r>
            <w:r>
              <w:rPr>
                <w:rFonts w:ascii="Arial" w:cs="Arial" w:eastAsia="Arial" w:hAnsi="Arial"/>
                <w:sz w:val="22"/>
                <w:szCs w:val="22"/>
                <w:color w:val="auto"/>
                <w:w w:val="92"/>
                <w:vertAlign w:val="superscript"/>
              </w:rPr>
              <w:t>(3)</w:t>
            </w:r>
          </w:p>
        </w:tc>
        <w:tc>
          <w:tcPr>
            <w:tcW w:w="3460" w:type="dxa"/>
            <w:vAlign w:val="bottom"/>
            <w:tcBorders>
              <w:right w:val="single" w:sz="8" w:color="auto"/>
            </w:tcBorders>
          </w:tcPr>
          <w:p>
            <w:pPr>
              <w:spacing w:after="0"/>
              <w:rPr>
                <w:sz w:val="12"/>
                <w:szCs w:val="12"/>
                <w:color w:val="auto"/>
              </w:rPr>
            </w:pPr>
          </w:p>
        </w:tc>
        <w:tc>
          <w:tcPr>
            <w:tcW w:w="338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continued vesting subject</w:t>
            </w:r>
          </w:p>
        </w:tc>
        <w:tc>
          <w:tcPr>
            <w:tcW w:w="0" w:type="dxa"/>
            <w:vAlign w:val="bottom"/>
          </w:tcPr>
          <w:p>
            <w:pPr>
              <w:spacing w:after="0"/>
              <w:rPr>
                <w:sz w:val="1"/>
                <w:szCs w:val="1"/>
                <w:color w:val="auto"/>
              </w:rPr>
            </w:pPr>
          </w:p>
        </w:tc>
      </w:tr>
      <w:tr>
        <w:trPr>
          <w:trHeight w:val="148"/>
        </w:trPr>
        <w:tc>
          <w:tcPr>
            <w:tcW w:w="2340" w:type="dxa"/>
            <w:vAlign w:val="bottom"/>
            <w:tcBorders>
              <w:left w:val="single" w:sz="8" w:color="auto"/>
              <w:right w:val="single" w:sz="8" w:color="auto"/>
            </w:tcBorders>
            <w:gridSpan w:val="2"/>
            <w:vMerge w:val="continue"/>
          </w:tcPr>
          <w:p>
            <w:pPr>
              <w:spacing w:after="0"/>
              <w:rPr>
                <w:sz w:val="12"/>
                <w:szCs w:val="12"/>
                <w:color w:val="auto"/>
              </w:rPr>
            </w:pP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Fully accelerated</w:t>
            </w:r>
          </w:p>
        </w:tc>
        <w:tc>
          <w:tcPr>
            <w:tcW w:w="338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to completion of new</w:t>
            </w:r>
          </w:p>
        </w:tc>
        <w:tc>
          <w:tcPr>
            <w:tcW w:w="0" w:type="dxa"/>
            <w:vAlign w:val="bottom"/>
          </w:tcPr>
          <w:p>
            <w:pPr>
              <w:spacing w:after="0"/>
              <w:rPr>
                <w:sz w:val="1"/>
                <w:szCs w:val="1"/>
                <w:color w:val="auto"/>
              </w:rPr>
            </w:pPr>
          </w:p>
        </w:tc>
      </w:tr>
      <w:tr>
        <w:trPr>
          <w:trHeight w:val="148"/>
        </w:trPr>
        <w:tc>
          <w:tcPr>
            <w:tcW w:w="1280" w:type="dxa"/>
            <w:vAlign w:val="bottom"/>
            <w:tcBorders>
              <w:lef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3460" w:type="dxa"/>
            <w:vAlign w:val="bottom"/>
            <w:tcBorders>
              <w:right w:val="single" w:sz="8" w:color="auto"/>
            </w:tcBorders>
          </w:tcPr>
          <w:p>
            <w:pPr>
              <w:spacing w:after="0"/>
              <w:rPr>
                <w:sz w:val="12"/>
                <w:szCs w:val="12"/>
                <w:color w:val="auto"/>
              </w:rPr>
            </w:pPr>
          </w:p>
        </w:tc>
        <w:tc>
          <w:tcPr>
            <w:tcW w:w="338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non-compete/non-solicit</w:t>
            </w:r>
          </w:p>
        </w:tc>
        <w:tc>
          <w:tcPr>
            <w:tcW w:w="0" w:type="dxa"/>
            <w:vAlign w:val="bottom"/>
          </w:tcPr>
          <w:p>
            <w:pPr>
              <w:spacing w:after="0"/>
              <w:rPr>
                <w:sz w:val="1"/>
                <w:szCs w:val="1"/>
                <w:color w:val="auto"/>
              </w:rPr>
            </w:pPr>
          </w:p>
        </w:tc>
      </w:tr>
      <w:tr>
        <w:trPr>
          <w:trHeight w:val="148"/>
        </w:trPr>
        <w:tc>
          <w:tcPr>
            <w:tcW w:w="1280" w:type="dxa"/>
            <w:vAlign w:val="bottom"/>
            <w:tcBorders>
              <w:lef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3460" w:type="dxa"/>
            <w:vAlign w:val="bottom"/>
            <w:tcBorders>
              <w:right w:val="single" w:sz="8" w:color="auto"/>
            </w:tcBorders>
          </w:tcPr>
          <w:p>
            <w:pPr>
              <w:spacing w:after="0"/>
              <w:rPr>
                <w:sz w:val="12"/>
                <w:szCs w:val="12"/>
                <w:color w:val="auto"/>
              </w:rPr>
            </w:pPr>
          </w:p>
        </w:tc>
        <w:tc>
          <w:tcPr>
            <w:tcW w:w="1140" w:type="dxa"/>
            <w:vAlign w:val="bottom"/>
          </w:tcPr>
          <w:p>
            <w:pPr>
              <w:spacing w:after="0"/>
              <w:rPr>
                <w:sz w:val="12"/>
                <w:szCs w:val="12"/>
                <w:color w:val="auto"/>
              </w:rPr>
            </w:pPr>
          </w:p>
        </w:tc>
        <w:tc>
          <w:tcPr>
            <w:tcW w:w="2240" w:type="dxa"/>
            <w:vAlign w:val="bottom"/>
            <w:tcBorders>
              <w:right w:val="single" w:sz="8" w:color="auto"/>
            </w:tcBorders>
            <w:gridSpan w:val="4"/>
          </w:tcPr>
          <w:p>
            <w:pPr>
              <w:jc w:val="center"/>
              <w:ind w:right="1180"/>
              <w:spacing w:after="0"/>
              <w:rPr>
                <w:sz w:val="20"/>
                <w:szCs w:val="20"/>
                <w:color w:val="auto"/>
              </w:rPr>
            </w:pPr>
            <w:r>
              <w:rPr>
                <w:rFonts w:ascii="Arial" w:cs="Arial" w:eastAsia="Arial" w:hAnsi="Arial"/>
                <w:sz w:val="13"/>
                <w:szCs w:val="13"/>
                <w:color w:val="auto"/>
              </w:rPr>
              <w:t>agreement and</w:t>
            </w:r>
          </w:p>
        </w:tc>
        <w:tc>
          <w:tcPr>
            <w:tcW w:w="0" w:type="dxa"/>
            <w:vAlign w:val="bottom"/>
          </w:tcPr>
          <w:p>
            <w:pPr>
              <w:spacing w:after="0"/>
              <w:rPr>
                <w:sz w:val="1"/>
                <w:szCs w:val="1"/>
                <w:color w:val="auto"/>
              </w:rPr>
            </w:pPr>
          </w:p>
        </w:tc>
      </w:tr>
      <w:tr>
        <w:trPr>
          <w:trHeight w:val="176"/>
        </w:trPr>
        <w:tc>
          <w:tcPr>
            <w:tcW w:w="12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3460" w:type="dxa"/>
            <w:vAlign w:val="bottom"/>
            <w:tcBorders>
              <w:right w:val="single" w:sz="8" w:color="auto"/>
            </w:tcBorders>
          </w:tcPr>
          <w:p>
            <w:pPr>
              <w:spacing w:after="0"/>
              <w:rPr>
                <w:sz w:val="15"/>
                <w:szCs w:val="15"/>
                <w:color w:val="auto"/>
              </w:rPr>
            </w:pPr>
          </w:p>
        </w:tc>
        <w:tc>
          <w:tcPr>
            <w:tcW w:w="1140" w:type="dxa"/>
            <w:vAlign w:val="bottom"/>
          </w:tcPr>
          <w:p>
            <w:pPr>
              <w:spacing w:after="0"/>
              <w:rPr>
                <w:sz w:val="15"/>
                <w:szCs w:val="15"/>
                <w:color w:val="auto"/>
              </w:rPr>
            </w:pPr>
          </w:p>
        </w:tc>
        <w:tc>
          <w:tcPr>
            <w:tcW w:w="2240" w:type="dxa"/>
            <w:vAlign w:val="bottom"/>
            <w:tcBorders>
              <w:right w:val="single" w:sz="8" w:color="auto"/>
            </w:tcBorders>
            <w:gridSpan w:val="4"/>
          </w:tcPr>
          <w:p>
            <w:pPr>
              <w:jc w:val="center"/>
              <w:ind w:right="1140"/>
              <w:spacing w:after="0"/>
              <w:rPr>
                <w:sz w:val="20"/>
                <w:szCs w:val="20"/>
                <w:color w:val="auto"/>
              </w:rPr>
            </w:pPr>
            <w:r>
              <w:rPr>
                <w:rFonts w:ascii="Arial" w:cs="Arial" w:eastAsia="Arial" w:hAnsi="Arial"/>
                <w:sz w:val="13"/>
                <w:szCs w:val="13"/>
                <w:color w:val="auto"/>
              </w:rPr>
              <w:t>reasonable notice</w:t>
            </w:r>
          </w:p>
        </w:tc>
        <w:tc>
          <w:tcPr>
            <w:tcW w:w="0" w:type="dxa"/>
            <w:vAlign w:val="bottom"/>
          </w:tcPr>
          <w:p>
            <w:pPr>
              <w:spacing w:after="0"/>
              <w:rPr>
                <w:sz w:val="1"/>
                <w:szCs w:val="1"/>
                <w:color w:val="auto"/>
              </w:rPr>
            </w:pPr>
          </w:p>
        </w:tc>
      </w:tr>
      <w:tr>
        <w:trPr>
          <w:trHeight w:val="39"/>
        </w:trPr>
        <w:tc>
          <w:tcPr>
            <w:tcW w:w="1280" w:type="dxa"/>
            <w:vAlign w:val="bottom"/>
            <w:tcBorders>
              <w:left w:val="single" w:sz="8" w:color="auto"/>
              <w:bottom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2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3460" w:type="dxa"/>
            <w:vAlign w:val="bottom"/>
            <w:tcBorders>
              <w:right w:val="single" w:sz="8" w:color="auto"/>
            </w:tcBorders>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color w:val="auto"/>
              </w:rPr>
              <w:t>Unvested Options</w:t>
            </w:r>
          </w:p>
        </w:tc>
        <w:tc>
          <w:tcPr>
            <w:tcW w:w="11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280" w:type="dxa"/>
            <w:vAlign w:val="bottom"/>
            <w:tcBorders>
              <w:lef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3460" w:type="dxa"/>
            <w:vAlign w:val="bottom"/>
            <w:tcBorders>
              <w:right w:val="single" w:sz="8" w:color="auto"/>
            </w:tcBorders>
          </w:tcPr>
          <w:p>
            <w:pPr>
              <w:spacing w:after="0"/>
              <w:rPr>
                <w:sz w:val="11"/>
                <w:szCs w:val="11"/>
                <w:color w:val="auto"/>
              </w:rPr>
            </w:pPr>
          </w:p>
        </w:tc>
        <w:tc>
          <w:tcPr>
            <w:tcW w:w="3380" w:type="dxa"/>
            <w:vAlign w:val="bottom"/>
            <w:tcBorders>
              <w:right w:val="single" w:sz="8" w:color="auto"/>
            </w:tcBorders>
            <w:gridSpan w:val="5"/>
          </w:tcPr>
          <w:p>
            <w:pPr>
              <w:jc w:val="center"/>
              <w:ind w:right="40"/>
              <w:spacing w:after="0" w:line="129" w:lineRule="exact"/>
              <w:rPr>
                <w:sz w:val="20"/>
                <w:szCs w:val="20"/>
                <w:color w:val="auto"/>
              </w:rPr>
            </w:pPr>
            <w:r>
              <w:rPr>
                <w:rFonts w:ascii="Arial" w:cs="Arial" w:eastAsia="Arial" w:hAnsi="Arial"/>
                <w:sz w:val="13"/>
                <w:szCs w:val="13"/>
                <w:color w:val="auto"/>
              </w:rPr>
              <w:t>If retirement occurs after 12 months</w:t>
            </w:r>
          </w:p>
        </w:tc>
        <w:tc>
          <w:tcPr>
            <w:tcW w:w="0" w:type="dxa"/>
            <w:vAlign w:val="bottom"/>
          </w:tcPr>
          <w:p>
            <w:pPr>
              <w:spacing w:after="0"/>
              <w:rPr>
                <w:sz w:val="1"/>
                <w:szCs w:val="1"/>
                <w:color w:val="auto"/>
              </w:rPr>
            </w:pPr>
          </w:p>
        </w:tc>
      </w:tr>
      <w:tr>
        <w:trPr>
          <w:trHeight w:val="148"/>
        </w:trPr>
        <w:tc>
          <w:tcPr>
            <w:tcW w:w="1280" w:type="dxa"/>
            <w:vAlign w:val="bottom"/>
            <w:tcBorders>
              <w:lef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3460" w:type="dxa"/>
            <w:vAlign w:val="bottom"/>
            <w:tcBorders>
              <w:right w:val="single" w:sz="8" w:color="auto"/>
            </w:tcBorders>
          </w:tcPr>
          <w:p>
            <w:pPr>
              <w:spacing w:after="0"/>
              <w:rPr>
                <w:sz w:val="12"/>
                <w:szCs w:val="12"/>
                <w:color w:val="auto"/>
              </w:rPr>
            </w:pPr>
          </w:p>
        </w:tc>
        <w:tc>
          <w:tcPr>
            <w:tcW w:w="338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following grant date,</w:t>
            </w:r>
          </w:p>
        </w:tc>
        <w:tc>
          <w:tcPr>
            <w:tcW w:w="0" w:type="dxa"/>
            <w:vAlign w:val="bottom"/>
          </w:tcPr>
          <w:p>
            <w:pPr>
              <w:spacing w:after="0"/>
              <w:rPr>
                <w:sz w:val="1"/>
                <w:szCs w:val="1"/>
                <w:color w:val="auto"/>
              </w:rPr>
            </w:pPr>
          </w:p>
        </w:tc>
      </w:tr>
      <w:tr>
        <w:trPr>
          <w:trHeight w:val="148"/>
        </w:trPr>
        <w:tc>
          <w:tcPr>
            <w:tcW w:w="1280" w:type="dxa"/>
            <w:vAlign w:val="bottom"/>
            <w:tcBorders>
              <w:lef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3460" w:type="dxa"/>
            <w:vAlign w:val="bottom"/>
            <w:tcBorders>
              <w:right w:val="single" w:sz="8" w:color="auto"/>
            </w:tcBorders>
          </w:tcPr>
          <w:p>
            <w:pPr>
              <w:spacing w:after="0"/>
              <w:rPr>
                <w:sz w:val="12"/>
                <w:szCs w:val="12"/>
                <w:color w:val="auto"/>
              </w:rPr>
            </w:pPr>
          </w:p>
        </w:tc>
        <w:tc>
          <w:tcPr>
            <w:tcW w:w="338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continued vesting subject</w:t>
            </w:r>
          </w:p>
        </w:tc>
        <w:tc>
          <w:tcPr>
            <w:tcW w:w="0" w:type="dxa"/>
            <w:vAlign w:val="bottom"/>
          </w:tcPr>
          <w:p>
            <w:pPr>
              <w:spacing w:after="0"/>
              <w:rPr>
                <w:sz w:val="1"/>
                <w:szCs w:val="1"/>
                <w:color w:val="auto"/>
              </w:rPr>
            </w:pPr>
          </w:p>
        </w:tc>
      </w:tr>
      <w:tr>
        <w:trPr>
          <w:trHeight w:val="148"/>
        </w:trPr>
        <w:tc>
          <w:tcPr>
            <w:tcW w:w="1280" w:type="dxa"/>
            <w:vAlign w:val="bottom"/>
            <w:tcBorders>
              <w:lef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3460" w:type="dxa"/>
            <w:vAlign w:val="bottom"/>
            <w:tcBorders>
              <w:right w:val="single" w:sz="8" w:color="auto"/>
            </w:tcBorders>
          </w:tcPr>
          <w:p>
            <w:pPr>
              <w:spacing w:after="0"/>
              <w:rPr>
                <w:sz w:val="12"/>
                <w:szCs w:val="12"/>
                <w:color w:val="auto"/>
              </w:rPr>
            </w:pPr>
          </w:p>
        </w:tc>
        <w:tc>
          <w:tcPr>
            <w:tcW w:w="3380" w:type="dxa"/>
            <w:vAlign w:val="bottom"/>
            <w:tcBorders>
              <w:right w:val="single" w:sz="8" w:color="auto"/>
            </w:tcBorders>
            <w:gridSpan w:val="5"/>
          </w:tcPr>
          <w:p>
            <w:pPr>
              <w:jc w:val="center"/>
              <w:spacing w:after="0"/>
              <w:rPr>
                <w:sz w:val="20"/>
                <w:szCs w:val="20"/>
                <w:color w:val="auto"/>
              </w:rPr>
            </w:pPr>
            <w:r>
              <w:rPr>
                <w:rFonts w:ascii="Arial" w:cs="Arial" w:eastAsia="Arial" w:hAnsi="Arial"/>
                <w:sz w:val="13"/>
                <w:szCs w:val="13"/>
                <w:color w:val="auto"/>
              </w:rPr>
              <w:t>to completion of new non-</w:t>
            </w:r>
          </w:p>
        </w:tc>
        <w:tc>
          <w:tcPr>
            <w:tcW w:w="0" w:type="dxa"/>
            <w:vAlign w:val="bottom"/>
          </w:tcPr>
          <w:p>
            <w:pPr>
              <w:spacing w:after="0"/>
              <w:rPr>
                <w:sz w:val="1"/>
                <w:szCs w:val="1"/>
                <w:color w:val="auto"/>
              </w:rPr>
            </w:pPr>
          </w:p>
        </w:tc>
      </w:tr>
      <w:tr>
        <w:trPr>
          <w:trHeight w:val="148"/>
        </w:trPr>
        <w:tc>
          <w:tcPr>
            <w:tcW w:w="2340" w:type="dxa"/>
            <w:vAlign w:val="bottom"/>
            <w:tcBorders>
              <w:left w:val="single" w:sz="8" w:color="auto"/>
              <w:right w:val="single" w:sz="8" w:color="auto"/>
            </w:tcBorders>
            <w:gridSpan w:val="2"/>
            <w:vMerge w:val="restart"/>
          </w:tcPr>
          <w:p>
            <w:pPr>
              <w:jc w:val="center"/>
              <w:ind w:right="40"/>
              <w:spacing w:after="0"/>
              <w:rPr>
                <w:sz w:val="20"/>
                <w:szCs w:val="20"/>
                <w:color w:val="auto"/>
              </w:rPr>
            </w:pPr>
            <w:r>
              <w:rPr>
                <w:rFonts w:ascii="Arial" w:cs="Arial" w:eastAsia="Arial" w:hAnsi="Arial"/>
                <w:sz w:val="13"/>
                <w:szCs w:val="13"/>
                <w:color w:val="auto"/>
                <w:w w:val="99"/>
              </w:rPr>
              <w:t>Stock Options</w:t>
            </w:r>
            <w:r>
              <w:rPr>
                <w:rFonts w:ascii="Arial" w:cs="Arial" w:eastAsia="Arial" w:hAnsi="Arial"/>
                <w:sz w:val="22"/>
                <w:szCs w:val="22"/>
                <w:color w:val="auto"/>
                <w:w w:val="99"/>
                <w:vertAlign w:val="superscript"/>
              </w:rPr>
              <w:t>(4)</w:t>
            </w:r>
          </w:p>
        </w:tc>
        <w:tc>
          <w:tcPr>
            <w:tcW w:w="3460" w:type="dxa"/>
            <w:vAlign w:val="bottom"/>
            <w:tcBorders>
              <w:right w:val="single" w:sz="8" w:color="auto"/>
            </w:tcBorders>
          </w:tcPr>
          <w:p>
            <w:pPr>
              <w:spacing w:after="0"/>
              <w:rPr>
                <w:sz w:val="12"/>
                <w:szCs w:val="12"/>
                <w:color w:val="auto"/>
              </w:rPr>
            </w:pPr>
          </w:p>
        </w:tc>
        <w:tc>
          <w:tcPr>
            <w:tcW w:w="338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compete/non-solicit</w:t>
            </w:r>
          </w:p>
        </w:tc>
        <w:tc>
          <w:tcPr>
            <w:tcW w:w="0" w:type="dxa"/>
            <w:vAlign w:val="bottom"/>
          </w:tcPr>
          <w:p>
            <w:pPr>
              <w:spacing w:after="0"/>
              <w:rPr>
                <w:sz w:val="1"/>
                <w:szCs w:val="1"/>
                <w:color w:val="auto"/>
              </w:rPr>
            </w:pPr>
          </w:p>
        </w:tc>
      </w:tr>
      <w:tr>
        <w:trPr>
          <w:trHeight w:val="148"/>
        </w:trPr>
        <w:tc>
          <w:tcPr>
            <w:tcW w:w="2340" w:type="dxa"/>
            <w:vAlign w:val="bottom"/>
            <w:tcBorders>
              <w:left w:val="single" w:sz="8" w:color="auto"/>
              <w:right w:val="single" w:sz="8" w:color="auto"/>
            </w:tcBorders>
            <w:gridSpan w:val="2"/>
            <w:vMerge w:val="continue"/>
          </w:tcPr>
          <w:p>
            <w:pPr>
              <w:spacing w:after="0"/>
              <w:rPr>
                <w:sz w:val="12"/>
                <w:szCs w:val="12"/>
                <w:color w:val="auto"/>
              </w:rPr>
            </w:pP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Fully accelerated</w:t>
            </w:r>
          </w:p>
        </w:tc>
        <w:tc>
          <w:tcPr>
            <w:tcW w:w="1140" w:type="dxa"/>
            <w:vAlign w:val="bottom"/>
          </w:tcPr>
          <w:p>
            <w:pPr>
              <w:spacing w:after="0"/>
              <w:rPr>
                <w:sz w:val="12"/>
                <w:szCs w:val="12"/>
                <w:color w:val="auto"/>
              </w:rPr>
            </w:pPr>
          </w:p>
        </w:tc>
        <w:tc>
          <w:tcPr>
            <w:tcW w:w="2240" w:type="dxa"/>
            <w:vAlign w:val="bottom"/>
            <w:tcBorders>
              <w:right w:val="single" w:sz="8" w:color="auto"/>
            </w:tcBorders>
            <w:gridSpan w:val="4"/>
          </w:tcPr>
          <w:p>
            <w:pPr>
              <w:jc w:val="center"/>
              <w:ind w:right="1180"/>
              <w:spacing w:after="0"/>
              <w:rPr>
                <w:sz w:val="20"/>
                <w:szCs w:val="20"/>
                <w:color w:val="auto"/>
              </w:rPr>
            </w:pPr>
            <w:r>
              <w:rPr>
                <w:rFonts w:ascii="Arial" w:cs="Arial" w:eastAsia="Arial" w:hAnsi="Arial"/>
                <w:sz w:val="13"/>
                <w:szCs w:val="13"/>
                <w:color w:val="auto"/>
              </w:rPr>
              <w:t>agreement and</w:t>
            </w: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3460" w:type="dxa"/>
            <w:vAlign w:val="bottom"/>
            <w:tcBorders>
              <w:right w:val="single" w:sz="8" w:color="auto"/>
            </w:tcBorders>
          </w:tcPr>
          <w:p>
            <w:pPr>
              <w:spacing w:after="0"/>
              <w:rPr>
                <w:sz w:val="12"/>
                <w:szCs w:val="12"/>
                <w:color w:val="auto"/>
              </w:rPr>
            </w:pPr>
          </w:p>
        </w:tc>
        <w:tc>
          <w:tcPr>
            <w:tcW w:w="1140" w:type="dxa"/>
            <w:vAlign w:val="bottom"/>
          </w:tcPr>
          <w:p>
            <w:pPr>
              <w:spacing w:after="0"/>
              <w:rPr>
                <w:sz w:val="12"/>
                <w:szCs w:val="12"/>
                <w:color w:val="auto"/>
              </w:rPr>
            </w:pPr>
          </w:p>
        </w:tc>
        <w:tc>
          <w:tcPr>
            <w:tcW w:w="2240" w:type="dxa"/>
            <w:vAlign w:val="bottom"/>
            <w:tcBorders>
              <w:right w:val="single" w:sz="8" w:color="auto"/>
            </w:tcBorders>
            <w:gridSpan w:val="4"/>
          </w:tcPr>
          <w:p>
            <w:pPr>
              <w:jc w:val="center"/>
              <w:ind w:right="1140"/>
              <w:spacing w:after="0"/>
              <w:rPr>
                <w:sz w:val="20"/>
                <w:szCs w:val="20"/>
                <w:color w:val="auto"/>
              </w:rPr>
            </w:pPr>
            <w:r>
              <w:rPr>
                <w:rFonts w:ascii="Arial" w:cs="Arial" w:eastAsia="Arial" w:hAnsi="Arial"/>
                <w:sz w:val="13"/>
                <w:szCs w:val="13"/>
                <w:color w:val="auto"/>
              </w:rPr>
              <w:t>reasonable notice</w:t>
            </w:r>
          </w:p>
        </w:tc>
        <w:tc>
          <w:tcPr>
            <w:tcW w:w="0" w:type="dxa"/>
            <w:vAlign w:val="bottom"/>
          </w:tcPr>
          <w:p>
            <w:pPr>
              <w:spacing w:after="0"/>
              <w:rPr>
                <w:sz w:val="1"/>
                <w:szCs w:val="1"/>
                <w:color w:val="auto"/>
              </w:rPr>
            </w:pPr>
          </w:p>
        </w:tc>
      </w:tr>
      <w:tr>
        <w:trPr>
          <w:trHeight w:val="148"/>
        </w:trPr>
        <w:tc>
          <w:tcPr>
            <w:tcW w:w="1280" w:type="dxa"/>
            <w:vAlign w:val="bottom"/>
            <w:tcBorders>
              <w:lef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3460" w:type="dxa"/>
            <w:vAlign w:val="bottom"/>
            <w:tcBorders>
              <w:right w:val="single" w:sz="8" w:color="auto"/>
            </w:tcBorders>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Borders>
              <w:right w:val="single" w:sz="8" w:color="auto"/>
            </w:tcBorders>
            <w:gridSpan w:val="3"/>
          </w:tcPr>
          <w:p>
            <w:pPr>
              <w:ind w:left="380"/>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48"/>
        </w:trPr>
        <w:tc>
          <w:tcPr>
            <w:tcW w:w="1280" w:type="dxa"/>
            <w:vAlign w:val="bottom"/>
            <w:tcBorders>
              <w:lef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3460" w:type="dxa"/>
            <w:vAlign w:val="bottom"/>
            <w:tcBorders>
              <w:right w:val="single" w:sz="8" w:color="auto"/>
            </w:tcBorders>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3"/>
                <w:szCs w:val="13"/>
                <w:color w:val="auto"/>
              </w:rPr>
              <w:t>Vested Options</w:t>
            </w:r>
          </w:p>
        </w:tc>
        <w:tc>
          <w:tcPr>
            <w:tcW w:w="1220" w:type="dxa"/>
            <w:vAlign w:val="bottom"/>
            <w:tcBorders>
              <w:right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280" w:type="dxa"/>
            <w:vAlign w:val="bottom"/>
            <w:tcBorders>
              <w:lef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3460" w:type="dxa"/>
            <w:vAlign w:val="bottom"/>
            <w:tcBorders>
              <w:right w:val="single" w:sz="8" w:color="auto"/>
            </w:tcBorders>
          </w:tcPr>
          <w:p>
            <w:pPr>
              <w:spacing w:after="0"/>
              <w:rPr>
                <w:sz w:val="11"/>
                <w:szCs w:val="11"/>
                <w:color w:val="auto"/>
              </w:rPr>
            </w:pPr>
          </w:p>
        </w:tc>
        <w:tc>
          <w:tcPr>
            <w:tcW w:w="2160" w:type="dxa"/>
            <w:vAlign w:val="bottom"/>
            <w:gridSpan w:val="3"/>
          </w:tcPr>
          <w:p>
            <w:pPr>
              <w:ind w:left="940"/>
              <w:spacing w:after="0" w:line="129" w:lineRule="exact"/>
              <w:rPr>
                <w:sz w:val="20"/>
                <w:szCs w:val="20"/>
                <w:color w:val="auto"/>
              </w:rPr>
            </w:pPr>
            <w:r>
              <w:rPr>
                <w:rFonts w:ascii="Arial" w:cs="Arial" w:eastAsia="Arial" w:hAnsi="Arial"/>
                <w:sz w:val="13"/>
                <w:szCs w:val="13"/>
                <w:color w:val="auto"/>
              </w:rPr>
              <w:t>Remain exercisable</w:t>
            </w:r>
          </w:p>
        </w:tc>
        <w:tc>
          <w:tcPr>
            <w:tcW w:w="1220" w:type="dxa"/>
            <w:vAlign w:val="bottom"/>
            <w:tcBorders>
              <w:right w:val="single" w:sz="8" w:color="auto"/>
            </w:tcBorders>
            <w:gridSpan w:val="2"/>
          </w:tcPr>
          <w:p>
            <w:pPr>
              <w:spacing w:after="0" w:line="129" w:lineRule="exact"/>
              <w:rPr>
                <w:sz w:val="20"/>
                <w:szCs w:val="20"/>
                <w:color w:val="auto"/>
              </w:rPr>
            </w:pPr>
            <w:r>
              <w:rPr>
                <w:rFonts w:ascii="Arial" w:cs="Arial" w:eastAsia="Arial" w:hAnsi="Arial"/>
                <w:sz w:val="13"/>
                <w:szCs w:val="13"/>
                <w:color w:val="auto"/>
              </w:rPr>
              <w:t>until</w:t>
            </w:r>
          </w:p>
        </w:tc>
        <w:tc>
          <w:tcPr>
            <w:tcW w:w="0" w:type="dxa"/>
            <w:vAlign w:val="bottom"/>
          </w:tcPr>
          <w:p>
            <w:pPr>
              <w:spacing w:after="0"/>
              <w:rPr>
                <w:sz w:val="1"/>
                <w:szCs w:val="1"/>
                <w:color w:val="auto"/>
              </w:rPr>
            </w:pPr>
          </w:p>
        </w:tc>
      </w:tr>
      <w:tr>
        <w:trPr>
          <w:trHeight w:val="148"/>
        </w:trPr>
        <w:tc>
          <w:tcPr>
            <w:tcW w:w="1280" w:type="dxa"/>
            <w:vAlign w:val="bottom"/>
            <w:tcBorders>
              <w:lef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3460" w:type="dxa"/>
            <w:vAlign w:val="bottom"/>
            <w:tcBorders>
              <w:right w:val="single" w:sz="8" w:color="auto"/>
            </w:tcBorders>
          </w:tcPr>
          <w:p>
            <w:pPr>
              <w:spacing w:after="0"/>
              <w:rPr>
                <w:sz w:val="12"/>
                <w:szCs w:val="12"/>
                <w:color w:val="auto"/>
              </w:rPr>
            </w:pPr>
          </w:p>
        </w:tc>
        <w:tc>
          <w:tcPr>
            <w:tcW w:w="338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the original expiration</w:t>
            </w:r>
          </w:p>
        </w:tc>
        <w:tc>
          <w:tcPr>
            <w:tcW w:w="0" w:type="dxa"/>
            <w:vAlign w:val="bottom"/>
          </w:tcPr>
          <w:p>
            <w:pPr>
              <w:spacing w:after="0"/>
              <w:rPr>
                <w:sz w:val="1"/>
                <w:szCs w:val="1"/>
                <w:color w:val="auto"/>
              </w:rPr>
            </w:pPr>
          </w:p>
        </w:tc>
      </w:tr>
      <w:tr>
        <w:trPr>
          <w:trHeight w:val="176"/>
        </w:trPr>
        <w:tc>
          <w:tcPr>
            <w:tcW w:w="12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3460" w:type="dxa"/>
            <w:vAlign w:val="bottom"/>
            <w:tcBorders>
              <w:right w:val="single" w:sz="8" w:color="auto"/>
            </w:tcBorders>
          </w:tcPr>
          <w:p>
            <w:pPr>
              <w:spacing w:after="0"/>
              <w:rPr>
                <w:sz w:val="15"/>
                <w:szCs w:val="15"/>
                <w:color w:val="auto"/>
              </w:rPr>
            </w:pPr>
          </w:p>
        </w:tc>
        <w:tc>
          <w:tcPr>
            <w:tcW w:w="1140" w:type="dxa"/>
            <w:vAlign w:val="bottom"/>
          </w:tcPr>
          <w:p>
            <w:pPr>
              <w:spacing w:after="0"/>
              <w:rPr>
                <w:sz w:val="15"/>
                <w:szCs w:val="15"/>
                <w:color w:val="auto"/>
              </w:rPr>
            </w:pPr>
          </w:p>
        </w:tc>
        <w:tc>
          <w:tcPr>
            <w:tcW w:w="2240" w:type="dxa"/>
            <w:vAlign w:val="bottom"/>
            <w:tcBorders>
              <w:right w:val="single" w:sz="8" w:color="auto"/>
            </w:tcBorders>
            <w:gridSpan w:val="4"/>
          </w:tcPr>
          <w:p>
            <w:pPr>
              <w:jc w:val="center"/>
              <w:ind w:right="1140"/>
              <w:spacing w:after="0"/>
              <w:rPr>
                <w:sz w:val="20"/>
                <w:szCs w:val="20"/>
                <w:color w:val="auto"/>
              </w:rPr>
            </w:pPr>
            <w:r>
              <w:rPr>
                <w:rFonts w:ascii="Arial" w:cs="Arial" w:eastAsia="Arial" w:hAnsi="Arial"/>
                <w:sz w:val="13"/>
                <w:szCs w:val="13"/>
                <w:color w:val="auto"/>
              </w:rPr>
              <w:t>date of the grant</w:t>
            </w:r>
          </w:p>
        </w:tc>
        <w:tc>
          <w:tcPr>
            <w:tcW w:w="0" w:type="dxa"/>
            <w:vAlign w:val="bottom"/>
          </w:tcPr>
          <w:p>
            <w:pPr>
              <w:spacing w:after="0"/>
              <w:rPr>
                <w:sz w:val="1"/>
                <w:szCs w:val="1"/>
                <w:color w:val="auto"/>
              </w:rPr>
            </w:pPr>
          </w:p>
        </w:tc>
      </w:tr>
      <w:tr>
        <w:trPr>
          <w:trHeight w:val="39"/>
        </w:trPr>
        <w:tc>
          <w:tcPr>
            <w:tcW w:w="1280" w:type="dxa"/>
            <w:vAlign w:val="bottom"/>
            <w:tcBorders>
              <w:left w:val="single" w:sz="8" w:color="auto"/>
              <w:bottom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2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3460" w:type="dxa"/>
            <w:vAlign w:val="bottom"/>
            <w:tcBorders>
              <w:right w:val="single" w:sz="8" w:color="auto"/>
            </w:tcBorders>
          </w:tcPr>
          <w:p>
            <w:pPr>
              <w:jc w:val="center"/>
              <w:ind w:right="13"/>
              <w:spacing w:after="0"/>
              <w:rPr>
                <w:sz w:val="20"/>
                <w:szCs w:val="20"/>
                <w:color w:val="auto"/>
              </w:rPr>
            </w:pPr>
            <w:r>
              <w:rPr>
                <w:rFonts w:ascii="Arial" w:cs="Arial" w:eastAsia="Arial" w:hAnsi="Arial"/>
                <w:sz w:val="13"/>
                <w:szCs w:val="13"/>
                <w:color w:val="auto"/>
              </w:rPr>
              <w:t>Shares awarded and</w:t>
            </w:r>
          </w:p>
        </w:tc>
        <w:tc>
          <w:tcPr>
            <w:tcW w:w="3380" w:type="dxa"/>
            <w:vAlign w:val="bottom"/>
            <w:tcBorders>
              <w:right w:val="single" w:sz="8" w:color="auto"/>
            </w:tcBorders>
            <w:gridSpan w:val="5"/>
          </w:tcPr>
          <w:p>
            <w:pPr>
              <w:jc w:val="center"/>
              <w:ind w:right="40"/>
              <w:spacing w:after="0"/>
              <w:rPr>
                <w:sz w:val="20"/>
                <w:szCs w:val="20"/>
                <w:color w:val="auto"/>
              </w:rPr>
            </w:pPr>
            <w:r>
              <w:rPr>
                <w:rFonts w:ascii="Arial" w:cs="Arial" w:eastAsia="Arial" w:hAnsi="Arial"/>
                <w:sz w:val="13"/>
                <w:szCs w:val="13"/>
                <w:color w:val="auto"/>
              </w:rPr>
              <w:t>If retirement occurs after 12 months</w:t>
            </w:r>
          </w:p>
        </w:tc>
        <w:tc>
          <w:tcPr>
            <w:tcW w:w="0" w:type="dxa"/>
            <w:vAlign w:val="bottom"/>
          </w:tcPr>
          <w:p>
            <w:pPr>
              <w:spacing w:after="0"/>
              <w:rPr>
                <w:sz w:val="1"/>
                <w:szCs w:val="1"/>
                <w:color w:val="auto"/>
              </w:rPr>
            </w:pPr>
          </w:p>
        </w:tc>
      </w:tr>
      <w:tr>
        <w:trPr>
          <w:trHeight w:val="148"/>
        </w:trPr>
        <w:tc>
          <w:tcPr>
            <w:tcW w:w="1280" w:type="dxa"/>
            <w:vAlign w:val="bottom"/>
            <w:tcBorders>
              <w:lef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3460" w:type="dxa"/>
            <w:vAlign w:val="bottom"/>
            <w:tcBorders>
              <w:right w:val="single" w:sz="8" w:color="auto"/>
            </w:tcBorders>
          </w:tcPr>
          <w:p>
            <w:pPr>
              <w:jc w:val="center"/>
              <w:ind w:right="13"/>
              <w:spacing w:after="0"/>
              <w:rPr>
                <w:sz w:val="20"/>
                <w:szCs w:val="20"/>
                <w:color w:val="auto"/>
              </w:rPr>
            </w:pPr>
            <w:r>
              <w:rPr>
                <w:rFonts w:ascii="Arial" w:cs="Arial" w:eastAsia="Arial" w:hAnsi="Arial"/>
                <w:sz w:val="13"/>
                <w:szCs w:val="13"/>
                <w:color w:val="auto"/>
              </w:rPr>
              <w:t>settled based on</w:t>
            </w:r>
          </w:p>
        </w:tc>
        <w:tc>
          <w:tcPr>
            <w:tcW w:w="3380" w:type="dxa"/>
            <w:vAlign w:val="bottom"/>
            <w:tcBorders>
              <w:right w:val="single" w:sz="8" w:color="auto"/>
            </w:tcBorders>
            <w:gridSpan w:val="5"/>
          </w:tcPr>
          <w:p>
            <w:pPr>
              <w:jc w:val="center"/>
              <w:ind w:right="40"/>
              <w:spacing w:after="0"/>
              <w:rPr>
                <w:sz w:val="20"/>
                <w:szCs w:val="20"/>
                <w:color w:val="auto"/>
              </w:rPr>
            </w:pPr>
            <w:r>
              <w:rPr>
                <w:rFonts w:ascii="Arial" w:cs="Arial" w:eastAsia="Arial" w:hAnsi="Arial"/>
                <w:sz w:val="13"/>
                <w:szCs w:val="13"/>
                <w:color w:val="auto"/>
              </w:rPr>
              <w:t>following grant date, shares</w:t>
            </w:r>
          </w:p>
        </w:tc>
        <w:tc>
          <w:tcPr>
            <w:tcW w:w="0" w:type="dxa"/>
            <w:vAlign w:val="bottom"/>
          </w:tcPr>
          <w:p>
            <w:pPr>
              <w:spacing w:after="0"/>
              <w:rPr>
                <w:sz w:val="1"/>
                <w:szCs w:val="1"/>
                <w:color w:val="auto"/>
              </w:rPr>
            </w:pPr>
          </w:p>
        </w:tc>
      </w:tr>
      <w:tr>
        <w:trPr>
          <w:trHeight w:val="148"/>
        </w:trPr>
        <w:tc>
          <w:tcPr>
            <w:tcW w:w="1280" w:type="dxa"/>
            <w:vAlign w:val="bottom"/>
            <w:tcBorders>
              <w:lef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3460" w:type="dxa"/>
            <w:vAlign w:val="bottom"/>
            <w:tcBorders>
              <w:right w:val="single" w:sz="8" w:color="auto"/>
            </w:tcBorders>
          </w:tcPr>
          <w:p>
            <w:pPr>
              <w:jc w:val="center"/>
              <w:ind w:right="13"/>
              <w:spacing w:after="0"/>
              <w:rPr>
                <w:sz w:val="20"/>
                <w:szCs w:val="20"/>
                <w:color w:val="auto"/>
              </w:rPr>
            </w:pPr>
            <w:r>
              <w:rPr>
                <w:rFonts w:ascii="Arial" w:cs="Arial" w:eastAsia="Arial" w:hAnsi="Arial"/>
                <w:sz w:val="13"/>
                <w:szCs w:val="13"/>
                <w:color w:val="auto"/>
              </w:rPr>
              <w:t>actual attainment of</w:t>
            </w:r>
          </w:p>
        </w:tc>
        <w:tc>
          <w:tcPr>
            <w:tcW w:w="3380" w:type="dxa"/>
            <w:vAlign w:val="bottom"/>
            <w:tcBorders>
              <w:right w:val="single" w:sz="8" w:color="auto"/>
            </w:tcBorders>
            <w:gridSpan w:val="5"/>
          </w:tcPr>
          <w:p>
            <w:pPr>
              <w:jc w:val="center"/>
              <w:ind w:right="40"/>
              <w:spacing w:after="0"/>
              <w:rPr>
                <w:sz w:val="20"/>
                <w:szCs w:val="20"/>
                <w:color w:val="auto"/>
              </w:rPr>
            </w:pPr>
            <w:r>
              <w:rPr>
                <w:rFonts w:ascii="Arial" w:cs="Arial" w:eastAsia="Arial" w:hAnsi="Arial"/>
                <w:sz w:val="13"/>
                <w:szCs w:val="13"/>
                <w:color w:val="auto"/>
              </w:rPr>
              <w:t>awarded at the end of the</w:t>
            </w:r>
          </w:p>
        </w:tc>
        <w:tc>
          <w:tcPr>
            <w:tcW w:w="0" w:type="dxa"/>
            <w:vAlign w:val="bottom"/>
          </w:tcPr>
          <w:p>
            <w:pPr>
              <w:spacing w:after="0"/>
              <w:rPr>
                <w:sz w:val="1"/>
                <w:szCs w:val="1"/>
                <w:color w:val="auto"/>
              </w:rPr>
            </w:pPr>
          </w:p>
        </w:tc>
      </w:tr>
      <w:tr>
        <w:trPr>
          <w:trHeight w:val="148"/>
        </w:trPr>
        <w:tc>
          <w:tcPr>
            <w:tcW w:w="1280" w:type="dxa"/>
            <w:vAlign w:val="bottom"/>
            <w:tcBorders>
              <w:lef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3460" w:type="dxa"/>
            <w:vAlign w:val="bottom"/>
            <w:tcBorders>
              <w:right w:val="single" w:sz="8" w:color="auto"/>
            </w:tcBorders>
          </w:tcPr>
          <w:p>
            <w:pPr>
              <w:jc w:val="center"/>
              <w:ind w:right="13"/>
              <w:spacing w:after="0"/>
              <w:rPr>
                <w:sz w:val="20"/>
                <w:szCs w:val="20"/>
                <w:color w:val="auto"/>
              </w:rPr>
            </w:pPr>
            <w:r>
              <w:rPr>
                <w:rFonts w:ascii="Arial" w:cs="Arial" w:eastAsia="Arial" w:hAnsi="Arial"/>
                <w:sz w:val="13"/>
                <w:szCs w:val="13"/>
                <w:color w:val="auto"/>
              </w:rPr>
              <w:t>performance results as</w:t>
            </w:r>
          </w:p>
        </w:tc>
        <w:tc>
          <w:tcPr>
            <w:tcW w:w="3380" w:type="dxa"/>
            <w:vAlign w:val="bottom"/>
            <w:tcBorders>
              <w:right w:val="single" w:sz="8" w:color="auto"/>
            </w:tcBorders>
            <w:gridSpan w:val="5"/>
          </w:tcPr>
          <w:p>
            <w:pPr>
              <w:jc w:val="center"/>
              <w:ind w:right="40"/>
              <w:spacing w:after="0"/>
              <w:rPr>
                <w:sz w:val="20"/>
                <w:szCs w:val="20"/>
                <w:color w:val="auto"/>
              </w:rPr>
            </w:pPr>
            <w:r>
              <w:rPr>
                <w:rFonts w:ascii="Arial" w:cs="Arial" w:eastAsia="Arial" w:hAnsi="Arial"/>
                <w:sz w:val="13"/>
                <w:szCs w:val="13"/>
                <w:color w:val="auto"/>
              </w:rPr>
              <w:t>performance period based</w:t>
            </w:r>
          </w:p>
        </w:tc>
        <w:tc>
          <w:tcPr>
            <w:tcW w:w="0" w:type="dxa"/>
            <w:vAlign w:val="bottom"/>
          </w:tcPr>
          <w:p>
            <w:pPr>
              <w:spacing w:after="0"/>
              <w:rPr>
                <w:sz w:val="1"/>
                <w:szCs w:val="1"/>
                <w:color w:val="auto"/>
              </w:rPr>
            </w:pPr>
          </w:p>
        </w:tc>
      </w:tr>
      <w:tr>
        <w:trPr>
          <w:trHeight w:val="148"/>
        </w:trPr>
        <w:tc>
          <w:tcPr>
            <w:tcW w:w="1280" w:type="dxa"/>
            <w:vAlign w:val="bottom"/>
            <w:tcBorders>
              <w:lef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measured at the end</w:t>
            </w:r>
          </w:p>
        </w:tc>
        <w:tc>
          <w:tcPr>
            <w:tcW w:w="338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on actual attainment of</w:t>
            </w:r>
          </w:p>
        </w:tc>
        <w:tc>
          <w:tcPr>
            <w:tcW w:w="0" w:type="dxa"/>
            <w:vAlign w:val="bottom"/>
          </w:tcPr>
          <w:p>
            <w:pPr>
              <w:spacing w:after="0"/>
              <w:rPr>
                <w:sz w:val="1"/>
                <w:szCs w:val="1"/>
                <w:color w:val="auto"/>
              </w:rPr>
            </w:pPr>
          </w:p>
        </w:tc>
      </w:tr>
      <w:tr>
        <w:trPr>
          <w:trHeight w:val="148"/>
        </w:trPr>
        <w:tc>
          <w:tcPr>
            <w:tcW w:w="2340" w:type="dxa"/>
            <w:vAlign w:val="bottom"/>
            <w:tcBorders>
              <w:left w:val="single" w:sz="8" w:color="auto"/>
              <w:right w:val="single" w:sz="8" w:color="auto"/>
            </w:tcBorders>
            <w:gridSpan w:val="2"/>
            <w:vMerge w:val="restart"/>
          </w:tcPr>
          <w:p>
            <w:pPr>
              <w:jc w:val="center"/>
              <w:ind w:right="40"/>
              <w:spacing w:after="0"/>
              <w:rPr>
                <w:sz w:val="20"/>
                <w:szCs w:val="20"/>
                <w:color w:val="auto"/>
              </w:rPr>
            </w:pPr>
            <w:r>
              <w:rPr>
                <w:rFonts w:ascii="Arial" w:cs="Arial" w:eastAsia="Arial" w:hAnsi="Arial"/>
                <w:sz w:val="13"/>
                <w:szCs w:val="13"/>
                <w:color w:val="auto"/>
                <w:w w:val="95"/>
              </w:rPr>
              <w:t>PRSUs</w:t>
            </w:r>
            <w:r>
              <w:rPr>
                <w:rFonts w:ascii="Arial" w:cs="Arial" w:eastAsia="Arial" w:hAnsi="Arial"/>
                <w:sz w:val="22"/>
                <w:szCs w:val="22"/>
                <w:color w:val="auto"/>
                <w:w w:val="95"/>
                <w:vertAlign w:val="superscript"/>
              </w:rPr>
              <w:t>(5)</w:t>
            </w:r>
          </w:p>
        </w:tc>
        <w:tc>
          <w:tcPr>
            <w:tcW w:w="3460" w:type="dxa"/>
            <w:vAlign w:val="bottom"/>
            <w:tcBorders>
              <w:right w:val="single" w:sz="8" w:color="auto"/>
            </w:tcBorders>
          </w:tcPr>
          <w:p>
            <w:pPr>
              <w:jc w:val="center"/>
              <w:ind w:right="13"/>
              <w:spacing w:after="0"/>
              <w:rPr>
                <w:sz w:val="20"/>
                <w:szCs w:val="20"/>
                <w:color w:val="auto"/>
              </w:rPr>
            </w:pPr>
            <w:r>
              <w:rPr>
                <w:rFonts w:ascii="Arial" w:cs="Arial" w:eastAsia="Arial" w:hAnsi="Arial"/>
                <w:sz w:val="13"/>
                <w:szCs w:val="13"/>
                <w:color w:val="auto"/>
              </w:rPr>
              <w:t>of the performance</w:t>
            </w:r>
          </w:p>
        </w:tc>
        <w:tc>
          <w:tcPr>
            <w:tcW w:w="3380" w:type="dxa"/>
            <w:vAlign w:val="bottom"/>
            <w:tcBorders>
              <w:right w:val="single" w:sz="8" w:color="auto"/>
            </w:tcBorders>
            <w:gridSpan w:val="5"/>
          </w:tcPr>
          <w:p>
            <w:pPr>
              <w:jc w:val="center"/>
              <w:ind w:right="40"/>
              <w:spacing w:after="0"/>
              <w:rPr>
                <w:sz w:val="20"/>
                <w:szCs w:val="20"/>
                <w:color w:val="auto"/>
              </w:rPr>
            </w:pPr>
            <w:r>
              <w:rPr>
                <w:rFonts w:ascii="Arial" w:cs="Arial" w:eastAsia="Arial" w:hAnsi="Arial"/>
                <w:sz w:val="13"/>
                <w:szCs w:val="13"/>
                <w:color w:val="auto"/>
              </w:rPr>
              <w:t>performance results as</w:t>
            </w: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right w:val="single" w:sz="8" w:color="auto"/>
            </w:tcBorders>
            <w:gridSpan w:val="2"/>
            <w:vMerge w:val="continue"/>
          </w:tcPr>
          <w:p>
            <w:pPr>
              <w:spacing w:after="0"/>
              <w:rPr>
                <w:sz w:val="12"/>
                <w:szCs w:val="12"/>
                <w:color w:val="auto"/>
              </w:rPr>
            </w:pPr>
          </w:p>
        </w:tc>
        <w:tc>
          <w:tcPr>
            <w:tcW w:w="3460" w:type="dxa"/>
            <w:vAlign w:val="bottom"/>
            <w:tcBorders>
              <w:right w:val="single" w:sz="8" w:color="auto"/>
            </w:tcBorders>
          </w:tcPr>
          <w:p>
            <w:pPr>
              <w:jc w:val="center"/>
              <w:ind w:right="13"/>
              <w:spacing w:after="0"/>
              <w:rPr>
                <w:sz w:val="20"/>
                <w:szCs w:val="20"/>
                <w:color w:val="auto"/>
              </w:rPr>
            </w:pPr>
            <w:r>
              <w:rPr>
                <w:rFonts w:ascii="Arial" w:cs="Arial" w:eastAsia="Arial" w:hAnsi="Arial"/>
                <w:sz w:val="13"/>
                <w:szCs w:val="13"/>
                <w:color w:val="auto"/>
              </w:rPr>
              <w:t>period ending in the</w:t>
            </w:r>
          </w:p>
        </w:tc>
        <w:tc>
          <w:tcPr>
            <w:tcW w:w="338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measured at the end</w:t>
            </w:r>
          </w:p>
        </w:tc>
        <w:tc>
          <w:tcPr>
            <w:tcW w:w="0" w:type="dxa"/>
            <w:vAlign w:val="bottom"/>
          </w:tcPr>
          <w:p>
            <w:pPr>
              <w:spacing w:after="0"/>
              <w:rPr>
                <w:sz w:val="1"/>
                <w:szCs w:val="1"/>
                <w:color w:val="auto"/>
              </w:rPr>
            </w:pPr>
          </w:p>
        </w:tc>
      </w:tr>
      <w:tr>
        <w:trPr>
          <w:trHeight w:val="148"/>
        </w:trPr>
        <w:tc>
          <w:tcPr>
            <w:tcW w:w="1280" w:type="dxa"/>
            <w:vAlign w:val="bottom"/>
            <w:tcBorders>
              <w:lef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3460" w:type="dxa"/>
            <w:vAlign w:val="bottom"/>
            <w:tcBorders>
              <w:right w:val="single" w:sz="8" w:color="auto"/>
            </w:tcBorders>
          </w:tcPr>
          <w:p>
            <w:pPr>
              <w:jc w:val="center"/>
              <w:ind w:right="13"/>
              <w:spacing w:after="0"/>
              <w:rPr>
                <w:sz w:val="20"/>
                <w:szCs w:val="20"/>
                <w:color w:val="auto"/>
              </w:rPr>
            </w:pPr>
            <w:r>
              <w:rPr>
                <w:rFonts w:ascii="Arial" w:cs="Arial" w:eastAsia="Arial" w:hAnsi="Arial"/>
                <w:sz w:val="13"/>
                <w:szCs w:val="13"/>
                <w:color w:val="auto"/>
              </w:rPr>
              <w:t>year of death or</w:t>
            </w:r>
          </w:p>
        </w:tc>
        <w:tc>
          <w:tcPr>
            <w:tcW w:w="3380" w:type="dxa"/>
            <w:vAlign w:val="bottom"/>
            <w:tcBorders>
              <w:right w:val="single" w:sz="8" w:color="auto"/>
            </w:tcBorders>
            <w:gridSpan w:val="5"/>
          </w:tcPr>
          <w:p>
            <w:pPr>
              <w:jc w:val="center"/>
              <w:ind w:right="40"/>
              <w:spacing w:after="0"/>
              <w:rPr>
                <w:sz w:val="20"/>
                <w:szCs w:val="20"/>
                <w:color w:val="auto"/>
              </w:rPr>
            </w:pPr>
            <w:r>
              <w:rPr>
                <w:rFonts w:ascii="Arial" w:cs="Arial" w:eastAsia="Arial" w:hAnsi="Arial"/>
                <w:sz w:val="13"/>
                <w:szCs w:val="13"/>
                <w:color w:val="auto"/>
              </w:rPr>
              <w:t>of the performance</w:t>
            </w:r>
          </w:p>
        </w:tc>
        <w:tc>
          <w:tcPr>
            <w:tcW w:w="0" w:type="dxa"/>
            <w:vAlign w:val="bottom"/>
          </w:tcPr>
          <w:p>
            <w:pPr>
              <w:spacing w:after="0"/>
              <w:rPr>
                <w:sz w:val="1"/>
                <w:szCs w:val="1"/>
                <w:color w:val="auto"/>
              </w:rPr>
            </w:pPr>
          </w:p>
        </w:tc>
      </w:tr>
      <w:tr>
        <w:trPr>
          <w:trHeight w:val="148"/>
        </w:trPr>
        <w:tc>
          <w:tcPr>
            <w:tcW w:w="1280" w:type="dxa"/>
            <w:vAlign w:val="bottom"/>
            <w:tcBorders>
              <w:lef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3460" w:type="dxa"/>
            <w:vAlign w:val="bottom"/>
            <w:tcBorders>
              <w:right w:val="single" w:sz="8" w:color="auto"/>
            </w:tcBorders>
          </w:tcPr>
          <w:p>
            <w:pPr>
              <w:jc w:val="center"/>
              <w:ind w:right="13"/>
              <w:spacing w:after="0"/>
              <w:rPr>
                <w:sz w:val="20"/>
                <w:szCs w:val="20"/>
                <w:color w:val="auto"/>
              </w:rPr>
            </w:pPr>
            <w:r>
              <w:rPr>
                <w:rFonts w:ascii="Arial" w:cs="Arial" w:eastAsia="Arial" w:hAnsi="Arial"/>
                <w:sz w:val="13"/>
                <w:szCs w:val="13"/>
                <w:color w:val="auto"/>
              </w:rPr>
              <w:t>disability. Number of</w:t>
            </w:r>
          </w:p>
        </w:tc>
        <w:tc>
          <w:tcPr>
            <w:tcW w:w="338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period. Number of</w:t>
            </w:r>
          </w:p>
        </w:tc>
        <w:tc>
          <w:tcPr>
            <w:tcW w:w="0" w:type="dxa"/>
            <w:vAlign w:val="bottom"/>
          </w:tcPr>
          <w:p>
            <w:pPr>
              <w:spacing w:after="0"/>
              <w:rPr>
                <w:sz w:val="1"/>
                <w:szCs w:val="1"/>
                <w:color w:val="auto"/>
              </w:rPr>
            </w:pPr>
          </w:p>
        </w:tc>
      </w:tr>
      <w:tr>
        <w:trPr>
          <w:trHeight w:val="148"/>
        </w:trPr>
        <w:tc>
          <w:tcPr>
            <w:tcW w:w="1280" w:type="dxa"/>
            <w:vAlign w:val="bottom"/>
            <w:tcBorders>
              <w:lef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shares awarded is not</w:t>
            </w:r>
          </w:p>
        </w:tc>
        <w:tc>
          <w:tcPr>
            <w:tcW w:w="338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3"/>
                <w:szCs w:val="13"/>
                <w:color w:val="auto"/>
              </w:rPr>
              <w:t>shares awarded is not</w:t>
            </w:r>
          </w:p>
        </w:tc>
        <w:tc>
          <w:tcPr>
            <w:tcW w:w="0" w:type="dxa"/>
            <w:vAlign w:val="bottom"/>
          </w:tcPr>
          <w:p>
            <w:pPr>
              <w:spacing w:after="0"/>
              <w:rPr>
                <w:sz w:val="1"/>
                <w:szCs w:val="1"/>
                <w:color w:val="auto"/>
              </w:rPr>
            </w:pPr>
          </w:p>
        </w:tc>
      </w:tr>
      <w:tr>
        <w:trPr>
          <w:trHeight w:val="149"/>
        </w:trPr>
        <w:tc>
          <w:tcPr>
            <w:tcW w:w="1280" w:type="dxa"/>
            <w:vAlign w:val="bottom"/>
            <w:tcBorders>
              <w:lef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3460" w:type="dxa"/>
            <w:vAlign w:val="bottom"/>
            <w:tcBorders>
              <w:right w:val="single" w:sz="8" w:color="auto"/>
            </w:tcBorders>
          </w:tcPr>
          <w:p>
            <w:pPr>
              <w:jc w:val="center"/>
              <w:ind w:right="13"/>
              <w:spacing w:after="0"/>
              <w:rPr>
                <w:sz w:val="20"/>
                <w:szCs w:val="20"/>
                <w:color w:val="auto"/>
              </w:rPr>
            </w:pPr>
            <w:r>
              <w:rPr>
                <w:rFonts w:ascii="Arial" w:cs="Arial" w:eastAsia="Arial" w:hAnsi="Arial"/>
                <w:sz w:val="13"/>
                <w:szCs w:val="13"/>
                <w:color w:val="auto"/>
              </w:rPr>
              <w:t>pro-rated for partial</w:t>
            </w:r>
          </w:p>
        </w:tc>
        <w:tc>
          <w:tcPr>
            <w:tcW w:w="3380" w:type="dxa"/>
            <w:vAlign w:val="bottom"/>
            <w:tcBorders>
              <w:right w:val="single" w:sz="8" w:color="auto"/>
            </w:tcBorders>
            <w:gridSpan w:val="5"/>
          </w:tcPr>
          <w:p>
            <w:pPr>
              <w:jc w:val="center"/>
              <w:ind w:right="40"/>
              <w:spacing w:after="0"/>
              <w:rPr>
                <w:sz w:val="20"/>
                <w:szCs w:val="20"/>
                <w:color w:val="auto"/>
              </w:rPr>
            </w:pPr>
            <w:r>
              <w:rPr>
                <w:rFonts w:ascii="Arial" w:cs="Arial" w:eastAsia="Arial" w:hAnsi="Arial"/>
                <w:sz w:val="13"/>
                <w:szCs w:val="13"/>
                <w:color w:val="auto"/>
              </w:rPr>
              <w:t>pro-rated for partial</w:t>
            </w:r>
          </w:p>
        </w:tc>
        <w:tc>
          <w:tcPr>
            <w:tcW w:w="0" w:type="dxa"/>
            <w:vAlign w:val="bottom"/>
          </w:tcPr>
          <w:p>
            <w:pPr>
              <w:spacing w:after="0"/>
              <w:rPr>
                <w:sz w:val="1"/>
                <w:szCs w:val="1"/>
                <w:color w:val="auto"/>
              </w:rPr>
            </w:pPr>
          </w:p>
        </w:tc>
      </w:tr>
      <w:tr>
        <w:trPr>
          <w:trHeight w:val="148"/>
        </w:trPr>
        <w:tc>
          <w:tcPr>
            <w:tcW w:w="1280" w:type="dxa"/>
            <w:vAlign w:val="bottom"/>
            <w:tcBorders>
              <w:lef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3460" w:type="dxa"/>
            <w:vAlign w:val="bottom"/>
            <w:tcBorders>
              <w:right w:val="single" w:sz="8" w:color="auto"/>
            </w:tcBorders>
          </w:tcPr>
          <w:p>
            <w:pPr>
              <w:jc w:val="center"/>
              <w:ind w:right="13"/>
              <w:spacing w:after="0"/>
              <w:rPr>
                <w:sz w:val="20"/>
                <w:szCs w:val="20"/>
                <w:color w:val="auto"/>
              </w:rPr>
            </w:pPr>
            <w:r>
              <w:rPr>
                <w:rFonts w:ascii="Arial" w:cs="Arial" w:eastAsia="Arial" w:hAnsi="Arial"/>
                <w:sz w:val="13"/>
                <w:szCs w:val="13"/>
                <w:color w:val="auto"/>
              </w:rPr>
              <w:t>employment during the</w:t>
            </w:r>
          </w:p>
        </w:tc>
        <w:tc>
          <w:tcPr>
            <w:tcW w:w="3380" w:type="dxa"/>
            <w:vAlign w:val="bottom"/>
            <w:tcBorders>
              <w:right w:val="single" w:sz="8" w:color="auto"/>
            </w:tcBorders>
            <w:gridSpan w:val="5"/>
          </w:tcPr>
          <w:p>
            <w:pPr>
              <w:jc w:val="center"/>
              <w:ind w:right="40"/>
              <w:spacing w:after="0"/>
              <w:rPr>
                <w:sz w:val="20"/>
                <w:szCs w:val="20"/>
                <w:color w:val="auto"/>
              </w:rPr>
            </w:pPr>
            <w:r>
              <w:rPr>
                <w:rFonts w:ascii="Arial" w:cs="Arial" w:eastAsia="Arial" w:hAnsi="Arial"/>
                <w:sz w:val="13"/>
                <w:szCs w:val="13"/>
                <w:color w:val="auto"/>
              </w:rPr>
              <w:t>employment during the</w:t>
            </w:r>
          </w:p>
        </w:tc>
        <w:tc>
          <w:tcPr>
            <w:tcW w:w="0" w:type="dxa"/>
            <w:vAlign w:val="bottom"/>
          </w:tcPr>
          <w:p>
            <w:pPr>
              <w:spacing w:after="0"/>
              <w:rPr>
                <w:sz w:val="1"/>
                <w:szCs w:val="1"/>
                <w:color w:val="auto"/>
              </w:rPr>
            </w:pPr>
          </w:p>
        </w:tc>
      </w:tr>
      <w:tr>
        <w:trPr>
          <w:trHeight w:val="182"/>
        </w:trPr>
        <w:tc>
          <w:tcPr>
            <w:tcW w:w="1280" w:type="dxa"/>
            <w:vAlign w:val="bottom"/>
            <w:tcBorders>
              <w:left w:val="single" w:sz="8" w:color="auto"/>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3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performance period.</w:t>
            </w:r>
          </w:p>
        </w:tc>
        <w:tc>
          <w:tcPr>
            <w:tcW w:w="3380" w:type="dxa"/>
            <w:vAlign w:val="bottom"/>
            <w:tcBorders>
              <w:bottom w:val="single" w:sz="8" w:color="auto"/>
              <w:right w:val="single" w:sz="8" w:color="auto"/>
            </w:tcBorders>
            <w:gridSpan w:val="5"/>
          </w:tcPr>
          <w:p>
            <w:pPr>
              <w:jc w:val="center"/>
              <w:spacing w:after="0"/>
              <w:rPr>
                <w:sz w:val="20"/>
                <w:szCs w:val="20"/>
                <w:color w:val="auto"/>
              </w:rPr>
            </w:pPr>
            <w:r>
              <w:rPr>
                <w:rFonts w:ascii="Arial" w:cs="Arial" w:eastAsia="Arial" w:hAnsi="Arial"/>
                <w:sz w:val="13"/>
                <w:szCs w:val="13"/>
                <w:color w:val="auto"/>
              </w:rPr>
              <w:t>performance period.</w:t>
            </w:r>
          </w:p>
        </w:tc>
        <w:tc>
          <w:tcPr>
            <w:tcW w:w="0" w:type="dxa"/>
            <w:vAlign w:val="bottom"/>
          </w:tcPr>
          <w:p>
            <w:pPr>
              <w:spacing w:after="0"/>
              <w:rPr>
                <w:sz w:val="1"/>
                <w:szCs w:val="1"/>
                <w:color w:val="auto"/>
              </w:rPr>
            </w:pPr>
          </w:p>
        </w:tc>
      </w:tr>
      <w:tr>
        <w:trPr>
          <w:trHeight w:val="188"/>
        </w:trPr>
        <w:tc>
          <w:tcPr>
            <w:tcW w:w="1280" w:type="dxa"/>
            <w:vAlign w:val="bottom"/>
            <w:tcBorders>
              <w:bottom w:val="single" w:sz="8" w:color="auto"/>
            </w:tcBorders>
          </w:tcPr>
          <w:p>
            <w:pPr>
              <w:spacing w:after="0"/>
              <w:rPr>
                <w:sz w:val="16"/>
                <w:szCs w:val="16"/>
                <w:color w:val="auto"/>
              </w:rPr>
            </w:pPr>
          </w:p>
        </w:tc>
        <w:tc>
          <w:tcPr>
            <w:tcW w:w="106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260" w:right="960" w:hanging="346"/>
        <w:spacing w:after="0" w:line="253" w:lineRule="auto"/>
        <w:tabs>
          <w:tab w:leader="none" w:pos="1260" w:val="left"/>
        </w:tabs>
        <w:numPr>
          <w:ilvl w:val="0"/>
          <w:numId w:val="47"/>
        </w:numPr>
        <w:rPr>
          <w:rFonts w:ascii="Arial" w:cs="Arial" w:eastAsia="Arial" w:hAnsi="Arial"/>
          <w:sz w:val="14"/>
          <w:szCs w:val="14"/>
          <w:color w:val="auto"/>
        </w:rPr>
      </w:pPr>
      <w:r>
        <w:rPr>
          <w:rFonts w:ascii="Arial" w:cs="Arial" w:eastAsia="Arial" w:hAnsi="Arial"/>
          <w:sz w:val="14"/>
          <w:szCs w:val="14"/>
          <w:i w:val="1"/>
          <w:iCs w:val="1"/>
          <w:color w:val="auto"/>
        </w:rPr>
        <w:t xml:space="preserve">Definition of Retirement: </w:t>
      </w:r>
      <w:r>
        <w:rPr>
          <w:rFonts w:ascii="Arial" w:cs="Arial" w:eastAsia="Arial" w:hAnsi="Arial"/>
          <w:sz w:val="14"/>
          <w:szCs w:val="14"/>
          <w:color w:val="auto"/>
        </w:rPr>
        <w:t>For purposes of all awards granted under the 2010 SIP to NEOs located in the U.S., “retirement” means voluntary</w:t>
      </w:r>
      <w:r>
        <w:rPr>
          <w:rFonts w:ascii="Arial" w:cs="Arial" w:eastAsia="Arial" w:hAnsi="Arial"/>
          <w:sz w:val="14"/>
          <w:szCs w:val="14"/>
          <w:i w:val="1"/>
          <w:iCs w:val="1"/>
          <w:color w:val="auto"/>
        </w:rPr>
        <w:t xml:space="preserve"> </w:t>
      </w:r>
      <w:r>
        <w:rPr>
          <w:rFonts w:ascii="Arial" w:cs="Arial" w:eastAsia="Arial" w:hAnsi="Arial"/>
          <w:sz w:val="14"/>
          <w:szCs w:val="14"/>
          <w:color w:val="auto"/>
        </w:rPr>
        <w:t>termination of employment after the date on which the award recipient has reached (i) the age of 55 and has a total of at least 10 years of continuous employment with Itron or (ii) the age of 60 and has a total of at least five (5) years of continuous employment with Itron. For stock options granted in fiscal year 2016 or prior, “retirement” means the earlier of age 65 or age 55 with at least 10 years of service with Itron.</w:t>
      </w:r>
    </w:p>
    <w:p>
      <w:pPr>
        <w:spacing w:after="0" w:line="212" w:lineRule="exact"/>
        <w:rPr>
          <w:rFonts w:ascii="Arial" w:cs="Arial" w:eastAsia="Arial" w:hAnsi="Arial"/>
          <w:sz w:val="14"/>
          <w:szCs w:val="14"/>
          <w:color w:val="auto"/>
        </w:rPr>
      </w:pPr>
    </w:p>
    <w:p>
      <w:pPr>
        <w:ind w:left="1260" w:right="960" w:hanging="346"/>
        <w:spacing w:after="0" w:line="263" w:lineRule="auto"/>
        <w:tabs>
          <w:tab w:leader="none" w:pos="1260" w:val="left"/>
        </w:tabs>
        <w:numPr>
          <w:ilvl w:val="0"/>
          <w:numId w:val="47"/>
        </w:numPr>
        <w:rPr>
          <w:rFonts w:ascii="Arial" w:cs="Arial" w:eastAsia="Arial" w:hAnsi="Arial"/>
          <w:sz w:val="14"/>
          <w:szCs w:val="14"/>
          <w:color w:val="auto"/>
        </w:rPr>
      </w:pPr>
      <w:r>
        <w:rPr>
          <w:rFonts w:ascii="Arial" w:cs="Arial" w:eastAsia="Arial" w:hAnsi="Arial"/>
          <w:sz w:val="14"/>
          <w:szCs w:val="14"/>
          <w:i w:val="1"/>
          <w:iCs w:val="1"/>
          <w:color w:val="auto"/>
        </w:rPr>
        <w:t xml:space="preserve">Annual Incentive Plan: </w:t>
      </w:r>
      <w:r>
        <w:rPr>
          <w:rFonts w:ascii="Arial" w:cs="Arial" w:eastAsia="Arial" w:hAnsi="Arial"/>
          <w:sz w:val="14"/>
          <w:szCs w:val="14"/>
          <w:color w:val="auto"/>
        </w:rPr>
        <w:t>For awards under the IIP, participants would receive a prorated award (assuming an award is earned) based on the</w:t>
      </w:r>
      <w:r>
        <w:rPr>
          <w:rFonts w:ascii="Arial" w:cs="Arial" w:eastAsia="Arial" w:hAnsi="Arial"/>
          <w:sz w:val="14"/>
          <w:szCs w:val="14"/>
          <w:i w:val="1"/>
          <w:iCs w:val="1"/>
          <w:color w:val="auto"/>
        </w:rPr>
        <w:t xml:space="preserve"> </w:t>
      </w:r>
      <w:r>
        <w:rPr>
          <w:rFonts w:ascii="Arial" w:cs="Arial" w:eastAsia="Arial" w:hAnsi="Arial"/>
          <w:sz w:val="14"/>
          <w:szCs w:val="14"/>
          <w:color w:val="auto"/>
        </w:rPr>
        <w:t>number of calendar days employed during the performance period and such payout, if any, will be made at the same time as the other participants.</w:t>
      </w:r>
    </w:p>
    <w:p>
      <w:pPr>
        <w:spacing w:after="0" w:line="24" w:lineRule="exact"/>
        <w:rPr>
          <w:rFonts w:ascii="Arial" w:cs="Arial" w:eastAsia="Arial" w:hAnsi="Arial"/>
          <w:sz w:val="14"/>
          <w:szCs w:val="14"/>
          <w:color w:val="auto"/>
        </w:rPr>
      </w:pPr>
    </w:p>
    <w:p>
      <w:pPr>
        <w:ind w:left="1260" w:right="1140" w:hanging="346"/>
        <w:spacing w:after="0" w:line="263" w:lineRule="auto"/>
        <w:tabs>
          <w:tab w:leader="none" w:pos="1260" w:val="left"/>
        </w:tabs>
        <w:numPr>
          <w:ilvl w:val="0"/>
          <w:numId w:val="47"/>
        </w:numPr>
        <w:rPr>
          <w:rFonts w:ascii="Arial" w:cs="Arial" w:eastAsia="Arial" w:hAnsi="Arial"/>
          <w:sz w:val="14"/>
          <w:szCs w:val="14"/>
          <w:color w:val="auto"/>
        </w:rPr>
      </w:pPr>
      <w:r>
        <w:rPr>
          <w:rFonts w:ascii="Arial" w:cs="Arial" w:eastAsia="Arial" w:hAnsi="Arial"/>
          <w:sz w:val="14"/>
          <w:szCs w:val="14"/>
          <w:i w:val="1"/>
          <w:iCs w:val="1"/>
          <w:color w:val="auto"/>
        </w:rPr>
        <w:t xml:space="preserve">RSUs: </w:t>
      </w:r>
      <w:r>
        <w:rPr>
          <w:rFonts w:ascii="Arial" w:cs="Arial" w:eastAsia="Arial" w:hAnsi="Arial"/>
          <w:sz w:val="14"/>
          <w:szCs w:val="14"/>
          <w:color w:val="auto"/>
        </w:rPr>
        <w:t>If a retirement occurs after 12 months following the grant date, RSUs will continue to vest subject to non-compete/non-solicit and</w:t>
      </w:r>
      <w:r>
        <w:rPr>
          <w:rFonts w:ascii="Arial" w:cs="Arial" w:eastAsia="Arial" w:hAnsi="Arial"/>
          <w:sz w:val="14"/>
          <w:szCs w:val="14"/>
          <w:i w:val="1"/>
          <w:iCs w:val="1"/>
          <w:color w:val="auto"/>
        </w:rPr>
        <w:t xml:space="preserve"> </w:t>
      </w:r>
      <w:r>
        <w:rPr>
          <w:rFonts w:ascii="Arial" w:cs="Arial" w:eastAsia="Arial" w:hAnsi="Arial"/>
          <w:sz w:val="14"/>
          <w:szCs w:val="14"/>
          <w:color w:val="auto"/>
        </w:rPr>
        <w:t>reasonable notice restrictions. If termination is due to death or disability (as defined in the 2010 SIP), any unvested RSUs will vest immediately.</w:t>
      </w:r>
    </w:p>
    <w:p>
      <w:pPr>
        <w:spacing w:after="0" w:line="24" w:lineRule="exact"/>
        <w:rPr>
          <w:rFonts w:ascii="Arial" w:cs="Arial" w:eastAsia="Arial" w:hAnsi="Arial"/>
          <w:sz w:val="14"/>
          <w:szCs w:val="14"/>
          <w:color w:val="auto"/>
        </w:rPr>
      </w:pPr>
    </w:p>
    <w:p>
      <w:pPr>
        <w:ind w:left="1260" w:right="960" w:hanging="346"/>
        <w:spacing w:after="0" w:line="256" w:lineRule="auto"/>
        <w:tabs>
          <w:tab w:leader="none" w:pos="1260" w:val="left"/>
        </w:tabs>
        <w:numPr>
          <w:ilvl w:val="0"/>
          <w:numId w:val="47"/>
        </w:numPr>
        <w:rPr>
          <w:rFonts w:ascii="Arial" w:cs="Arial" w:eastAsia="Arial" w:hAnsi="Arial"/>
          <w:sz w:val="14"/>
          <w:szCs w:val="14"/>
          <w:color w:val="auto"/>
        </w:rPr>
      </w:pPr>
      <w:r>
        <w:rPr>
          <w:rFonts w:ascii="Arial" w:cs="Arial" w:eastAsia="Arial" w:hAnsi="Arial"/>
          <w:sz w:val="14"/>
          <w:szCs w:val="14"/>
          <w:i w:val="1"/>
          <w:iCs w:val="1"/>
          <w:color w:val="auto"/>
        </w:rPr>
        <w:t xml:space="preserve">Stock Options: </w:t>
      </w:r>
      <w:r>
        <w:rPr>
          <w:rFonts w:ascii="Arial" w:cs="Arial" w:eastAsia="Arial" w:hAnsi="Arial"/>
          <w:sz w:val="14"/>
          <w:szCs w:val="14"/>
          <w:color w:val="auto"/>
        </w:rPr>
        <w:t>Upon retirement, vested options granted in 2016 or prior would remain exercisable until the earlier of three years following</w:t>
      </w:r>
      <w:r>
        <w:rPr>
          <w:rFonts w:ascii="Arial" w:cs="Arial" w:eastAsia="Arial" w:hAnsi="Arial"/>
          <w:sz w:val="14"/>
          <w:szCs w:val="14"/>
          <w:i w:val="1"/>
          <w:iCs w:val="1"/>
          <w:color w:val="auto"/>
        </w:rPr>
        <w:t xml:space="preserve"> </w:t>
      </w:r>
      <w:r>
        <w:rPr>
          <w:rFonts w:ascii="Arial" w:cs="Arial" w:eastAsia="Arial" w:hAnsi="Arial"/>
          <w:sz w:val="14"/>
          <w:szCs w:val="14"/>
          <w:color w:val="auto"/>
        </w:rPr>
        <w:t>retirement or the option expiration date. If a retirement occurs after 12 months following the grant date, options will continue to vest subject to non-compete/non-solicit and reasonable notice restrictions. If termination is due to death or disability, all unvested options become exercisable and remain exercisable until the date on which the options expire by their terms.</w:t>
      </w:r>
    </w:p>
    <w:p>
      <w:pPr>
        <w:spacing w:after="0" w:line="42" w:lineRule="exact"/>
        <w:rPr>
          <w:rFonts w:ascii="Arial" w:cs="Arial" w:eastAsia="Arial" w:hAnsi="Arial"/>
          <w:sz w:val="14"/>
          <w:szCs w:val="14"/>
          <w:color w:val="auto"/>
        </w:rPr>
      </w:pPr>
    </w:p>
    <w:p>
      <w:pPr>
        <w:ind w:left="1260" w:right="1040" w:hanging="346"/>
        <w:spacing w:after="0" w:line="250" w:lineRule="auto"/>
        <w:tabs>
          <w:tab w:leader="none" w:pos="1260" w:val="left"/>
        </w:tabs>
        <w:numPr>
          <w:ilvl w:val="0"/>
          <w:numId w:val="47"/>
        </w:numPr>
        <w:rPr>
          <w:rFonts w:ascii="Arial" w:cs="Arial" w:eastAsia="Arial" w:hAnsi="Arial"/>
          <w:sz w:val="14"/>
          <w:szCs w:val="14"/>
          <w:color w:val="auto"/>
        </w:rPr>
      </w:pPr>
      <w:r>
        <w:rPr>
          <w:rFonts w:ascii="Arial" w:cs="Arial" w:eastAsia="Arial" w:hAnsi="Arial"/>
          <w:sz w:val="14"/>
          <w:szCs w:val="14"/>
          <w:i w:val="1"/>
          <w:iCs w:val="1"/>
          <w:color w:val="auto"/>
        </w:rPr>
        <w:t xml:space="preserve">PRSUs: </w:t>
      </w:r>
      <w:r>
        <w:rPr>
          <w:rFonts w:ascii="Arial" w:cs="Arial" w:eastAsia="Arial" w:hAnsi="Arial"/>
          <w:sz w:val="14"/>
          <w:szCs w:val="14"/>
          <w:color w:val="auto"/>
        </w:rPr>
        <w:t>If termination occurs due to death or disability during the performance period, shares will be awarded and settled based on the</w:t>
      </w:r>
      <w:r>
        <w:rPr>
          <w:rFonts w:ascii="Arial" w:cs="Arial" w:eastAsia="Arial" w:hAnsi="Arial"/>
          <w:sz w:val="14"/>
          <w:szCs w:val="14"/>
          <w:i w:val="1"/>
          <w:iCs w:val="1"/>
          <w:color w:val="auto"/>
        </w:rPr>
        <w:t xml:space="preserve"> </w:t>
      </w:r>
      <w:r>
        <w:rPr>
          <w:rFonts w:ascii="Arial" w:cs="Arial" w:eastAsia="Arial" w:hAnsi="Arial"/>
          <w:sz w:val="14"/>
          <w:szCs w:val="14"/>
          <w:color w:val="auto"/>
        </w:rPr>
        <w:t>performance period and results ending in the year of death or disability and will not be pro-rated for partial employment during the performance period. If a retirement occurs after 12 months following the grant date, awards will vest in full based on actual performance and the applied TSR multiplier calculated at the end of the performance period, subject to non-compete/non-solicit and reasonable notice restrictions. Vested units generally will be settled at the original vesting date set forth in the award agreement, and in accordance with the provisions of Section 409A of the Code.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-44-</w:t>
            </w:r>
          </w:p>
        </w:tc>
      </w:tr>
      <w:tr>
        <w:trPr>
          <w:trHeight w:val="219"/>
        </w:trPr>
        <w:tc>
          <w:tcPr>
            <w:tcW w:w="316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48" w:name="page49"/>
    <w:bookmarkEnd w:id="48"/>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Voluntary Termination or Termination without Cause</w:t>
      </w:r>
    </w:p>
    <w:p>
      <w:pPr>
        <w:spacing w:after="0" w:line="185" w:lineRule="exact"/>
        <w:rPr>
          <w:sz w:val="20"/>
          <w:szCs w:val="20"/>
          <w:color w:val="auto"/>
        </w:rPr>
      </w:pPr>
    </w:p>
    <w:p>
      <w:pPr>
        <w:ind w:left="1620" w:right="960" w:hanging="346"/>
        <w:spacing w:after="0" w:line="253" w:lineRule="auto"/>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All unvested options automatically expire due to voluntary termination or termination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without cause. Any vested options would remain exercisable until the earlier of 90 days following termination of employment or the date on which the options expire by their terms.</w:t>
      </w:r>
    </w:p>
    <w:p>
      <w:pPr>
        <w:spacing w:after="0" w:line="128" w:lineRule="exact"/>
        <w:rPr>
          <w:rFonts w:ascii="Arial" w:cs="Arial" w:eastAsia="Arial" w:hAnsi="Arial"/>
          <w:sz w:val="18"/>
          <w:szCs w:val="18"/>
          <w:color w:val="auto"/>
        </w:rPr>
      </w:pPr>
    </w:p>
    <w:p>
      <w:pPr>
        <w:ind w:left="1620" w:hanging="346"/>
        <w:spacing w:after="0"/>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RSUs: </w:t>
      </w:r>
      <w:r>
        <w:rPr>
          <w:rFonts w:ascii="Arial" w:cs="Arial" w:eastAsia="Arial" w:hAnsi="Arial"/>
          <w:sz w:val="18"/>
          <w:szCs w:val="18"/>
          <w:color w:val="auto"/>
        </w:rPr>
        <w:t>All unvested RSUs are forfeited upon voluntary termination or termination without cause.</w:t>
      </w:r>
    </w:p>
    <w:p>
      <w:pPr>
        <w:spacing w:after="0" w:line="171" w:lineRule="exact"/>
        <w:rPr>
          <w:rFonts w:ascii="Arial" w:cs="Arial" w:eastAsia="Arial" w:hAnsi="Arial"/>
          <w:sz w:val="18"/>
          <w:szCs w:val="18"/>
          <w:color w:val="auto"/>
        </w:rPr>
      </w:pPr>
    </w:p>
    <w:p>
      <w:pPr>
        <w:ind w:left="1620" w:right="960" w:hanging="346"/>
        <w:spacing w:after="0" w:line="271" w:lineRule="auto"/>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PRSUs: </w:t>
      </w:r>
      <w:r>
        <w:rPr>
          <w:rFonts w:ascii="Arial" w:cs="Arial" w:eastAsia="Arial" w:hAnsi="Arial"/>
          <w:sz w:val="18"/>
          <w:szCs w:val="18"/>
          <w:color w:val="auto"/>
        </w:rPr>
        <w:t>All unvested PRSUs are forfeited upon voluntary termination or termination without cause. Vested</w:t>
      </w:r>
      <w:r>
        <w:rPr>
          <w:rFonts w:ascii="Arial" w:cs="Arial" w:eastAsia="Arial" w:hAnsi="Arial"/>
          <w:sz w:val="18"/>
          <w:szCs w:val="18"/>
          <w:i w:val="1"/>
          <w:iCs w:val="1"/>
          <w:color w:val="auto"/>
        </w:rPr>
        <w:t xml:space="preserve"> </w:t>
      </w:r>
      <w:r>
        <w:rPr>
          <w:rFonts w:ascii="Arial" w:cs="Arial" w:eastAsia="Arial" w:hAnsi="Arial"/>
          <w:sz w:val="18"/>
          <w:szCs w:val="18"/>
          <w:color w:val="auto"/>
        </w:rPr>
        <w:t>units will be settled in accordance with the provisions of Section 409A of the Code.</w:t>
      </w:r>
    </w:p>
    <w:p>
      <w:pPr>
        <w:spacing w:after="0" w:line="126" w:lineRule="exact"/>
        <w:rPr>
          <w:rFonts w:ascii="Arial" w:cs="Arial" w:eastAsia="Arial" w:hAnsi="Arial"/>
          <w:sz w:val="18"/>
          <w:szCs w:val="18"/>
          <w:color w:val="auto"/>
        </w:rPr>
      </w:pPr>
    </w:p>
    <w:p>
      <w:pPr>
        <w:ind w:left="1620" w:right="1100" w:hanging="346"/>
        <w:spacing w:after="0" w:line="271" w:lineRule="auto"/>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Annual Incentive Plan: </w:t>
      </w:r>
      <w:r>
        <w:rPr>
          <w:rFonts w:ascii="Arial" w:cs="Arial" w:eastAsia="Arial" w:hAnsi="Arial"/>
          <w:sz w:val="18"/>
          <w:szCs w:val="18"/>
          <w:color w:val="auto"/>
        </w:rPr>
        <w:t>The bonus under the IIP would be forfeited in its entirety if the NEO is not</w:t>
      </w:r>
      <w:r>
        <w:rPr>
          <w:rFonts w:ascii="Arial" w:cs="Arial" w:eastAsia="Arial" w:hAnsi="Arial"/>
          <w:sz w:val="18"/>
          <w:szCs w:val="18"/>
          <w:i w:val="1"/>
          <w:iCs w:val="1"/>
          <w:color w:val="auto"/>
        </w:rPr>
        <w:t xml:space="preserve"> </w:t>
      </w:r>
      <w:r>
        <w:rPr>
          <w:rFonts w:ascii="Arial" w:cs="Arial" w:eastAsia="Arial" w:hAnsi="Arial"/>
          <w:sz w:val="18"/>
          <w:szCs w:val="18"/>
          <w:color w:val="auto"/>
        </w:rPr>
        <w:t>employed by the Company or working as a service contractor for the Company at the time of the payout.</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Potential Payments upon Change-in-Control</w:t>
      </w:r>
    </w:p>
    <w:p>
      <w:pPr>
        <w:spacing w:after="0" w:line="185" w:lineRule="exact"/>
        <w:rPr>
          <w:sz w:val="20"/>
          <w:szCs w:val="20"/>
          <w:color w:val="auto"/>
        </w:rPr>
      </w:pPr>
    </w:p>
    <w:p>
      <w:pPr>
        <w:ind w:left="920" w:right="1000"/>
        <w:spacing w:after="0" w:line="247" w:lineRule="auto"/>
        <w:rPr>
          <w:sz w:val="20"/>
          <w:szCs w:val="20"/>
          <w:color w:val="auto"/>
        </w:rPr>
      </w:pPr>
      <w:r>
        <w:rPr>
          <w:rFonts w:ascii="Arial" w:cs="Arial" w:eastAsia="Arial" w:hAnsi="Arial"/>
          <w:sz w:val="18"/>
          <w:szCs w:val="18"/>
          <w:color w:val="auto"/>
        </w:rPr>
        <w:t>The following describes the material provisions of the change-in-control agreements that we have entered into with our NEOs. The change-in-control agreements provide for the following benefits if there is a change-in-control and the NEO’s employment is terminated within 24 months by the Company without cause or by the NEO for “good reason”:</w:t>
      </w:r>
    </w:p>
    <w:p>
      <w:pPr>
        <w:spacing w:after="0" w:line="133" w:lineRule="exact"/>
        <w:rPr>
          <w:sz w:val="20"/>
          <w:szCs w:val="20"/>
          <w:color w:val="auto"/>
        </w:rPr>
      </w:pPr>
    </w:p>
    <w:p>
      <w:pPr>
        <w:ind w:left="1620" w:right="1000" w:hanging="346"/>
        <w:spacing w:after="0" w:line="247" w:lineRule="auto"/>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Severance Benefit: </w:t>
      </w:r>
      <w:r>
        <w:rPr>
          <w:rFonts w:ascii="Arial" w:cs="Arial" w:eastAsia="Arial" w:hAnsi="Arial"/>
          <w:sz w:val="18"/>
          <w:szCs w:val="18"/>
          <w:color w:val="auto"/>
        </w:rPr>
        <w:t>The change-in-control agreements provide Mr. Deitrich with a severance benefit equal</w:t>
      </w:r>
      <w:r>
        <w:rPr>
          <w:rFonts w:ascii="Arial" w:cs="Arial" w:eastAsia="Arial" w:hAnsi="Arial"/>
          <w:sz w:val="18"/>
          <w:szCs w:val="18"/>
          <w:i w:val="1"/>
          <w:iCs w:val="1"/>
          <w:color w:val="auto"/>
        </w:rPr>
        <w:t xml:space="preserve"> </w:t>
      </w:r>
      <w:r>
        <w:rPr>
          <w:rFonts w:ascii="Arial" w:cs="Arial" w:eastAsia="Arial" w:hAnsi="Arial"/>
          <w:sz w:val="18"/>
          <w:szCs w:val="18"/>
          <w:color w:val="auto"/>
        </w:rPr>
        <w:t>to 2.5 times the sum of base salary and target annual incentive opportunity. For Ms. Hooper, Mr. Cadieux, Mr. Reeves, and Mr. Marcolini, the benefit is equal to two (2) times the sum of base salary and target annual incentive opportunity. For all, the benefit is paid in cash in one lump sum.</w:t>
      </w:r>
    </w:p>
    <w:p>
      <w:pPr>
        <w:spacing w:after="0" w:line="133" w:lineRule="exact"/>
        <w:rPr>
          <w:rFonts w:ascii="Arial" w:cs="Arial" w:eastAsia="Arial" w:hAnsi="Arial"/>
          <w:sz w:val="18"/>
          <w:szCs w:val="18"/>
          <w:color w:val="auto"/>
        </w:rPr>
      </w:pPr>
    </w:p>
    <w:p>
      <w:pPr>
        <w:ind w:left="1620" w:right="1120" w:hanging="346"/>
        <w:spacing w:after="0" w:line="253" w:lineRule="auto"/>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Pro-Rata Annual Incentive for Year of Termination: </w:t>
      </w:r>
      <w:r>
        <w:rPr>
          <w:rFonts w:ascii="Arial" w:cs="Arial" w:eastAsia="Arial" w:hAnsi="Arial"/>
          <w:sz w:val="18"/>
          <w:szCs w:val="18"/>
          <w:color w:val="auto"/>
        </w:rPr>
        <w:t>The change-in-control agreements provide for a</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based on the greater of target opportunity or actual performance (as determined by the Board), prorated for the time worked during the year of termination.</w:t>
      </w:r>
    </w:p>
    <w:p>
      <w:pPr>
        <w:spacing w:after="0" w:line="141" w:lineRule="exact"/>
        <w:rPr>
          <w:rFonts w:ascii="Arial" w:cs="Arial" w:eastAsia="Arial" w:hAnsi="Arial"/>
          <w:sz w:val="18"/>
          <w:szCs w:val="18"/>
          <w:color w:val="auto"/>
        </w:rPr>
      </w:pPr>
    </w:p>
    <w:p>
      <w:pPr>
        <w:ind w:left="1620" w:right="1020" w:hanging="346"/>
        <w:spacing w:after="0" w:line="244" w:lineRule="auto"/>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Welfare Benefit Continuation: </w:t>
      </w:r>
      <w:r>
        <w:rPr>
          <w:rFonts w:ascii="Arial" w:cs="Arial" w:eastAsia="Arial" w:hAnsi="Arial"/>
          <w:sz w:val="18"/>
          <w:szCs w:val="18"/>
          <w:color w:val="auto"/>
        </w:rPr>
        <w:t>The change-in-control agreements provide Mr. Deitrich with 2.5 years of life</w:t>
      </w:r>
      <w:r>
        <w:rPr>
          <w:rFonts w:ascii="Arial" w:cs="Arial" w:eastAsia="Arial" w:hAnsi="Arial"/>
          <w:sz w:val="18"/>
          <w:szCs w:val="18"/>
          <w:i w:val="1"/>
          <w:iCs w:val="1"/>
          <w:color w:val="auto"/>
        </w:rPr>
        <w:t xml:space="preserve"> </w:t>
      </w:r>
      <w:r>
        <w:rPr>
          <w:rFonts w:ascii="Arial" w:cs="Arial" w:eastAsia="Arial" w:hAnsi="Arial"/>
          <w:sz w:val="18"/>
          <w:szCs w:val="18"/>
          <w:color w:val="auto"/>
        </w:rPr>
        <w:t>and disability insurance coverage (with no tax gross-up). For Ms. Hooper, Mr. Cadieux, Mr. Reeves, and Mr. Marcolini, this benefit is equal to two (2) years of life and disability insurance coverage (with no tax gross-up). The agreements also provide our NEOs and their dependents with the same respective years of health care coverage.</w:t>
      </w:r>
    </w:p>
    <w:p>
      <w:pPr>
        <w:spacing w:after="0" w:line="135" w:lineRule="exact"/>
        <w:rPr>
          <w:rFonts w:ascii="Arial" w:cs="Arial" w:eastAsia="Arial" w:hAnsi="Arial"/>
          <w:sz w:val="18"/>
          <w:szCs w:val="18"/>
          <w:color w:val="auto"/>
        </w:rPr>
      </w:pPr>
    </w:p>
    <w:p>
      <w:pPr>
        <w:ind w:left="1620" w:right="1120" w:hanging="346"/>
        <w:spacing w:after="0" w:line="247" w:lineRule="auto"/>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Equity Award Vesting and Acceleration (Double Trigger): </w:t>
      </w:r>
      <w:r>
        <w:rPr>
          <w:rFonts w:ascii="Arial" w:cs="Arial" w:eastAsia="Arial" w:hAnsi="Arial"/>
          <w:sz w:val="18"/>
          <w:szCs w:val="18"/>
          <w:color w:val="auto"/>
        </w:rPr>
        <w:t>The change-in-control agreements provide that</w:t>
      </w:r>
      <w:r>
        <w:rPr>
          <w:rFonts w:ascii="Arial" w:cs="Arial" w:eastAsia="Arial" w:hAnsi="Arial"/>
          <w:sz w:val="18"/>
          <w:szCs w:val="18"/>
          <w:i w:val="1"/>
          <w:iCs w:val="1"/>
          <w:color w:val="auto"/>
        </w:rPr>
        <w:t xml:space="preserve"> </w:t>
      </w:r>
      <w:r>
        <w:rPr>
          <w:rFonts w:ascii="Arial" w:cs="Arial" w:eastAsia="Arial" w:hAnsi="Arial"/>
          <w:sz w:val="18"/>
          <w:szCs w:val="18"/>
          <w:color w:val="auto"/>
        </w:rPr>
        <w:t>any acceleration for equity awards is “double trigger” and thus will occur only upon a change-in-control and a qualifying termination (a termination without cause or for good reason). All vesting acceleration is subject to consummation of the change-in-control transaction.</w:t>
      </w:r>
    </w:p>
    <w:p>
      <w:pPr>
        <w:spacing w:after="0" w:line="133" w:lineRule="exact"/>
        <w:rPr>
          <w:rFonts w:ascii="Arial" w:cs="Arial" w:eastAsia="Arial" w:hAnsi="Arial"/>
          <w:sz w:val="18"/>
          <w:szCs w:val="18"/>
          <w:color w:val="auto"/>
        </w:rPr>
      </w:pPr>
    </w:p>
    <w:p>
      <w:pPr>
        <w:ind w:left="1620" w:hanging="346"/>
        <w:spacing w:after="0"/>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Excise Tax Gross-Up: </w:t>
      </w:r>
      <w:r>
        <w:rPr>
          <w:rFonts w:ascii="Arial" w:cs="Arial" w:eastAsia="Arial" w:hAnsi="Arial"/>
          <w:sz w:val="18"/>
          <w:szCs w:val="18"/>
          <w:color w:val="auto"/>
        </w:rPr>
        <w:t>There are no effective provisions for an excise tax gross-up.</w:t>
      </w:r>
    </w:p>
    <w:p>
      <w:pPr>
        <w:spacing w:after="0" w:line="184" w:lineRule="exact"/>
        <w:rPr>
          <w:rFonts w:ascii="Arial" w:cs="Arial" w:eastAsia="Arial" w:hAnsi="Arial"/>
          <w:sz w:val="18"/>
          <w:szCs w:val="18"/>
          <w:color w:val="auto"/>
        </w:rPr>
      </w:pPr>
    </w:p>
    <w:p>
      <w:pPr>
        <w:ind w:left="1620" w:right="1200" w:hanging="346"/>
        <w:spacing w:after="0" w:line="271" w:lineRule="auto"/>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Legal Fees: </w:t>
      </w:r>
      <w:r>
        <w:rPr>
          <w:rFonts w:ascii="Arial" w:cs="Arial" w:eastAsia="Arial" w:hAnsi="Arial"/>
          <w:sz w:val="18"/>
          <w:szCs w:val="18"/>
          <w:color w:val="auto"/>
        </w:rPr>
        <w:t>The change-in-control agreements provide that NEOs will be reimbursed for legal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incurred in seeking to enforce the change-in-control agreement.</w:t>
      </w:r>
    </w:p>
    <w:p>
      <w:pPr>
        <w:spacing w:after="0" w:line="113" w:lineRule="exact"/>
        <w:rPr>
          <w:rFonts w:ascii="Arial" w:cs="Arial" w:eastAsia="Arial" w:hAnsi="Arial"/>
          <w:sz w:val="18"/>
          <w:szCs w:val="18"/>
          <w:color w:val="auto"/>
        </w:rPr>
      </w:pPr>
    </w:p>
    <w:p>
      <w:pPr>
        <w:ind w:left="1620" w:right="1240" w:hanging="346"/>
        <w:spacing w:after="0" w:line="253" w:lineRule="auto"/>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Restrictive Covenants: </w:t>
      </w:r>
      <w:r>
        <w:rPr>
          <w:rFonts w:ascii="Arial" w:cs="Arial" w:eastAsia="Arial" w:hAnsi="Arial"/>
          <w:sz w:val="18"/>
          <w:szCs w:val="18"/>
          <w:color w:val="auto"/>
        </w:rPr>
        <w:t>The change-in-control agreements include restrictive covenants relating to non-solicitation (one-year), non-disparagement, and non-competition (one-year, where enforceable), and require a release of all claims against the Company.</w:t>
      </w:r>
    </w:p>
    <w:p>
      <w:pPr>
        <w:spacing w:after="0" w:line="128" w:lineRule="exact"/>
        <w:rPr>
          <w:rFonts w:ascii="Arial" w:cs="Arial" w:eastAsia="Arial" w:hAnsi="Arial"/>
          <w:sz w:val="18"/>
          <w:szCs w:val="18"/>
          <w:color w:val="auto"/>
        </w:rPr>
      </w:pPr>
    </w:p>
    <w:p>
      <w:pPr>
        <w:ind w:left="1620" w:right="1060" w:hanging="346"/>
        <w:spacing w:after="0" w:line="271" w:lineRule="auto"/>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Definition of Change-in-Control: </w:t>
      </w:r>
      <w:r>
        <w:rPr>
          <w:rFonts w:ascii="Arial" w:cs="Arial" w:eastAsia="Arial" w:hAnsi="Arial"/>
          <w:sz w:val="18"/>
          <w:szCs w:val="18"/>
          <w:color w:val="auto"/>
        </w:rPr>
        <w:t>For purposes of the change-in-control agreements, a “change-in-control”</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consists of any of the following:</w:t>
      </w:r>
    </w:p>
    <w:p>
      <w:pPr>
        <w:spacing w:after="0" w:line="126" w:lineRule="exact"/>
        <w:rPr>
          <w:rFonts w:ascii="Arial" w:cs="Arial" w:eastAsia="Arial" w:hAnsi="Arial"/>
          <w:sz w:val="18"/>
          <w:szCs w:val="18"/>
          <w:color w:val="auto"/>
        </w:rPr>
      </w:pPr>
    </w:p>
    <w:p>
      <w:pPr>
        <w:ind w:left="1980" w:hanging="346"/>
        <w:spacing w:after="0"/>
        <w:tabs>
          <w:tab w:leader="none" w:pos="1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 acquisition of 25 percent or more of our voting securities;</w:t>
      </w:r>
    </w:p>
    <w:p>
      <w:pPr>
        <w:spacing w:after="0" w:line="171" w:lineRule="exact"/>
        <w:rPr>
          <w:rFonts w:ascii="Arial" w:cs="Arial" w:eastAsia="Arial" w:hAnsi="Arial"/>
          <w:sz w:val="18"/>
          <w:szCs w:val="18"/>
          <w:color w:val="auto"/>
        </w:rPr>
      </w:pPr>
    </w:p>
    <w:p>
      <w:pPr>
        <w:ind w:left="1980" w:right="980" w:hanging="346"/>
        <w:spacing w:after="0" w:line="271" w:lineRule="auto"/>
        <w:tabs>
          <w:tab w:leader="none" w:pos="19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Our current Board of Directors (and their approved successors) ceasing to constitute a majority of the Board;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-45-</w:t>
            </w:r>
          </w:p>
        </w:tc>
      </w:tr>
      <w:tr>
        <w:trPr>
          <w:trHeight w:val="219"/>
        </w:trPr>
        <w:tc>
          <w:tcPr>
            <w:tcW w:w="316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49" w:name="page50"/>
    <w:bookmarkEnd w:id="49"/>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1980" w:right="1080" w:hanging="346"/>
        <w:spacing w:after="0" w:line="253" w:lineRule="auto"/>
        <w:tabs>
          <w:tab w:leader="none" w:pos="1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Consummation of any merger or consolidation with or into another corporation, the effect of which would be that our Board would consist of a majority of directors who were not members of the Board prior to the merger or consolidation; or</w:t>
      </w:r>
    </w:p>
    <w:p>
      <w:pPr>
        <w:spacing w:after="0" w:line="141" w:lineRule="exact"/>
        <w:rPr>
          <w:rFonts w:ascii="Arial" w:cs="Arial" w:eastAsia="Arial" w:hAnsi="Arial"/>
          <w:sz w:val="18"/>
          <w:szCs w:val="18"/>
          <w:color w:val="auto"/>
        </w:rPr>
      </w:pPr>
    </w:p>
    <w:p>
      <w:pPr>
        <w:ind w:left="1980" w:right="960" w:hanging="346"/>
        <w:spacing w:after="0" w:line="271" w:lineRule="auto"/>
        <w:tabs>
          <w:tab w:leader="none" w:pos="1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Consummation of any sale or disposition of all or substantially all of our assets, or the approval by our shareholders of a plan of complete liquidation or dissolution of the Company.</w:t>
      </w:r>
    </w:p>
    <w:p>
      <w:pPr>
        <w:spacing w:after="0" w:line="113" w:lineRule="exact"/>
        <w:rPr>
          <w:rFonts w:ascii="Arial" w:cs="Arial" w:eastAsia="Arial" w:hAnsi="Arial"/>
          <w:sz w:val="18"/>
          <w:szCs w:val="18"/>
          <w:color w:val="auto"/>
        </w:rPr>
      </w:pPr>
    </w:p>
    <w:p>
      <w:pPr>
        <w:ind w:left="1620" w:right="1260" w:hanging="346"/>
        <w:spacing w:after="0" w:line="253" w:lineRule="auto"/>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Definition of Good Reason: </w:t>
      </w:r>
      <w:r>
        <w:rPr>
          <w:rFonts w:ascii="Arial" w:cs="Arial" w:eastAsia="Arial" w:hAnsi="Arial"/>
          <w:sz w:val="18"/>
          <w:szCs w:val="18"/>
          <w:color w:val="auto"/>
        </w:rPr>
        <w:t>For purposes of the change-in-control agreements, “good reason” for</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by the NEO of his or her employment generally means any one of the following acts by the Company following a change-in-control:</w:t>
      </w:r>
    </w:p>
    <w:p>
      <w:pPr>
        <w:spacing w:after="0" w:line="128" w:lineRule="exact"/>
        <w:rPr>
          <w:rFonts w:ascii="Arial" w:cs="Arial" w:eastAsia="Arial" w:hAnsi="Arial"/>
          <w:sz w:val="18"/>
          <w:szCs w:val="18"/>
          <w:color w:val="auto"/>
        </w:rPr>
      </w:pPr>
    </w:p>
    <w:p>
      <w:pPr>
        <w:ind w:left="1980" w:hanging="346"/>
        <w:spacing w:after="0"/>
        <w:tabs>
          <w:tab w:leader="none" w:pos="1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 adverse change in the NEO’s duties, status or position as an executive officer;</w:t>
      </w:r>
    </w:p>
    <w:p>
      <w:pPr>
        <w:spacing w:after="0" w:line="184" w:lineRule="exact"/>
        <w:rPr>
          <w:rFonts w:ascii="Arial" w:cs="Arial" w:eastAsia="Arial" w:hAnsi="Arial"/>
          <w:sz w:val="18"/>
          <w:szCs w:val="18"/>
          <w:color w:val="auto"/>
        </w:rPr>
      </w:pPr>
    </w:p>
    <w:p>
      <w:pPr>
        <w:ind w:left="1980" w:hanging="346"/>
        <w:spacing w:after="0"/>
        <w:tabs>
          <w:tab w:leader="none" w:pos="1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 reduction in the NEO’s base salary;</w:t>
      </w:r>
    </w:p>
    <w:p>
      <w:pPr>
        <w:spacing w:after="0" w:line="171" w:lineRule="exact"/>
        <w:rPr>
          <w:rFonts w:ascii="Arial" w:cs="Arial" w:eastAsia="Arial" w:hAnsi="Arial"/>
          <w:sz w:val="18"/>
          <w:szCs w:val="18"/>
          <w:color w:val="auto"/>
        </w:rPr>
      </w:pPr>
    </w:p>
    <w:p>
      <w:pPr>
        <w:ind w:left="1980" w:hanging="346"/>
        <w:spacing w:after="0"/>
        <w:tabs>
          <w:tab w:leader="none" w:pos="1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 reduction in the NEO’s annual bonus or long-term incentive opportunity;</w:t>
      </w:r>
    </w:p>
    <w:p>
      <w:pPr>
        <w:spacing w:after="0" w:line="171" w:lineRule="exact"/>
        <w:rPr>
          <w:rFonts w:ascii="Arial" w:cs="Arial" w:eastAsia="Arial" w:hAnsi="Arial"/>
          <w:sz w:val="18"/>
          <w:szCs w:val="18"/>
          <w:color w:val="auto"/>
        </w:rPr>
      </w:pPr>
    </w:p>
    <w:p>
      <w:pPr>
        <w:ind w:left="1980" w:right="1160" w:hanging="346"/>
        <w:spacing w:after="0" w:line="271" w:lineRule="auto"/>
        <w:tabs>
          <w:tab w:leader="none" w:pos="1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failure to continue to provide welfare, medical, and other fringe benefits which in the aggregate are substantially similar to those provided immediately prior to the change-in-control;</w:t>
      </w:r>
    </w:p>
    <w:p>
      <w:pPr>
        <w:spacing w:after="0" w:line="126" w:lineRule="exact"/>
        <w:rPr>
          <w:rFonts w:ascii="Arial" w:cs="Arial" w:eastAsia="Arial" w:hAnsi="Arial"/>
          <w:sz w:val="18"/>
          <w:szCs w:val="18"/>
          <w:color w:val="auto"/>
        </w:rPr>
      </w:pPr>
    </w:p>
    <w:p>
      <w:pPr>
        <w:ind w:left="1980" w:right="1060" w:hanging="346"/>
        <w:spacing w:after="0" w:line="271" w:lineRule="auto"/>
        <w:tabs>
          <w:tab w:leader="none" w:pos="1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requirement for the NEO to be based at an office more than 50 miles from the NEO’s office prior to the change-in-control; or</w:t>
      </w:r>
    </w:p>
    <w:p>
      <w:pPr>
        <w:spacing w:after="0" w:line="113" w:lineRule="exact"/>
        <w:rPr>
          <w:rFonts w:ascii="Arial" w:cs="Arial" w:eastAsia="Arial" w:hAnsi="Arial"/>
          <w:sz w:val="18"/>
          <w:szCs w:val="18"/>
          <w:color w:val="auto"/>
        </w:rPr>
      </w:pPr>
    </w:p>
    <w:p>
      <w:pPr>
        <w:ind w:left="1980" w:right="1140" w:hanging="346"/>
        <w:spacing w:after="0" w:line="271" w:lineRule="auto"/>
        <w:tabs>
          <w:tab w:leader="none" w:pos="19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failure by the Company or successor company to assume or agree to perform the provisions of the change-in-control agreement.</w:t>
      </w:r>
    </w:p>
    <w:p>
      <w:pPr>
        <w:spacing w:after="0" w:line="156"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See also “Termination Payment Tables for NEOs” below.</w:t>
      </w:r>
    </w:p>
    <w:p>
      <w:pPr>
        <w:spacing w:after="0" w:line="210"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2010 SIP Change-in-Control Provisions</w:t>
      </w:r>
    </w:p>
    <w:p>
      <w:pPr>
        <w:spacing w:after="0" w:line="171" w:lineRule="exact"/>
        <w:rPr>
          <w:sz w:val="20"/>
          <w:szCs w:val="20"/>
          <w:color w:val="auto"/>
        </w:rPr>
      </w:pPr>
    </w:p>
    <w:p>
      <w:pPr>
        <w:ind w:left="920" w:right="1200"/>
        <w:spacing w:after="0" w:line="247" w:lineRule="auto"/>
        <w:rPr>
          <w:sz w:val="20"/>
          <w:szCs w:val="20"/>
          <w:color w:val="auto"/>
        </w:rPr>
      </w:pPr>
      <w:r>
        <w:rPr>
          <w:rFonts w:ascii="Arial" w:cs="Arial" w:eastAsia="Arial" w:hAnsi="Arial"/>
          <w:sz w:val="18"/>
          <w:szCs w:val="18"/>
          <w:color w:val="auto"/>
        </w:rPr>
        <w:t>Our 2010 SIP provides that in the event of a change-in-control, as defined in our change-in-control agreements described above, unless otherwise provided in the award agreement, generally awards will be assumed or substituted for by the surviving corporation and will accelerate only if not so assumed or substituted. The vesting and payout of PRSUs will be governed by the award agreement, as described below.</w:t>
      </w:r>
    </w:p>
    <w:p>
      <w:pPr>
        <w:spacing w:after="0" w:line="174"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PRSUs Change-in-Control Provisions</w:t>
      </w:r>
    </w:p>
    <w:p>
      <w:pPr>
        <w:spacing w:after="0" w:line="185" w:lineRule="exact"/>
        <w:rPr>
          <w:sz w:val="20"/>
          <w:szCs w:val="20"/>
          <w:color w:val="auto"/>
        </w:rPr>
      </w:pPr>
    </w:p>
    <w:p>
      <w:pPr>
        <w:ind w:left="920" w:right="940"/>
        <w:spacing w:after="0" w:line="242" w:lineRule="auto"/>
        <w:rPr>
          <w:sz w:val="20"/>
          <w:szCs w:val="20"/>
          <w:color w:val="auto"/>
        </w:rPr>
      </w:pPr>
      <w:r>
        <w:rPr>
          <w:rFonts w:ascii="Arial" w:cs="Arial" w:eastAsia="Arial" w:hAnsi="Arial"/>
          <w:sz w:val="18"/>
          <w:szCs w:val="18"/>
          <w:color w:val="auto"/>
        </w:rPr>
        <w:t>If a change-in-control occurs during the following performance periods; (2020-2022) under the 2020 grant, (2021-2023) under the 2021 grant, or (2022-2024) under the 2022 grant, the PRSU awards will be vested at the greater of target or actual performance for the year, and pro-rated based on the number of calendar days between the beginning of the performance period and the change-in-control (i) in the event the awards are not assumed by the acquiring entity, or (ii) the beginning of the performance period and the date of termination of employment in the event the awards are assumed by the acquiring entity.</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Executive Officer Severance Policy</w:t>
      </w:r>
    </w:p>
    <w:p>
      <w:pPr>
        <w:spacing w:after="0" w:line="171" w:lineRule="exact"/>
        <w:rPr>
          <w:sz w:val="20"/>
          <w:szCs w:val="20"/>
          <w:color w:val="auto"/>
        </w:rPr>
      </w:pPr>
    </w:p>
    <w:p>
      <w:pPr>
        <w:ind w:left="920" w:right="1060"/>
        <w:spacing w:after="0"/>
        <w:rPr>
          <w:sz w:val="20"/>
          <w:szCs w:val="20"/>
          <w:color w:val="auto"/>
        </w:rPr>
      </w:pPr>
      <w:r>
        <w:rPr>
          <w:rFonts w:ascii="Arial" w:cs="Arial" w:eastAsia="Arial" w:hAnsi="Arial"/>
          <w:sz w:val="18"/>
          <w:szCs w:val="18"/>
          <w:color w:val="auto"/>
        </w:rPr>
        <w:t>The Company recognizes that it is usually difficult for executive officers whose employment is terminated involuntarily to obtain a position comparable to the one he or she has with the Company. In view of this, any executive officer who is terminated involuntarily, except if terminated for disciplinary reasons, will be entitled to receive severance pay equal to one year’s base salary, employer benefit premium payments/reimbursement for one year and outplacement assistance provided that the executive (1) releases all claims that he or she may have against the Company, (2) enters into a one year non-compete agreement (where enforceable), (3) agrees not to solicit employees for a period of one year, and (4) agrees not to disparage the Company.</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-46-</w:t>
            </w:r>
          </w:p>
        </w:tc>
      </w:tr>
      <w:tr>
        <w:trPr>
          <w:trHeight w:val="219"/>
        </w:trPr>
        <w:tc>
          <w:tcPr>
            <w:tcW w:w="316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50" w:name="page51"/>
    <w:bookmarkEnd w:id="50"/>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Termination Payment Tables for NEOs</w:t>
      </w:r>
    </w:p>
    <w:p>
      <w:pPr>
        <w:spacing w:after="0" w:line="185" w:lineRule="exact"/>
        <w:rPr>
          <w:sz w:val="20"/>
          <w:szCs w:val="20"/>
          <w:color w:val="auto"/>
        </w:rPr>
      </w:pPr>
    </w:p>
    <w:p>
      <w:pPr>
        <w:ind w:left="920" w:right="1120"/>
        <w:spacing w:after="0"/>
        <w:rPr>
          <w:sz w:val="20"/>
          <w:szCs w:val="20"/>
          <w:color w:val="auto"/>
        </w:rPr>
      </w:pPr>
      <w:r>
        <w:rPr>
          <w:rFonts w:ascii="Arial" w:cs="Arial" w:eastAsia="Arial" w:hAnsi="Arial"/>
          <w:sz w:val="18"/>
          <w:szCs w:val="18"/>
          <w:color w:val="auto"/>
        </w:rPr>
        <w:t>The tables below reflect the estimated amount of incremental compensation payable to each of our NEOs in the event of termination of employment or change-in-control. The tables do not include benefits generally available to all employees on a non-discriminatory basis or payments and benefits that the NEOs would have already earned during their employment with us, whether or not a termination or change-in-control event had occurred. The amounts shown assume that such termination or change-in-control was effective as of December 31, 2022. The actual amounts to be paid out can only be determined at the time of such executive’s termination or upon a change-in-control, as applicable.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ITRON,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23495</wp:posOffset>
            </wp:positionV>
            <wp:extent cx="57518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Summary of Termination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23495</wp:posOffset>
            </wp:positionV>
            <wp:extent cx="57518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51830" cy="8890"/>
                    </a:xfrm>
                    <a:prstGeom prst="rect">
                      <a:avLst/>
                    </a:prstGeom>
                    <a:noFill/>
                  </pic:spPr>
                </pic:pic>
              </a:graphicData>
            </a:graphic>
          </wp:anchor>
        </w:drawing>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Thomas L.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23495</wp:posOffset>
            </wp:positionV>
            <wp:extent cx="57518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49" w:lineRule="exact"/>
        <w:rPr>
          <w:sz w:val="20"/>
          <w:szCs w:val="20"/>
          <w:color w:val="auto"/>
        </w:rPr>
      </w:pPr>
    </w:p>
    <w:tbl>
      <w:tblPr>
        <w:tblLayout w:type="fixed"/>
        <w:tblInd w:w="98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Without Cause</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or by Executive</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for Good</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Reason</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Change-</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Following a</w:t>
            </w:r>
          </w:p>
        </w:tc>
        <w:tc>
          <w:tcPr>
            <w:tcW w:w="0" w:type="dxa"/>
            <w:vAlign w:val="bottom"/>
          </w:tcPr>
          <w:p>
            <w:pPr>
              <w:spacing w:after="0"/>
              <w:rPr>
                <w:sz w:val="1"/>
                <w:szCs w:val="1"/>
                <w:color w:val="auto"/>
              </w:rPr>
            </w:pPr>
          </w:p>
        </w:tc>
      </w:tr>
      <w:tr>
        <w:trPr>
          <w:trHeight w:val="162"/>
        </w:trPr>
        <w:tc>
          <w:tcPr>
            <w:tcW w:w="1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Executive Benefits </w:t>
            </w:r>
            <w:r>
              <w:rPr>
                <w:rFonts w:ascii="Arial" w:cs="Arial" w:eastAsia="Arial" w:hAnsi="Arial"/>
                <w:sz w:val="23"/>
                <w:szCs w:val="23"/>
                <w:b w:val="1"/>
                <w:bCs w:val="1"/>
                <w:color w:val="auto"/>
                <w:vertAlign w:val="superscript"/>
              </w:rPr>
              <w:t>(1)</w:t>
            </w:r>
          </w:p>
        </w:tc>
        <w:tc>
          <w:tcPr>
            <w:tcW w:w="140" w:type="dxa"/>
            <w:vAlign w:val="bottom"/>
            <w:vMerge w:val="restart"/>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Termination</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Voluntary</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ind w:left="120"/>
              <w:spacing w:after="0"/>
              <w:rPr>
                <w:sz w:val="20"/>
                <w:szCs w:val="20"/>
                <w:color w:val="auto"/>
              </w:rPr>
            </w:pPr>
            <w:r>
              <w:rPr>
                <w:rFonts w:ascii="Arial" w:cs="Arial" w:eastAsia="Arial" w:hAnsi="Arial"/>
                <w:sz w:val="14"/>
                <w:szCs w:val="14"/>
                <w:b w:val="1"/>
                <w:bCs w:val="1"/>
                <w:color w:val="auto"/>
              </w:rPr>
              <w:t>Without</w:t>
            </w:r>
          </w:p>
        </w:tc>
        <w:tc>
          <w:tcPr>
            <w:tcW w:w="140" w:type="dxa"/>
            <w:vAlign w:val="bottom"/>
          </w:tcPr>
          <w:p>
            <w:pPr>
              <w:spacing w:after="0"/>
              <w:rPr>
                <w:sz w:val="14"/>
                <w:szCs w:val="14"/>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Change-in-</w:t>
            </w:r>
          </w:p>
        </w:tc>
        <w:tc>
          <w:tcPr>
            <w:tcW w:w="0" w:type="dxa"/>
            <w:vAlign w:val="bottom"/>
          </w:tcPr>
          <w:p>
            <w:pPr>
              <w:spacing w:after="0"/>
              <w:rPr>
                <w:sz w:val="1"/>
                <w:szCs w:val="1"/>
                <w:color w:val="auto"/>
              </w:rPr>
            </w:pPr>
          </w:p>
        </w:tc>
      </w:tr>
      <w:tr>
        <w:trPr>
          <w:trHeight w:val="198"/>
        </w:trPr>
        <w:tc>
          <w:tcPr>
            <w:tcW w:w="16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for Cause</w:t>
            </w:r>
          </w:p>
        </w:tc>
        <w:tc>
          <w:tcPr>
            <w:tcW w:w="1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Termination</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ind w:right="56"/>
              <w:spacing w:after="0"/>
              <w:rPr>
                <w:sz w:val="20"/>
                <w:szCs w:val="20"/>
                <w:color w:val="auto"/>
              </w:rPr>
            </w:pPr>
            <w:r>
              <w:rPr>
                <w:rFonts w:ascii="Arial" w:cs="Arial" w:eastAsia="Arial" w:hAnsi="Arial"/>
                <w:sz w:val="14"/>
                <w:szCs w:val="14"/>
                <w:b w:val="1"/>
                <w:bCs w:val="1"/>
                <w:color w:val="auto"/>
              </w:rPr>
              <w:t>Death</w:t>
            </w:r>
          </w:p>
        </w:tc>
        <w:tc>
          <w:tcPr>
            <w:tcW w:w="120" w:type="dxa"/>
            <w:vAlign w:val="bottom"/>
          </w:tcPr>
          <w:p>
            <w:pPr>
              <w:spacing w:after="0"/>
              <w:rPr>
                <w:sz w:val="17"/>
                <w:szCs w:val="17"/>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Disability</w:t>
            </w:r>
          </w:p>
        </w:tc>
        <w:tc>
          <w:tcPr>
            <w:tcW w:w="140" w:type="dxa"/>
            <w:vAlign w:val="bottom"/>
          </w:tcPr>
          <w:p>
            <w:pPr>
              <w:spacing w:after="0"/>
              <w:rPr>
                <w:sz w:val="17"/>
                <w:szCs w:val="17"/>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Retirement</w:t>
            </w:r>
          </w:p>
        </w:tc>
        <w:tc>
          <w:tcPr>
            <w:tcW w:w="960" w:type="dxa"/>
            <w:vAlign w:val="bottom"/>
            <w:gridSpan w:val="3"/>
          </w:tcPr>
          <w:p>
            <w:pPr>
              <w:ind w:left="200"/>
              <w:spacing w:after="0"/>
              <w:rPr>
                <w:sz w:val="20"/>
                <w:szCs w:val="20"/>
                <w:color w:val="auto"/>
              </w:rPr>
            </w:pPr>
            <w:r>
              <w:rPr>
                <w:rFonts w:ascii="Arial" w:cs="Arial" w:eastAsia="Arial" w:hAnsi="Arial"/>
                <w:sz w:val="14"/>
                <w:szCs w:val="14"/>
                <w:b w:val="1"/>
                <w:bCs w:val="1"/>
                <w:color w:val="auto"/>
              </w:rPr>
              <w:t>Cause</w:t>
            </w: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Control</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Control</w:t>
            </w:r>
          </w:p>
        </w:tc>
        <w:tc>
          <w:tcPr>
            <w:tcW w:w="0" w:type="dxa"/>
            <w:vAlign w:val="bottom"/>
          </w:tcPr>
          <w:p>
            <w:pPr>
              <w:spacing w:after="0"/>
              <w:rPr>
                <w:sz w:val="1"/>
                <w:szCs w:val="1"/>
                <w:color w:val="auto"/>
              </w:rPr>
            </w:pPr>
          </w:p>
        </w:tc>
      </w:tr>
      <w:tr>
        <w:trPr>
          <w:trHeight w:val="240"/>
        </w:trPr>
        <w:tc>
          <w:tcPr>
            <w:tcW w:w="164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Annual Incentive</w:t>
            </w:r>
            <w:r>
              <w:rPr>
                <w:rFonts w:ascii="Arial" w:cs="Arial" w:eastAsia="Arial" w:hAnsi="Arial"/>
                <w:sz w:val="20"/>
                <w:szCs w:val="20"/>
                <w:color w:val="auto"/>
                <w:vertAlign w:val="superscript"/>
              </w:rPr>
              <w:t>(2)</w:t>
            </w:r>
          </w:p>
        </w:tc>
        <w:tc>
          <w:tcPr>
            <w:tcW w:w="140" w:type="dxa"/>
            <w:vAlign w:val="bottom"/>
          </w:tcPr>
          <w:p>
            <w:pPr>
              <w:spacing w:after="0"/>
              <w:rPr>
                <w:sz w:val="20"/>
                <w:szCs w:val="20"/>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8"/>
              </w:rPr>
              <w:t>$—</w:t>
            </w:r>
          </w:p>
        </w:tc>
        <w:tc>
          <w:tcPr>
            <w:tcW w:w="140" w:type="dxa"/>
            <w:vAlign w:val="bottom"/>
          </w:tcPr>
          <w:p>
            <w:pPr>
              <w:spacing w:after="0"/>
              <w:rPr>
                <w:sz w:val="20"/>
                <w:szCs w:val="20"/>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8"/>
              </w:rPr>
              <w:t>$—</w:t>
            </w:r>
          </w:p>
        </w:tc>
        <w:tc>
          <w:tcPr>
            <w:tcW w:w="14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220" w:type="dxa"/>
            <w:vAlign w:val="bottom"/>
            <w:tcBorders>
              <w:top w:val="single" w:sz="8" w:color="auto"/>
            </w:tcBorders>
          </w:tcPr>
          <w:p>
            <w:pPr>
              <w:ind w:left="140"/>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3"/>
              </w:rPr>
              <w:t>1,037,500</w:t>
            </w:r>
          </w:p>
        </w:tc>
        <w:tc>
          <w:tcPr>
            <w:tcW w:w="140" w:type="dxa"/>
            <w:vAlign w:val="bottom"/>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ind w:right="157"/>
              <w:spacing w:after="0"/>
              <w:rPr>
                <w:sz w:val="20"/>
                <w:szCs w:val="20"/>
                <w:color w:val="auto"/>
              </w:rPr>
            </w:pPr>
            <w:r>
              <w:rPr>
                <w:rFonts w:ascii="Arial" w:cs="Arial" w:eastAsia="Arial" w:hAnsi="Arial"/>
                <w:sz w:val="13"/>
                <w:szCs w:val="13"/>
                <w:color w:val="auto"/>
                <w:w w:val="93"/>
              </w:rPr>
              <w:t>1,037,500</w:t>
            </w:r>
          </w:p>
        </w:tc>
        <w:tc>
          <w:tcPr>
            <w:tcW w:w="0" w:type="dxa"/>
            <w:vAlign w:val="bottom"/>
          </w:tcPr>
          <w:p>
            <w:pPr>
              <w:spacing w:after="0"/>
              <w:rPr>
                <w:sz w:val="1"/>
                <w:szCs w:val="1"/>
                <w:color w:val="auto"/>
              </w:rPr>
            </w:pPr>
          </w:p>
        </w:tc>
      </w:tr>
      <w:tr>
        <w:trPr>
          <w:trHeight w:val="229"/>
        </w:trPr>
        <w:tc>
          <w:tcPr>
            <w:tcW w:w="1780" w:type="dxa"/>
            <w:vAlign w:val="bottom"/>
            <w:gridSpan w:val="2"/>
          </w:tcPr>
          <w:p>
            <w:pPr>
              <w:ind w:left="20"/>
              <w:spacing w:after="0"/>
              <w:rPr>
                <w:sz w:val="20"/>
                <w:szCs w:val="20"/>
                <w:color w:val="auto"/>
              </w:rPr>
            </w:pPr>
            <w:r>
              <w:rPr>
                <w:rFonts w:ascii="Arial" w:cs="Arial" w:eastAsia="Arial" w:hAnsi="Arial"/>
                <w:sz w:val="13"/>
                <w:szCs w:val="13"/>
                <w:color w:val="auto"/>
              </w:rPr>
              <w:t>Accelerated Stock Options</w:t>
            </w:r>
            <w:r>
              <w:rPr>
                <w:rFonts w:ascii="Arial" w:cs="Arial" w:eastAsia="Arial" w:hAnsi="Arial"/>
                <w:sz w:val="20"/>
                <w:szCs w:val="20"/>
                <w:color w:val="auto"/>
                <w:vertAlign w:val="superscript"/>
              </w:rPr>
              <w:t>(3)</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w:t>
            </w:r>
          </w:p>
        </w:tc>
        <w:tc>
          <w:tcPr>
            <w:tcW w:w="82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9"/>
        </w:trPr>
        <w:tc>
          <w:tcPr>
            <w:tcW w:w="1780" w:type="dxa"/>
            <w:vAlign w:val="bottom"/>
            <w:gridSpan w:val="2"/>
          </w:tcPr>
          <w:p>
            <w:pPr>
              <w:ind w:left="20"/>
              <w:spacing w:after="0"/>
              <w:rPr>
                <w:sz w:val="20"/>
                <w:szCs w:val="20"/>
                <w:color w:val="auto"/>
              </w:rPr>
            </w:pPr>
            <w:r>
              <w:rPr>
                <w:rFonts w:ascii="Arial" w:cs="Arial" w:eastAsia="Arial" w:hAnsi="Arial"/>
                <w:sz w:val="13"/>
                <w:szCs w:val="13"/>
                <w:color w:val="auto"/>
              </w:rPr>
              <w:t>Severance</w:t>
            </w:r>
            <w:r>
              <w:rPr>
                <w:rFonts w:ascii="Arial" w:cs="Arial" w:eastAsia="Arial" w:hAnsi="Arial"/>
                <w:sz w:val="20"/>
                <w:szCs w:val="20"/>
                <w:color w:val="auto"/>
                <w:vertAlign w:val="superscript"/>
              </w:rPr>
              <w:t>(4)</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w:t>
            </w:r>
          </w:p>
        </w:tc>
        <w:tc>
          <w:tcPr>
            <w:tcW w:w="82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w w:val="93"/>
              </w:rPr>
              <w:t>830,000</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w w:val="93"/>
              </w:rPr>
              <w:t>4,668,750</w:t>
            </w:r>
          </w:p>
        </w:tc>
        <w:tc>
          <w:tcPr>
            <w:tcW w:w="0" w:type="dxa"/>
            <w:vAlign w:val="bottom"/>
          </w:tcPr>
          <w:p>
            <w:pPr>
              <w:spacing w:after="0"/>
              <w:rPr>
                <w:sz w:val="1"/>
                <w:szCs w:val="1"/>
                <w:color w:val="auto"/>
              </w:rPr>
            </w:pPr>
          </w:p>
        </w:tc>
      </w:tr>
      <w:tr>
        <w:trPr>
          <w:trHeight w:val="230"/>
        </w:trPr>
        <w:tc>
          <w:tcPr>
            <w:tcW w:w="1780" w:type="dxa"/>
            <w:vAlign w:val="bottom"/>
            <w:gridSpan w:val="2"/>
          </w:tcPr>
          <w:p>
            <w:pPr>
              <w:ind w:left="20"/>
              <w:spacing w:after="0"/>
              <w:rPr>
                <w:sz w:val="20"/>
                <w:szCs w:val="20"/>
                <w:color w:val="auto"/>
              </w:rPr>
            </w:pPr>
            <w:r>
              <w:rPr>
                <w:rFonts w:ascii="Arial" w:cs="Arial" w:eastAsia="Arial" w:hAnsi="Arial"/>
                <w:sz w:val="13"/>
                <w:szCs w:val="13"/>
                <w:color w:val="auto"/>
              </w:rPr>
              <w:t>Benefit Continuation</w:t>
            </w:r>
            <w:r>
              <w:rPr>
                <w:rFonts w:ascii="Arial" w:cs="Arial" w:eastAsia="Arial" w:hAnsi="Arial"/>
                <w:sz w:val="20"/>
                <w:szCs w:val="20"/>
                <w:color w:val="auto"/>
                <w:vertAlign w:val="superscript"/>
              </w:rPr>
              <w:t>(4)</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w:t>
            </w:r>
          </w:p>
        </w:tc>
        <w:tc>
          <w:tcPr>
            <w:tcW w:w="82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38,212</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73,030</w:t>
            </w:r>
          </w:p>
        </w:tc>
        <w:tc>
          <w:tcPr>
            <w:tcW w:w="0" w:type="dxa"/>
            <w:vAlign w:val="bottom"/>
          </w:tcPr>
          <w:p>
            <w:pPr>
              <w:spacing w:after="0"/>
              <w:rPr>
                <w:sz w:val="1"/>
                <w:szCs w:val="1"/>
                <w:color w:val="auto"/>
              </w:rPr>
            </w:pPr>
          </w:p>
        </w:tc>
      </w:tr>
      <w:tr>
        <w:trPr>
          <w:trHeight w:val="229"/>
        </w:trPr>
        <w:tc>
          <w:tcPr>
            <w:tcW w:w="1780" w:type="dxa"/>
            <w:vAlign w:val="bottom"/>
            <w:gridSpan w:val="2"/>
          </w:tcPr>
          <w:p>
            <w:pPr>
              <w:ind w:left="20"/>
              <w:spacing w:after="0"/>
              <w:rPr>
                <w:sz w:val="20"/>
                <w:szCs w:val="20"/>
                <w:color w:val="auto"/>
              </w:rPr>
            </w:pPr>
            <w:r>
              <w:rPr>
                <w:rFonts w:ascii="Arial" w:cs="Arial" w:eastAsia="Arial" w:hAnsi="Arial"/>
                <w:sz w:val="13"/>
                <w:szCs w:val="13"/>
                <w:color w:val="auto"/>
              </w:rPr>
              <w:t>Accelerated RSUs</w:t>
            </w:r>
            <w:r>
              <w:rPr>
                <w:rFonts w:ascii="Arial" w:cs="Arial" w:eastAsia="Arial" w:hAnsi="Arial"/>
                <w:sz w:val="20"/>
                <w:szCs w:val="20"/>
                <w:color w:val="auto"/>
                <w:vertAlign w:val="superscript"/>
              </w:rPr>
              <w:t>(5)</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w:t>
            </w:r>
          </w:p>
        </w:tc>
        <w:tc>
          <w:tcPr>
            <w:tcW w:w="82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w w:val="93"/>
              </w:rPr>
              <w:t>2,058,416</w:t>
            </w:r>
          </w:p>
        </w:tc>
        <w:tc>
          <w:tcPr>
            <w:tcW w:w="120" w:type="dxa"/>
            <w:vAlign w:val="bottom"/>
          </w:tcPr>
          <w:p>
            <w:pPr>
              <w:spacing w:after="0"/>
              <w:rPr>
                <w:sz w:val="19"/>
                <w:szCs w:val="19"/>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3"/>
              </w:rPr>
              <w:t>2,058,416</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w w:val="93"/>
              </w:rPr>
              <w:t>650,194</w:t>
            </w:r>
          </w:p>
        </w:tc>
        <w:tc>
          <w:tcPr>
            <w:tcW w:w="140" w:type="dxa"/>
            <w:vAlign w:val="bottom"/>
          </w:tcPr>
          <w:p>
            <w:pPr>
              <w:spacing w:after="0"/>
              <w:rPr>
                <w:sz w:val="19"/>
                <w:szCs w:val="19"/>
                <w:color w:val="auto"/>
              </w:rPr>
            </w:pP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w w:val="93"/>
              </w:rPr>
              <w:t>2,058,416</w:t>
            </w:r>
          </w:p>
        </w:tc>
        <w:tc>
          <w:tcPr>
            <w:tcW w:w="0" w:type="dxa"/>
            <w:vAlign w:val="bottom"/>
          </w:tcPr>
          <w:p>
            <w:pPr>
              <w:spacing w:after="0"/>
              <w:rPr>
                <w:sz w:val="1"/>
                <w:szCs w:val="1"/>
                <w:color w:val="auto"/>
              </w:rPr>
            </w:pPr>
          </w:p>
        </w:tc>
      </w:tr>
      <w:tr>
        <w:trPr>
          <w:trHeight w:val="279"/>
        </w:trPr>
        <w:tc>
          <w:tcPr>
            <w:tcW w:w="1780" w:type="dxa"/>
            <w:vAlign w:val="bottom"/>
            <w:gridSpan w:val="2"/>
          </w:tcPr>
          <w:p>
            <w:pPr>
              <w:ind w:left="20"/>
              <w:spacing w:after="0"/>
              <w:rPr>
                <w:sz w:val="20"/>
                <w:szCs w:val="20"/>
                <w:color w:val="auto"/>
              </w:rPr>
            </w:pPr>
            <w:r>
              <w:rPr>
                <w:rFonts w:ascii="Arial" w:cs="Arial" w:eastAsia="Arial" w:hAnsi="Arial"/>
                <w:sz w:val="13"/>
                <w:szCs w:val="13"/>
                <w:color w:val="auto"/>
              </w:rPr>
              <w:t>Accelerated PRSUs</w:t>
            </w:r>
            <w:r>
              <w:rPr>
                <w:rFonts w:ascii="Arial" w:cs="Arial" w:eastAsia="Arial" w:hAnsi="Arial"/>
                <w:sz w:val="20"/>
                <w:szCs w:val="20"/>
                <w:color w:val="auto"/>
                <w:vertAlign w:val="superscript"/>
              </w:rPr>
              <w:t>(6)</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w:t>
            </w:r>
          </w:p>
        </w:tc>
        <w:tc>
          <w:tcPr>
            <w:tcW w:w="82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w w:val="93"/>
              </w:rPr>
              <w:t>2,418,145</w:t>
            </w:r>
          </w:p>
        </w:tc>
        <w:tc>
          <w:tcPr>
            <w:tcW w:w="120" w:type="dxa"/>
            <w:vAlign w:val="bottom"/>
          </w:tcPr>
          <w:p>
            <w:pPr>
              <w:spacing w:after="0"/>
              <w:rPr>
                <w:sz w:val="24"/>
                <w:szCs w:val="24"/>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3"/>
              </w:rPr>
              <w:t>2,418,145</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w w:val="93"/>
              </w:rPr>
              <w:t>977,545</w:t>
            </w:r>
          </w:p>
        </w:tc>
        <w:tc>
          <w:tcPr>
            <w:tcW w:w="140" w:type="dxa"/>
            <w:vAlign w:val="bottom"/>
          </w:tcPr>
          <w:p>
            <w:pPr>
              <w:spacing w:after="0"/>
              <w:rPr>
                <w:sz w:val="24"/>
                <w:szCs w:val="24"/>
                <w:color w:val="auto"/>
              </w:rPr>
            </w:pP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7"/>
              <w:spacing w:after="0"/>
              <w:rPr>
                <w:sz w:val="20"/>
                <w:szCs w:val="20"/>
                <w:color w:val="auto"/>
              </w:rPr>
            </w:pPr>
            <w:r>
              <w:rPr>
                <w:rFonts w:ascii="Arial" w:cs="Arial" w:eastAsia="Arial" w:hAnsi="Arial"/>
                <w:sz w:val="13"/>
                <w:szCs w:val="13"/>
                <w:color w:val="auto"/>
              </w:rPr>
              <w:t>650,650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78105</wp:posOffset>
            </wp:positionV>
            <wp:extent cx="8229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5" w:lineRule="exact"/>
        <w:rPr>
          <w:sz w:val="20"/>
          <w:szCs w:val="20"/>
          <w:color w:val="auto"/>
        </w:rPr>
      </w:pPr>
    </w:p>
    <w:p>
      <w:pPr>
        <w:ind w:left="1260" w:right="980" w:hanging="346"/>
        <w:spacing w:after="0" w:line="248" w:lineRule="auto"/>
        <w:tabs>
          <w:tab w:leader="none" w:pos="12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2.5 times the sum of the executive's base salary and target annual bonus. Each form of payment is mutually exclusive based on the individual circumstances or events and therefore represents a single payment and should not be added together.</w:t>
      </w:r>
    </w:p>
    <w:p>
      <w:pPr>
        <w:spacing w:after="0" w:line="36" w:lineRule="exact"/>
        <w:rPr>
          <w:rFonts w:ascii="Arial" w:cs="Arial" w:eastAsia="Arial" w:hAnsi="Arial"/>
          <w:sz w:val="14"/>
          <w:szCs w:val="14"/>
          <w:color w:val="auto"/>
        </w:rPr>
      </w:pPr>
    </w:p>
    <w:p>
      <w:pPr>
        <w:ind w:left="1260" w:right="980" w:hanging="346"/>
        <w:spacing w:after="0" w:line="263" w:lineRule="auto"/>
        <w:tabs>
          <w:tab w:leader="none" w:pos="12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The annual incentive plan did not pay out in 2022, so the value represents the incremental difference between the target and actual bonus paid.</w:t>
      </w:r>
    </w:p>
    <w:p>
      <w:pPr>
        <w:spacing w:after="0" w:line="37" w:lineRule="exact"/>
        <w:rPr>
          <w:rFonts w:ascii="Arial" w:cs="Arial" w:eastAsia="Arial" w:hAnsi="Arial"/>
          <w:sz w:val="14"/>
          <w:szCs w:val="14"/>
          <w:color w:val="auto"/>
        </w:rPr>
      </w:pPr>
    </w:p>
    <w:p>
      <w:pPr>
        <w:ind w:left="1260" w:hanging="346"/>
        <w:spacing w:after="0"/>
        <w:tabs>
          <w:tab w:leader="none" w:pos="12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in-the-money value of accelerated stock options based on the closing price of our common stock on December 30, 2022</w:t>
      </w:r>
    </w:p>
    <w:p>
      <w:pPr>
        <w:spacing w:after="0" w:line="15" w:lineRule="exact"/>
        <w:rPr>
          <w:rFonts w:ascii="Arial" w:cs="Arial" w:eastAsia="Arial" w:hAnsi="Arial"/>
          <w:sz w:val="14"/>
          <w:szCs w:val="14"/>
          <w:color w:val="auto"/>
        </w:rPr>
      </w:pPr>
    </w:p>
    <w:p>
      <w:pPr>
        <w:ind w:left="1260" w:right="1060"/>
        <w:spacing w:after="0" w:line="249" w:lineRule="auto"/>
        <w:rPr>
          <w:rFonts w:ascii="Arial" w:cs="Arial" w:eastAsia="Arial" w:hAnsi="Arial"/>
          <w:sz w:val="14"/>
          <w:szCs w:val="14"/>
          <w:color w:val="auto"/>
        </w:rPr>
      </w:pPr>
      <w:r>
        <w:rPr>
          <w:rFonts w:ascii="Arial" w:cs="Arial" w:eastAsia="Arial" w:hAnsi="Arial"/>
          <w:sz w:val="14"/>
          <w:szCs w:val="14"/>
          <w:color w:val="auto"/>
        </w:rPr>
        <w:t>($50.65). As all accelerated options are underwater at this price, no values are shown. Upon a termination due to retirement after the first anniversary of the grant date, stock options will continue to vest subject to non-compete/non-solicit and reasonable notice restrictions. Upon a change-in-control, stock options will accelerate only if they are not assumed or substituted, and otherwise provide for a double trigger; values presume that the acquirer assumes outstanding stock options.</w:t>
      </w:r>
    </w:p>
    <w:p>
      <w:pPr>
        <w:spacing w:after="0" w:line="33" w:lineRule="exact"/>
        <w:rPr>
          <w:rFonts w:ascii="Arial" w:cs="Arial" w:eastAsia="Arial" w:hAnsi="Arial"/>
          <w:sz w:val="14"/>
          <w:szCs w:val="14"/>
          <w:color w:val="auto"/>
        </w:rPr>
      </w:pPr>
    </w:p>
    <w:p>
      <w:pPr>
        <w:ind w:left="1260" w:right="1080" w:hanging="346"/>
        <w:spacing w:after="0" w:line="263" w:lineRule="auto"/>
        <w:tabs>
          <w:tab w:leader="none" w:pos="12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2.5 times the sum of base salary and target annual bonus, plus 2.5 years of continued benefits.</w:t>
      </w:r>
    </w:p>
    <w:p>
      <w:pPr>
        <w:spacing w:after="0" w:line="24" w:lineRule="exact"/>
        <w:rPr>
          <w:rFonts w:ascii="Arial" w:cs="Arial" w:eastAsia="Arial" w:hAnsi="Arial"/>
          <w:sz w:val="14"/>
          <w:szCs w:val="14"/>
          <w:color w:val="auto"/>
        </w:rPr>
      </w:pPr>
    </w:p>
    <w:p>
      <w:pPr>
        <w:ind w:left="1260" w:right="940" w:hanging="346"/>
        <w:spacing w:after="0" w:line="252" w:lineRule="auto"/>
        <w:tabs>
          <w:tab w:leader="none" w:pos="12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For the time-vested RSUs, upon termination due to death or disability, represents the accelerated value of the RSUs based on the closing price of our common stock on December 30, 2022 ($50.65). Upon a termination due to retirement after the first anniversary of the grant date, RSUs will continue to vest subject to non-compete/non-solicit and reasonable notice restrictions. 2022 awards are assumed forfeited, as retirement at December 30, 2022 is before the first anniversary of the grant date. Upon a change-in-control only (single trigger), RSUs that are not assumed by an acquirer will accelerate; values presume that the acquirer assumes applicable outstanding RSUs.</w:t>
      </w:r>
    </w:p>
    <w:p>
      <w:pPr>
        <w:spacing w:after="0" w:line="45" w:lineRule="exact"/>
        <w:rPr>
          <w:rFonts w:ascii="Arial" w:cs="Arial" w:eastAsia="Arial" w:hAnsi="Arial"/>
          <w:sz w:val="14"/>
          <w:szCs w:val="14"/>
          <w:color w:val="auto"/>
        </w:rPr>
      </w:pPr>
    </w:p>
    <w:p>
      <w:pPr>
        <w:ind w:left="1260" w:right="920" w:hanging="346"/>
        <w:spacing w:after="0" w:line="244" w:lineRule="auto"/>
        <w:tabs>
          <w:tab w:leader="none" w:pos="12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Upon a termination due to death or disability, awards will vest based on actual performance at the conclusion of the performance period ending in the year of death or disability. Shares continue to vest through the year of death or disability and all unvested shares are accelerated. Fiscal year 2021 and 2022 values assume target performance will be achieved. Upon a termination due to retirement after the first anniversary of the grant date, awards will vest in full based on actual performance at the end of the performance period (no pro-rated payout). 2022 awards are assumed forfeited, as retirement at December 30, 2022 is before the first anniversary of the grant date. Pursuant to our award agreements with this executive the PRSUs outstanding as of the change-in-control will be vested at the greater of target or actual performance for the performance period,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As of December 30, 2022, two three-year performance cycles (2021-2023 and 2022-2024) are not yet complete and the awards are tracking at target, so no incremental values are included in this table. For the 2020-2022 performance cycle, actual payouts were less than target and the value shown in the table represents the incremental difference between actual payout and target. Upon a termination following a change-in-control, value represents the incremental difference in values between target and actual performance (e.g. no value for cycles where actual payouts are greater than or equal to target amounts). Values are based on the closing price of our common stock on December 30, 2022 ($50.65).</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-47-</w:t>
            </w:r>
          </w:p>
        </w:tc>
      </w:tr>
      <w:tr>
        <w:trPr>
          <w:trHeight w:val="219"/>
        </w:trPr>
        <w:tc>
          <w:tcPr>
            <w:tcW w:w="316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51" w:name="page52"/>
    <w:bookmarkEnd w:id="51"/>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ITRON,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23495</wp:posOffset>
            </wp:positionV>
            <wp:extent cx="57689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68975" cy="8890"/>
                    </a:xfrm>
                    <a:prstGeom prst="rect">
                      <a:avLst/>
                    </a:prstGeom>
                    <a:noFill/>
                  </pic:spPr>
                </pic:pic>
              </a:graphicData>
            </a:graphic>
          </wp:anchor>
        </w:drawing>
      </w:r>
    </w:p>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Summary of Termination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23495</wp:posOffset>
            </wp:positionV>
            <wp:extent cx="57689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23495</wp:posOffset>
            </wp:positionV>
            <wp:extent cx="57689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49"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Termination</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Without Cause</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or by Executive</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for Good</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Reason</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Following a</w:t>
            </w:r>
          </w:p>
        </w:tc>
        <w:tc>
          <w:tcPr>
            <w:tcW w:w="0" w:type="dxa"/>
            <w:vAlign w:val="bottom"/>
          </w:tcPr>
          <w:p>
            <w:pPr>
              <w:spacing w:after="0"/>
              <w:rPr>
                <w:sz w:val="1"/>
                <w:szCs w:val="1"/>
                <w:color w:val="auto"/>
              </w:rPr>
            </w:pPr>
          </w:p>
        </w:tc>
      </w:tr>
      <w:tr>
        <w:trPr>
          <w:trHeight w:val="162"/>
        </w:trPr>
        <w:tc>
          <w:tcPr>
            <w:tcW w:w="1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Executive Benefits</w:t>
            </w:r>
            <w:r>
              <w:rPr>
                <w:rFonts w:ascii="Arial" w:cs="Arial" w:eastAsia="Arial" w:hAnsi="Arial"/>
                <w:sz w:val="23"/>
                <w:szCs w:val="23"/>
                <w:b w:val="1"/>
                <w:bCs w:val="1"/>
                <w:color w:val="auto"/>
                <w:vertAlign w:val="superscript"/>
              </w:rPr>
              <w:t>(1)</w:t>
            </w:r>
          </w:p>
        </w:tc>
        <w:tc>
          <w:tcPr>
            <w:tcW w:w="120" w:type="dxa"/>
            <w:vAlign w:val="bottom"/>
            <w:vMerge w:val="restart"/>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Termination</w:t>
            </w: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Voluntary</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ind w:left="120"/>
              <w:spacing w:after="0"/>
              <w:rPr>
                <w:sz w:val="20"/>
                <w:szCs w:val="20"/>
                <w:color w:val="auto"/>
              </w:rPr>
            </w:pPr>
            <w:r>
              <w:rPr>
                <w:rFonts w:ascii="Arial" w:cs="Arial" w:eastAsia="Arial" w:hAnsi="Arial"/>
                <w:sz w:val="14"/>
                <w:szCs w:val="14"/>
                <w:b w:val="1"/>
                <w:bCs w:val="1"/>
                <w:color w:val="auto"/>
              </w:rPr>
              <w:t>Without</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Change-in-</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Change-in-</w:t>
            </w:r>
          </w:p>
        </w:tc>
        <w:tc>
          <w:tcPr>
            <w:tcW w:w="0" w:type="dxa"/>
            <w:vAlign w:val="bottom"/>
          </w:tcPr>
          <w:p>
            <w:pPr>
              <w:spacing w:after="0"/>
              <w:rPr>
                <w:sz w:val="1"/>
                <w:szCs w:val="1"/>
                <w:color w:val="auto"/>
              </w:rPr>
            </w:pPr>
          </w:p>
        </w:tc>
      </w:tr>
      <w:tr>
        <w:trPr>
          <w:trHeight w:val="198"/>
        </w:trPr>
        <w:tc>
          <w:tcPr>
            <w:tcW w:w="16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for Cause</w:t>
            </w:r>
          </w:p>
        </w:tc>
        <w:tc>
          <w:tcPr>
            <w:tcW w:w="1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Termination</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ind w:right="56"/>
              <w:spacing w:after="0"/>
              <w:rPr>
                <w:sz w:val="20"/>
                <w:szCs w:val="20"/>
                <w:color w:val="auto"/>
              </w:rPr>
            </w:pPr>
            <w:r>
              <w:rPr>
                <w:rFonts w:ascii="Arial" w:cs="Arial" w:eastAsia="Arial" w:hAnsi="Arial"/>
                <w:sz w:val="14"/>
                <w:szCs w:val="14"/>
                <w:b w:val="1"/>
                <w:bCs w:val="1"/>
                <w:color w:val="auto"/>
              </w:rPr>
              <w:t>Death</w:t>
            </w:r>
          </w:p>
        </w:tc>
        <w:tc>
          <w:tcPr>
            <w:tcW w:w="120" w:type="dxa"/>
            <w:vAlign w:val="bottom"/>
          </w:tcPr>
          <w:p>
            <w:pPr>
              <w:spacing w:after="0"/>
              <w:rPr>
                <w:sz w:val="17"/>
                <w:szCs w:val="17"/>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Disability</w:t>
            </w:r>
          </w:p>
        </w:tc>
        <w:tc>
          <w:tcPr>
            <w:tcW w:w="140" w:type="dxa"/>
            <w:vAlign w:val="bottom"/>
          </w:tcPr>
          <w:p>
            <w:pPr>
              <w:spacing w:after="0"/>
              <w:rPr>
                <w:sz w:val="17"/>
                <w:szCs w:val="17"/>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Retirement</w:t>
            </w:r>
          </w:p>
        </w:tc>
        <w:tc>
          <w:tcPr>
            <w:tcW w:w="960" w:type="dxa"/>
            <w:vAlign w:val="bottom"/>
            <w:gridSpan w:val="3"/>
          </w:tcPr>
          <w:p>
            <w:pPr>
              <w:ind w:left="200"/>
              <w:spacing w:after="0"/>
              <w:rPr>
                <w:sz w:val="20"/>
                <w:szCs w:val="20"/>
                <w:color w:val="auto"/>
              </w:rPr>
            </w:pPr>
            <w:r>
              <w:rPr>
                <w:rFonts w:ascii="Arial" w:cs="Arial" w:eastAsia="Arial" w:hAnsi="Arial"/>
                <w:sz w:val="14"/>
                <w:szCs w:val="14"/>
                <w:b w:val="1"/>
                <w:bCs w:val="1"/>
                <w:color w:val="auto"/>
              </w:rPr>
              <w:t>Cause</w:t>
            </w:r>
          </w:p>
        </w:tc>
        <w:tc>
          <w:tcPr>
            <w:tcW w:w="900" w:type="dxa"/>
            <w:vAlign w:val="bottom"/>
            <w:gridSpan w:val="3"/>
          </w:tcPr>
          <w:p>
            <w:pPr>
              <w:ind w:left="120"/>
              <w:spacing w:after="0"/>
              <w:rPr>
                <w:sz w:val="20"/>
                <w:szCs w:val="20"/>
                <w:color w:val="auto"/>
              </w:rPr>
            </w:pPr>
            <w:r>
              <w:rPr>
                <w:rFonts w:ascii="Arial" w:cs="Arial" w:eastAsia="Arial" w:hAnsi="Arial"/>
                <w:sz w:val="14"/>
                <w:szCs w:val="14"/>
                <w:b w:val="1"/>
                <w:bCs w:val="1"/>
                <w:color w:val="auto"/>
              </w:rPr>
              <w:t>Control</w:t>
            </w:r>
          </w:p>
        </w:tc>
        <w:tc>
          <w:tcPr>
            <w:tcW w:w="280" w:type="dxa"/>
            <w:vAlign w:val="bottom"/>
          </w:tcPr>
          <w:p>
            <w:pPr>
              <w:spacing w:after="0"/>
              <w:rPr>
                <w:sz w:val="17"/>
                <w:szCs w:val="17"/>
                <w:color w:val="auto"/>
              </w:rPr>
            </w:pPr>
          </w:p>
        </w:tc>
        <w:tc>
          <w:tcPr>
            <w:tcW w:w="820" w:type="dxa"/>
            <w:vAlign w:val="bottom"/>
          </w:tcPr>
          <w:p>
            <w:pPr>
              <w:jc w:val="center"/>
              <w:ind w:right="216"/>
              <w:spacing w:after="0"/>
              <w:rPr>
                <w:sz w:val="20"/>
                <w:szCs w:val="20"/>
                <w:color w:val="auto"/>
              </w:rPr>
            </w:pPr>
            <w:r>
              <w:rPr>
                <w:rFonts w:ascii="Arial" w:cs="Arial" w:eastAsia="Arial" w:hAnsi="Arial"/>
                <w:sz w:val="14"/>
                <w:szCs w:val="14"/>
                <w:b w:val="1"/>
                <w:bCs w:val="1"/>
                <w:color w:val="auto"/>
              </w:rPr>
              <w:t>Control</w:t>
            </w:r>
          </w:p>
        </w:tc>
        <w:tc>
          <w:tcPr>
            <w:tcW w:w="0" w:type="dxa"/>
            <w:vAlign w:val="bottom"/>
          </w:tcPr>
          <w:p>
            <w:pPr>
              <w:spacing w:after="0"/>
              <w:rPr>
                <w:sz w:val="1"/>
                <w:szCs w:val="1"/>
                <w:color w:val="auto"/>
              </w:rPr>
            </w:pPr>
          </w:p>
        </w:tc>
      </w:tr>
      <w:tr>
        <w:trPr>
          <w:trHeight w:val="240"/>
        </w:trPr>
        <w:tc>
          <w:tcPr>
            <w:tcW w:w="164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Annual Incentive</w:t>
            </w:r>
            <w:r>
              <w:rPr>
                <w:rFonts w:ascii="Arial" w:cs="Arial" w:eastAsia="Arial" w:hAnsi="Arial"/>
                <w:sz w:val="20"/>
                <w:szCs w:val="20"/>
                <w:color w:val="auto"/>
                <w:vertAlign w:val="superscript"/>
              </w:rPr>
              <w:t>(2)</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8"/>
              </w:rPr>
              <w:t>$—</w:t>
            </w:r>
          </w:p>
        </w:tc>
        <w:tc>
          <w:tcPr>
            <w:tcW w:w="140" w:type="dxa"/>
            <w:vAlign w:val="bottom"/>
          </w:tcPr>
          <w:p>
            <w:pPr>
              <w:spacing w:after="0"/>
              <w:rPr>
                <w:sz w:val="20"/>
                <w:szCs w:val="20"/>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8"/>
              </w:rPr>
              <w:t>$—</w:t>
            </w:r>
          </w:p>
        </w:tc>
        <w:tc>
          <w:tcPr>
            <w:tcW w:w="14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220" w:type="dxa"/>
            <w:vAlign w:val="bottom"/>
            <w:tcBorders>
              <w:top w:val="single" w:sz="8" w:color="auto"/>
            </w:tcBorders>
          </w:tcPr>
          <w:p>
            <w:pPr>
              <w:ind w:left="140"/>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p>
        </w:tc>
        <w:tc>
          <w:tcPr>
            <w:tcW w:w="180" w:type="dxa"/>
            <w:vAlign w:val="bottom"/>
            <w:tcBorders>
              <w:top w:val="single" w:sz="8" w:color="auto"/>
            </w:tcBorders>
          </w:tcPr>
          <w:p>
            <w:pPr>
              <w:ind w:left="12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w w:val="93"/>
              </w:rPr>
              <w:t>397,500</w:t>
            </w:r>
          </w:p>
        </w:tc>
        <w:tc>
          <w:tcPr>
            <w:tcW w:w="140" w:type="dxa"/>
            <w:vAlign w:val="bottom"/>
          </w:tcPr>
          <w:p>
            <w:pPr>
              <w:spacing w:after="0"/>
              <w:rPr>
                <w:sz w:val="20"/>
                <w:szCs w:val="20"/>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tcPr>
          <w:p>
            <w:pPr>
              <w:jc w:val="right"/>
              <w:ind w:right="196"/>
              <w:spacing w:after="0"/>
              <w:rPr>
                <w:sz w:val="20"/>
                <w:szCs w:val="20"/>
                <w:color w:val="auto"/>
              </w:rPr>
            </w:pPr>
            <w:r>
              <w:rPr>
                <w:rFonts w:ascii="Arial" w:cs="Arial" w:eastAsia="Arial" w:hAnsi="Arial"/>
                <w:sz w:val="13"/>
                <w:szCs w:val="13"/>
                <w:color w:val="auto"/>
              </w:rPr>
              <w:t>397,500</w:t>
            </w:r>
          </w:p>
        </w:tc>
        <w:tc>
          <w:tcPr>
            <w:tcW w:w="0" w:type="dxa"/>
            <w:vAlign w:val="bottom"/>
          </w:tcPr>
          <w:p>
            <w:pPr>
              <w:spacing w:after="0"/>
              <w:rPr>
                <w:sz w:val="1"/>
                <w:szCs w:val="1"/>
                <w:color w:val="auto"/>
              </w:rPr>
            </w:pPr>
          </w:p>
        </w:tc>
      </w:tr>
      <w:tr>
        <w:trPr>
          <w:trHeight w:val="229"/>
        </w:trPr>
        <w:tc>
          <w:tcPr>
            <w:tcW w:w="1760" w:type="dxa"/>
            <w:vAlign w:val="bottom"/>
            <w:gridSpan w:val="2"/>
          </w:tcPr>
          <w:p>
            <w:pPr>
              <w:ind w:left="20"/>
              <w:spacing w:after="0"/>
              <w:rPr>
                <w:sz w:val="20"/>
                <w:szCs w:val="20"/>
                <w:color w:val="auto"/>
              </w:rPr>
            </w:pPr>
            <w:r>
              <w:rPr>
                <w:rFonts w:ascii="Arial" w:cs="Arial" w:eastAsia="Arial" w:hAnsi="Arial"/>
                <w:sz w:val="13"/>
                <w:szCs w:val="13"/>
                <w:color w:val="auto"/>
              </w:rPr>
              <w:t>Accelerated Stock Options</w:t>
            </w:r>
            <w:r>
              <w:rPr>
                <w:rFonts w:ascii="Arial" w:cs="Arial" w:eastAsia="Arial" w:hAnsi="Arial"/>
                <w:sz w:val="20"/>
                <w:szCs w:val="20"/>
                <w:color w:val="auto"/>
                <w:vertAlign w:val="superscript"/>
              </w:rPr>
              <w:t>(3)</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0"/>
        </w:trPr>
        <w:tc>
          <w:tcPr>
            <w:tcW w:w="1760" w:type="dxa"/>
            <w:vAlign w:val="bottom"/>
            <w:gridSpan w:val="2"/>
          </w:tcPr>
          <w:p>
            <w:pPr>
              <w:ind w:left="20"/>
              <w:spacing w:after="0"/>
              <w:rPr>
                <w:sz w:val="20"/>
                <w:szCs w:val="20"/>
                <w:color w:val="auto"/>
              </w:rPr>
            </w:pPr>
            <w:r>
              <w:rPr>
                <w:rFonts w:ascii="Arial" w:cs="Arial" w:eastAsia="Arial" w:hAnsi="Arial"/>
                <w:sz w:val="13"/>
                <w:szCs w:val="13"/>
                <w:color w:val="auto"/>
              </w:rPr>
              <w:t>Severance</w:t>
            </w:r>
            <w:r>
              <w:rPr>
                <w:rFonts w:ascii="Arial" w:cs="Arial" w:eastAsia="Arial" w:hAnsi="Arial"/>
                <w:sz w:val="20"/>
                <w:szCs w:val="20"/>
                <w:color w:val="auto"/>
                <w:vertAlign w:val="superscript"/>
              </w:rPr>
              <w:t>(4)</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w w:val="93"/>
              </w:rPr>
              <w:t>530,000</w:t>
            </w:r>
          </w:p>
        </w:tc>
        <w:tc>
          <w:tcPr>
            <w:tcW w:w="140" w:type="dxa"/>
            <w:vAlign w:val="bottom"/>
          </w:tcPr>
          <w:p>
            <w:pPr>
              <w:spacing w:after="0"/>
              <w:rPr>
                <w:sz w:val="19"/>
                <w:szCs w:val="19"/>
                <w:color w:val="auto"/>
              </w:rPr>
            </w:pP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96"/>
              <w:spacing w:after="0"/>
              <w:rPr>
                <w:sz w:val="20"/>
                <w:szCs w:val="20"/>
                <w:color w:val="auto"/>
              </w:rPr>
            </w:pPr>
            <w:r>
              <w:rPr>
                <w:rFonts w:ascii="Arial" w:cs="Arial" w:eastAsia="Arial" w:hAnsi="Arial"/>
                <w:sz w:val="13"/>
                <w:szCs w:val="13"/>
                <w:color w:val="auto"/>
                <w:w w:val="93"/>
              </w:rPr>
              <w:t>1,855,000</w:t>
            </w:r>
          </w:p>
        </w:tc>
        <w:tc>
          <w:tcPr>
            <w:tcW w:w="0" w:type="dxa"/>
            <w:vAlign w:val="bottom"/>
          </w:tcPr>
          <w:p>
            <w:pPr>
              <w:spacing w:after="0"/>
              <w:rPr>
                <w:sz w:val="1"/>
                <w:szCs w:val="1"/>
                <w:color w:val="auto"/>
              </w:rPr>
            </w:pPr>
          </w:p>
        </w:tc>
      </w:tr>
      <w:tr>
        <w:trPr>
          <w:trHeight w:val="229"/>
        </w:trPr>
        <w:tc>
          <w:tcPr>
            <w:tcW w:w="1760" w:type="dxa"/>
            <w:vAlign w:val="bottom"/>
            <w:gridSpan w:val="2"/>
          </w:tcPr>
          <w:p>
            <w:pPr>
              <w:ind w:left="20"/>
              <w:spacing w:after="0"/>
              <w:rPr>
                <w:sz w:val="20"/>
                <w:szCs w:val="20"/>
                <w:color w:val="auto"/>
              </w:rPr>
            </w:pPr>
            <w:r>
              <w:rPr>
                <w:rFonts w:ascii="Arial" w:cs="Arial" w:eastAsia="Arial" w:hAnsi="Arial"/>
                <w:sz w:val="13"/>
                <w:szCs w:val="13"/>
                <w:color w:val="auto"/>
              </w:rPr>
              <w:t>Benefit Continuation</w:t>
            </w:r>
            <w:r>
              <w:rPr>
                <w:rFonts w:ascii="Arial" w:cs="Arial" w:eastAsia="Arial" w:hAnsi="Arial"/>
                <w:sz w:val="20"/>
                <w:szCs w:val="20"/>
                <w:color w:val="auto"/>
                <w:vertAlign w:val="superscript"/>
              </w:rPr>
              <w:t>(4)</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28,523</w:t>
            </w:r>
          </w:p>
        </w:tc>
        <w:tc>
          <w:tcPr>
            <w:tcW w:w="140" w:type="dxa"/>
            <w:vAlign w:val="bottom"/>
          </w:tcPr>
          <w:p>
            <w:pPr>
              <w:spacing w:after="0"/>
              <w:rPr>
                <w:sz w:val="19"/>
                <w:szCs w:val="19"/>
                <w:color w:val="auto"/>
              </w:rPr>
            </w:pP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96"/>
              <w:spacing w:after="0"/>
              <w:rPr>
                <w:sz w:val="20"/>
                <w:szCs w:val="20"/>
                <w:color w:val="auto"/>
              </w:rPr>
            </w:pPr>
            <w:r>
              <w:rPr>
                <w:rFonts w:ascii="Arial" w:cs="Arial" w:eastAsia="Arial" w:hAnsi="Arial"/>
                <w:sz w:val="13"/>
                <w:szCs w:val="13"/>
                <w:color w:val="auto"/>
              </w:rPr>
              <w:t>39,045</w:t>
            </w:r>
          </w:p>
        </w:tc>
        <w:tc>
          <w:tcPr>
            <w:tcW w:w="0" w:type="dxa"/>
            <w:vAlign w:val="bottom"/>
          </w:tcPr>
          <w:p>
            <w:pPr>
              <w:spacing w:after="0"/>
              <w:rPr>
                <w:sz w:val="1"/>
                <w:szCs w:val="1"/>
                <w:color w:val="auto"/>
              </w:rPr>
            </w:pPr>
          </w:p>
        </w:tc>
      </w:tr>
      <w:tr>
        <w:trPr>
          <w:trHeight w:val="230"/>
        </w:trPr>
        <w:tc>
          <w:tcPr>
            <w:tcW w:w="1760" w:type="dxa"/>
            <w:vAlign w:val="bottom"/>
            <w:gridSpan w:val="2"/>
          </w:tcPr>
          <w:p>
            <w:pPr>
              <w:ind w:left="20"/>
              <w:spacing w:after="0"/>
              <w:rPr>
                <w:sz w:val="20"/>
                <w:szCs w:val="20"/>
                <w:color w:val="auto"/>
              </w:rPr>
            </w:pPr>
            <w:r>
              <w:rPr>
                <w:rFonts w:ascii="Arial" w:cs="Arial" w:eastAsia="Arial" w:hAnsi="Arial"/>
                <w:sz w:val="13"/>
                <w:szCs w:val="13"/>
                <w:color w:val="auto"/>
              </w:rPr>
              <w:t>Accelerated RSUs</w:t>
            </w:r>
            <w:r>
              <w:rPr>
                <w:rFonts w:ascii="Arial" w:cs="Arial" w:eastAsia="Arial" w:hAnsi="Arial"/>
                <w:sz w:val="20"/>
                <w:szCs w:val="20"/>
                <w:color w:val="auto"/>
                <w:vertAlign w:val="superscript"/>
              </w:rPr>
              <w:t>(5)</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w w:val="89"/>
              </w:rPr>
              <w:t>1,118,200</w:t>
            </w:r>
          </w:p>
        </w:tc>
        <w:tc>
          <w:tcPr>
            <w:tcW w:w="120" w:type="dxa"/>
            <w:vAlign w:val="bottom"/>
          </w:tcPr>
          <w:p>
            <w:pPr>
              <w:spacing w:after="0"/>
              <w:rPr>
                <w:sz w:val="19"/>
                <w:szCs w:val="19"/>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3"/>
              </w:rPr>
              <w:t>1,118,200</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w w:val="93"/>
              </w:rPr>
              <w:t>414,064</w:t>
            </w:r>
          </w:p>
        </w:tc>
        <w:tc>
          <w:tcPr>
            <w:tcW w:w="140" w:type="dxa"/>
            <w:vAlign w:val="bottom"/>
          </w:tcPr>
          <w:p>
            <w:pPr>
              <w:spacing w:after="0"/>
              <w:rPr>
                <w:sz w:val="19"/>
                <w:szCs w:val="19"/>
                <w:color w:val="auto"/>
              </w:rPr>
            </w:pP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96"/>
              <w:spacing w:after="0"/>
              <w:rPr>
                <w:sz w:val="20"/>
                <w:szCs w:val="20"/>
                <w:color w:val="auto"/>
              </w:rPr>
            </w:pPr>
            <w:r>
              <w:rPr>
                <w:rFonts w:ascii="Arial" w:cs="Arial" w:eastAsia="Arial" w:hAnsi="Arial"/>
                <w:sz w:val="13"/>
                <w:szCs w:val="13"/>
                <w:color w:val="auto"/>
                <w:w w:val="93"/>
              </w:rPr>
              <w:t>1,118,200</w:t>
            </w:r>
          </w:p>
        </w:tc>
        <w:tc>
          <w:tcPr>
            <w:tcW w:w="0" w:type="dxa"/>
            <w:vAlign w:val="bottom"/>
          </w:tcPr>
          <w:p>
            <w:pPr>
              <w:spacing w:after="0"/>
              <w:rPr>
                <w:sz w:val="1"/>
                <w:szCs w:val="1"/>
                <w:color w:val="auto"/>
              </w:rPr>
            </w:pPr>
          </w:p>
        </w:tc>
      </w:tr>
      <w:tr>
        <w:trPr>
          <w:trHeight w:val="279"/>
        </w:trPr>
        <w:tc>
          <w:tcPr>
            <w:tcW w:w="1760" w:type="dxa"/>
            <w:vAlign w:val="bottom"/>
            <w:gridSpan w:val="2"/>
          </w:tcPr>
          <w:p>
            <w:pPr>
              <w:ind w:left="20"/>
              <w:spacing w:after="0"/>
              <w:rPr>
                <w:sz w:val="20"/>
                <w:szCs w:val="20"/>
                <w:color w:val="auto"/>
              </w:rPr>
            </w:pPr>
            <w:r>
              <w:rPr>
                <w:rFonts w:ascii="Arial" w:cs="Arial" w:eastAsia="Arial" w:hAnsi="Arial"/>
                <w:sz w:val="13"/>
                <w:szCs w:val="13"/>
                <w:color w:val="auto"/>
              </w:rPr>
              <w:t>Accelerated PRSUs</w:t>
            </w:r>
            <w:r>
              <w:rPr>
                <w:rFonts w:ascii="Arial" w:cs="Arial" w:eastAsia="Arial" w:hAnsi="Arial"/>
                <w:sz w:val="20"/>
                <w:szCs w:val="20"/>
                <w:color w:val="auto"/>
                <w:vertAlign w:val="superscript"/>
              </w:rPr>
              <w:t>(6)</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w:t>
            </w:r>
          </w:p>
        </w:tc>
        <w:tc>
          <w:tcPr>
            <w:tcW w:w="960" w:type="dxa"/>
            <w:vAlign w:val="bottom"/>
            <w:gridSpan w:val="2"/>
          </w:tcPr>
          <w:p>
            <w:pPr>
              <w:jc w:val="center"/>
              <w:ind w:right="140"/>
              <w:spacing w:after="0"/>
              <w:rPr>
                <w:sz w:val="20"/>
                <w:szCs w:val="20"/>
                <w:color w:val="auto"/>
              </w:rPr>
            </w:pPr>
            <w:r>
              <w:rPr>
                <w:rFonts w:ascii="Arial" w:cs="Arial" w:eastAsia="Arial" w:hAnsi="Arial"/>
                <w:sz w:val="13"/>
                <w:szCs w:val="13"/>
                <w:color w:val="auto"/>
                <w:w w:val="88"/>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835,684</w:t>
            </w:r>
          </w:p>
        </w:tc>
        <w:tc>
          <w:tcPr>
            <w:tcW w:w="120" w:type="dxa"/>
            <w:vAlign w:val="bottom"/>
          </w:tcPr>
          <w:p>
            <w:pPr>
              <w:spacing w:after="0"/>
              <w:rPr>
                <w:sz w:val="24"/>
                <w:szCs w:val="24"/>
                <w:color w:val="auto"/>
              </w:rPr>
            </w:pP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835,684</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w w:val="93"/>
              </w:rPr>
              <w:t>445,163</w:t>
            </w:r>
          </w:p>
        </w:tc>
        <w:tc>
          <w:tcPr>
            <w:tcW w:w="140" w:type="dxa"/>
            <w:vAlign w:val="bottom"/>
          </w:tcPr>
          <w:p>
            <w:pPr>
              <w:spacing w:after="0"/>
              <w:rPr>
                <w:sz w:val="24"/>
                <w:szCs w:val="24"/>
                <w:color w:val="auto"/>
              </w:rPr>
            </w:pP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96"/>
              <w:spacing w:after="0"/>
              <w:rPr>
                <w:sz w:val="20"/>
                <w:szCs w:val="20"/>
                <w:color w:val="auto"/>
              </w:rPr>
            </w:pPr>
            <w:r>
              <w:rPr>
                <w:rFonts w:ascii="Arial" w:cs="Arial" w:eastAsia="Arial" w:hAnsi="Arial"/>
                <w:sz w:val="13"/>
                <w:szCs w:val="13"/>
                <w:color w:val="auto"/>
              </w:rPr>
              <w:t>271,079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78105</wp:posOffset>
            </wp:positionV>
            <wp:extent cx="8229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5" w:lineRule="exact"/>
        <w:rPr>
          <w:sz w:val="20"/>
          <w:szCs w:val="20"/>
          <w:color w:val="auto"/>
        </w:rPr>
      </w:pPr>
    </w:p>
    <w:p>
      <w:pPr>
        <w:ind w:left="1260" w:right="1000" w:hanging="346"/>
        <w:spacing w:after="0" w:line="248" w:lineRule="auto"/>
        <w:tabs>
          <w:tab w:leader="none" w:pos="12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 times the sum of the executive's base salary and target annual bonus. Each form of payment is mutually exclusive based on the individual circumstances or events and therefore represents a single payment and should not be added together.</w:t>
      </w:r>
    </w:p>
    <w:p>
      <w:pPr>
        <w:spacing w:after="0" w:line="36" w:lineRule="exact"/>
        <w:rPr>
          <w:rFonts w:ascii="Arial" w:cs="Arial" w:eastAsia="Arial" w:hAnsi="Arial"/>
          <w:sz w:val="14"/>
          <w:szCs w:val="14"/>
          <w:color w:val="auto"/>
        </w:rPr>
      </w:pPr>
    </w:p>
    <w:p>
      <w:pPr>
        <w:ind w:left="1260" w:right="980" w:hanging="346"/>
        <w:spacing w:after="0" w:line="263" w:lineRule="auto"/>
        <w:tabs>
          <w:tab w:leader="none" w:pos="12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The annual incentive plan did not pay out in 2022, so the value represents the incremental difference between the target and actual bonus paid.</w:t>
      </w:r>
    </w:p>
    <w:p>
      <w:pPr>
        <w:spacing w:after="0" w:line="37" w:lineRule="exact"/>
        <w:rPr>
          <w:rFonts w:ascii="Arial" w:cs="Arial" w:eastAsia="Arial" w:hAnsi="Arial"/>
          <w:sz w:val="14"/>
          <w:szCs w:val="14"/>
          <w:color w:val="auto"/>
        </w:rPr>
      </w:pPr>
    </w:p>
    <w:p>
      <w:pPr>
        <w:ind w:left="1260" w:right="1000" w:hanging="346"/>
        <w:spacing w:after="0" w:line="252" w:lineRule="auto"/>
        <w:tabs>
          <w:tab w:leader="none" w:pos="12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in-the-money value of accelerated stock options based on the closing price of our common stock on December 30, 2022 ($50.65). As all accelerated options are underwater at this price, no values are shown. Upon a termination due to retirement after the first anniversary of the grant date, stock options will continue to vest subject to non-compete/non-solicit and reasonable notice restrictions. Upon a change-in-control, stock options will accelerate only if they are not assumed or substituted, and otherwise provide for a double trigger; values presume that the acquirer assumes outstanding stock options.</w:t>
      </w:r>
    </w:p>
    <w:p>
      <w:pPr>
        <w:spacing w:after="0" w:line="32" w:lineRule="exact"/>
        <w:rPr>
          <w:rFonts w:ascii="Arial" w:cs="Arial" w:eastAsia="Arial" w:hAnsi="Arial"/>
          <w:sz w:val="14"/>
          <w:szCs w:val="14"/>
          <w:color w:val="auto"/>
        </w:rPr>
      </w:pPr>
    </w:p>
    <w:p>
      <w:pPr>
        <w:ind w:left="1260" w:right="1080" w:hanging="346"/>
        <w:spacing w:after="0" w:line="263" w:lineRule="auto"/>
        <w:tabs>
          <w:tab w:leader="none" w:pos="12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 times the sum of base salary and target annual bonus, plus 2 years of continued benefits.</w:t>
      </w:r>
    </w:p>
    <w:p>
      <w:pPr>
        <w:spacing w:after="0" w:line="24" w:lineRule="exact"/>
        <w:rPr>
          <w:rFonts w:ascii="Arial" w:cs="Arial" w:eastAsia="Arial" w:hAnsi="Arial"/>
          <w:sz w:val="14"/>
          <w:szCs w:val="14"/>
          <w:color w:val="auto"/>
        </w:rPr>
      </w:pPr>
    </w:p>
    <w:p>
      <w:pPr>
        <w:ind w:left="1260" w:right="940" w:hanging="346"/>
        <w:spacing w:after="0" w:line="252" w:lineRule="auto"/>
        <w:tabs>
          <w:tab w:leader="none" w:pos="12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For the time-vested RSUs, upon termination due to death or disability, represents the accelerated value of the RSUs based on the closing price of our common stock on December 30, 2022 ($50.65). Upon a termination due to retirement after the first anniversary of the grant date, RSUs will continue to vest subject to non-compete/non-solicit and reasonable notice restrictions. 2022 awards are assumed forfeited, as retirement at December 30, 2022 is before the first anniversary of the grant date. Upon a change-in-control only (single trigger), RSUs that are not assumed by an acquirer will accelerate; values presume that the acquirer assumes applicable outstanding RSUs.</w:t>
      </w:r>
    </w:p>
    <w:p>
      <w:pPr>
        <w:spacing w:after="0" w:line="45" w:lineRule="exact"/>
        <w:rPr>
          <w:rFonts w:ascii="Arial" w:cs="Arial" w:eastAsia="Arial" w:hAnsi="Arial"/>
          <w:sz w:val="14"/>
          <w:szCs w:val="14"/>
          <w:color w:val="auto"/>
        </w:rPr>
      </w:pPr>
    </w:p>
    <w:p>
      <w:pPr>
        <w:ind w:left="1260" w:right="920" w:hanging="346"/>
        <w:spacing w:after="0" w:line="244" w:lineRule="auto"/>
        <w:tabs>
          <w:tab w:leader="none" w:pos="12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Upon a termination due to death or disability, awards will vest based on actual performance at the conclusion of the performance period ending in the year of death or disability. Shares continue to vest through the year of death or disability and all unvested shares are accelerated. Fiscal year 2021 and 2022 values assume target performance will be achieved. Upon a termination due to retirement after the first anniversary of the grant date, awards will vest in full based on actual performance at the end of the performance period (no pro-rated payout). 2022 awards are assumed forfeited, as retirement at December 30, 2022 is before the first anniversary of the grant date. Pursuant to our award agreements with this executive the PRSUs outstanding as of the change-in-control will be vested at the greater of target or actual performance for the performance period,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As of December 30, 2022, two three-year performance cycles (2021-2023 and 2022-2024) are not yet complete and the awards are tracking at target, so no incremental values are included in this table. For the 2020-2022 performance cycle, actual payouts were less than target and the value shown in the table represents the incremental difference between actual payout and target. Upon a termination following a change-in-control, value represents the incremental difference in values between target and actual performance (e.g. no value for cycles where actual payouts are greater than or equal to target amounts). Values are based on the closing price of our common stock on December 30, 2022 ($50.65).</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-48-</w:t>
            </w:r>
          </w:p>
        </w:tc>
      </w:tr>
      <w:tr>
        <w:trPr>
          <w:trHeight w:val="219"/>
        </w:trPr>
        <w:tc>
          <w:tcPr>
            <w:tcW w:w="316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52" w:name="page53"/>
    <w:bookmarkEnd w:id="52"/>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ITRON,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32385</wp:posOffset>
            </wp:positionV>
            <wp:extent cx="57518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Summary of Termination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32385</wp:posOffset>
            </wp:positionV>
            <wp:extent cx="575183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51830" cy="8890"/>
                    </a:xfrm>
                    <a:prstGeom prst="rect">
                      <a:avLst/>
                    </a:prstGeom>
                    <a:noFill/>
                  </pic:spPr>
                </pic:pic>
              </a:graphicData>
            </a:graphic>
          </wp:anchor>
        </w:drawing>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Michel C. Cadieux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32385</wp:posOffset>
            </wp:positionV>
            <wp:extent cx="57518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76" w:lineRule="exact"/>
        <w:rPr>
          <w:sz w:val="20"/>
          <w:szCs w:val="20"/>
          <w:color w:val="auto"/>
        </w:rPr>
      </w:pPr>
    </w:p>
    <w:tbl>
      <w:tblPr>
        <w:tblLayout w:type="fixed"/>
        <w:tblInd w:w="980" w:type="dxa"/>
        <w:tblCellMar>
          <w:top w:w="0" w:type="dxa"/>
          <w:left w:w="0" w:type="dxa"/>
          <w:bottom w:w="0" w:type="dxa"/>
          <w:right w:w="0" w:type="dxa"/>
        </w:tblCellMar>
      </w:tblPr>
      <w:tr>
        <w:trPr>
          <w:trHeight w:val="162"/>
        </w:trPr>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Termination</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Without Cause</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or by Executive</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for Good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Reason</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Following a</w:t>
            </w:r>
          </w:p>
        </w:tc>
        <w:tc>
          <w:tcPr>
            <w:tcW w:w="0" w:type="dxa"/>
            <w:vAlign w:val="bottom"/>
          </w:tcPr>
          <w:p>
            <w:pPr>
              <w:spacing w:after="0"/>
              <w:rPr>
                <w:sz w:val="1"/>
                <w:szCs w:val="1"/>
                <w:color w:val="auto"/>
              </w:rPr>
            </w:pPr>
          </w:p>
        </w:tc>
      </w:tr>
      <w:tr>
        <w:trPr>
          <w:trHeight w:val="162"/>
        </w:trPr>
        <w:tc>
          <w:tcPr>
            <w:tcW w:w="1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Executive Benefits</w:t>
            </w:r>
            <w:r>
              <w:rPr>
                <w:rFonts w:ascii="Arial" w:cs="Arial" w:eastAsia="Arial" w:hAnsi="Arial"/>
                <w:sz w:val="23"/>
                <w:szCs w:val="23"/>
                <w:b w:val="1"/>
                <w:bCs w:val="1"/>
                <w:color w:val="auto"/>
                <w:vertAlign w:val="superscript"/>
              </w:rPr>
              <w:t>(1)</w:t>
            </w:r>
          </w:p>
        </w:tc>
        <w:tc>
          <w:tcPr>
            <w:tcW w:w="160" w:type="dxa"/>
            <w:vAlign w:val="bottom"/>
            <w:vMerge w:val="restart"/>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Termination</w:t>
            </w: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Voluntary</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ind w:left="120"/>
              <w:spacing w:after="0"/>
              <w:rPr>
                <w:sz w:val="20"/>
                <w:szCs w:val="20"/>
                <w:color w:val="auto"/>
              </w:rPr>
            </w:pPr>
            <w:r>
              <w:rPr>
                <w:rFonts w:ascii="Arial" w:cs="Arial" w:eastAsia="Arial" w:hAnsi="Arial"/>
                <w:sz w:val="14"/>
                <w:szCs w:val="14"/>
                <w:b w:val="1"/>
                <w:bCs w:val="1"/>
                <w:color w:val="auto"/>
              </w:rPr>
              <w:t>Without</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Change-in-</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Change-in-</w:t>
            </w:r>
          </w:p>
        </w:tc>
        <w:tc>
          <w:tcPr>
            <w:tcW w:w="0" w:type="dxa"/>
            <w:vAlign w:val="bottom"/>
          </w:tcPr>
          <w:p>
            <w:pPr>
              <w:spacing w:after="0"/>
              <w:rPr>
                <w:sz w:val="1"/>
                <w:szCs w:val="1"/>
                <w:color w:val="auto"/>
              </w:rPr>
            </w:pPr>
          </w:p>
        </w:tc>
      </w:tr>
      <w:tr>
        <w:trPr>
          <w:trHeight w:val="212"/>
        </w:trPr>
        <w:tc>
          <w:tcPr>
            <w:tcW w:w="166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for Cause</w:t>
            </w:r>
          </w:p>
        </w:tc>
        <w:tc>
          <w:tcPr>
            <w:tcW w:w="1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Death</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Disability</w:t>
            </w:r>
          </w:p>
        </w:tc>
        <w:tc>
          <w:tcPr>
            <w:tcW w:w="140" w:type="dxa"/>
            <w:vAlign w:val="bottom"/>
          </w:tcPr>
          <w:p>
            <w:pPr>
              <w:spacing w:after="0"/>
              <w:rPr>
                <w:sz w:val="18"/>
                <w:szCs w:val="18"/>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Retirement</w:t>
            </w:r>
          </w:p>
        </w:tc>
        <w:tc>
          <w:tcPr>
            <w:tcW w:w="960" w:type="dxa"/>
            <w:vAlign w:val="bottom"/>
            <w:gridSpan w:val="3"/>
          </w:tcPr>
          <w:p>
            <w:pPr>
              <w:ind w:left="200"/>
              <w:spacing w:after="0"/>
              <w:rPr>
                <w:sz w:val="20"/>
                <w:szCs w:val="20"/>
                <w:color w:val="auto"/>
              </w:rPr>
            </w:pPr>
            <w:r>
              <w:rPr>
                <w:rFonts w:ascii="Arial" w:cs="Arial" w:eastAsia="Arial" w:hAnsi="Arial"/>
                <w:sz w:val="14"/>
                <w:szCs w:val="14"/>
                <w:b w:val="1"/>
                <w:bCs w:val="1"/>
                <w:color w:val="auto"/>
              </w:rPr>
              <w:t>Cause</w:t>
            </w:r>
          </w:p>
        </w:tc>
        <w:tc>
          <w:tcPr>
            <w:tcW w:w="900" w:type="dxa"/>
            <w:vAlign w:val="bottom"/>
            <w:gridSpan w:val="3"/>
          </w:tcPr>
          <w:p>
            <w:pPr>
              <w:ind w:left="120"/>
              <w:spacing w:after="0"/>
              <w:rPr>
                <w:sz w:val="20"/>
                <w:szCs w:val="20"/>
                <w:color w:val="auto"/>
              </w:rPr>
            </w:pPr>
            <w:r>
              <w:rPr>
                <w:rFonts w:ascii="Arial" w:cs="Arial" w:eastAsia="Arial" w:hAnsi="Arial"/>
                <w:sz w:val="14"/>
                <w:szCs w:val="14"/>
                <w:b w:val="1"/>
                <w:bCs w:val="1"/>
                <w:color w:val="auto"/>
              </w:rPr>
              <w:t>Control</w:t>
            </w:r>
          </w:p>
        </w:tc>
        <w:tc>
          <w:tcPr>
            <w:tcW w:w="280" w:type="dxa"/>
            <w:vAlign w:val="bottom"/>
          </w:tcPr>
          <w:p>
            <w:pPr>
              <w:spacing w:after="0"/>
              <w:rPr>
                <w:sz w:val="18"/>
                <w:szCs w:val="18"/>
                <w:color w:val="auto"/>
              </w:rPr>
            </w:pPr>
          </w:p>
        </w:tc>
        <w:tc>
          <w:tcPr>
            <w:tcW w:w="820" w:type="dxa"/>
            <w:vAlign w:val="bottom"/>
          </w:tcPr>
          <w:p>
            <w:pPr>
              <w:jc w:val="center"/>
              <w:ind w:right="216"/>
              <w:spacing w:after="0"/>
              <w:rPr>
                <w:sz w:val="20"/>
                <w:szCs w:val="20"/>
                <w:color w:val="auto"/>
              </w:rPr>
            </w:pPr>
            <w:r>
              <w:rPr>
                <w:rFonts w:ascii="Arial" w:cs="Arial" w:eastAsia="Arial" w:hAnsi="Arial"/>
                <w:sz w:val="14"/>
                <w:szCs w:val="14"/>
                <w:b w:val="1"/>
                <w:bCs w:val="1"/>
                <w:color w:val="auto"/>
              </w:rPr>
              <w:t>Control</w:t>
            </w:r>
          </w:p>
        </w:tc>
        <w:tc>
          <w:tcPr>
            <w:tcW w:w="0" w:type="dxa"/>
            <w:vAlign w:val="bottom"/>
          </w:tcPr>
          <w:p>
            <w:pPr>
              <w:spacing w:after="0"/>
              <w:rPr>
                <w:sz w:val="1"/>
                <w:szCs w:val="1"/>
                <w:color w:val="auto"/>
              </w:rPr>
            </w:pPr>
          </w:p>
        </w:tc>
      </w:tr>
      <w:tr>
        <w:trPr>
          <w:trHeight w:val="253"/>
        </w:trPr>
        <w:tc>
          <w:tcPr>
            <w:tcW w:w="166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Annual Incentive</w:t>
            </w:r>
            <w:r>
              <w:rPr>
                <w:rFonts w:ascii="Arial" w:cs="Arial" w:eastAsia="Arial" w:hAnsi="Arial"/>
                <w:sz w:val="20"/>
                <w:szCs w:val="20"/>
                <w:color w:val="auto"/>
                <w:vertAlign w:val="superscript"/>
              </w:rPr>
              <w:t>(2)</w:t>
            </w:r>
          </w:p>
        </w:tc>
        <w:tc>
          <w:tcPr>
            <w:tcW w:w="160" w:type="dxa"/>
            <w:vAlign w:val="bottom"/>
          </w:tcPr>
          <w:p>
            <w:pPr>
              <w:spacing w:after="0"/>
              <w:rPr>
                <w:sz w:val="22"/>
                <w:szCs w:val="22"/>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2"/>
              </w:rPr>
              <w:t>$ —</w:t>
            </w:r>
          </w:p>
        </w:tc>
        <w:tc>
          <w:tcPr>
            <w:tcW w:w="140" w:type="dxa"/>
            <w:vAlign w:val="bottom"/>
          </w:tcPr>
          <w:p>
            <w:pPr>
              <w:spacing w:after="0"/>
              <w:rPr>
                <w:sz w:val="22"/>
                <w:szCs w:val="22"/>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2"/>
              </w:rPr>
              <w:t>$ —</w:t>
            </w:r>
          </w:p>
        </w:tc>
        <w:tc>
          <w:tcPr>
            <w:tcW w:w="120" w:type="dxa"/>
            <w:vAlign w:val="bottom"/>
          </w:tcPr>
          <w:p>
            <w:pPr>
              <w:spacing w:after="0"/>
              <w:rPr>
                <w:sz w:val="22"/>
                <w:szCs w:val="2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240" w:type="dxa"/>
            <w:vAlign w:val="bottom"/>
            <w:tcBorders>
              <w:top w:val="single" w:sz="8" w:color="auto"/>
            </w:tcBorders>
          </w:tcPr>
          <w:p>
            <w:pPr>
              <w:ind w:left="140"/>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80" w:type="dxa"/>
            <w:vAlign w:val="bottom"/>
            <w:tcBorders>
              <w:top w:val="single" w:sz="8" w:color="auto"/>
            </w:tcBorders>
          </w:tcPr>
          <w:p>
            <w:pPr>
              <w:ind w:left="12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w w:val="93"/>
              </w:rPr>
              <w:t>307,500</w:t>
            </w:r>
          </w:p>
        </w:tc>
        <w:tc>
          <w:tcPr>
            <w:tcW w:w="140" w:type="dxa"/>
            <w:vAlign w:val="bottom"/>
          </w:tcPr>
          <w:p>
            <w:pPr>
              <w:spacing w:after="0"/>
              <w:rPr>
                <w:sz w:val="22"/>
                <w:szCs w:val="22"/>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tcPr>
          <w:p>
            <w:pPr>
              <w:jc w:val="right"/>
              <w:ind w:right="196"/>
              <w:spacing w:after="0"/>
              <w:rPr>
                <w:sz w:val="20"/>
                <w:szCs w:val="20"/>
                <w:color w:val="auto"/>
              </w:rPr>
            </w:pPr>
            <w:r>
              <w:rPr>
                <w:rFonts w:ascii="Arial" w:cs="Arial" w:eastAsia="Arial" w:hAnsi="Arial"/>
                <w:sz w:val="13"/>
                <w:szCs w:val="13"/>
                <w:color w:val="auto"/>
              </w:rPr>
              <w:t>307,500</w:t>
            </w:r>
          </w:p>
        </w:tc>
        <w:tc>
          <w:tcPr>
            <w:tcW w:w="0" w:type="dxa"/>
            <w:vAlign w:val="bottom"/>
          </w:tcPr>
          <w:p>
            <w:pPr>
              <w:spacing w:after="0"/>
              <w:rPr>
                <w:sz w:val="1"/>
                <w:szCs w:val="1"/>
                <w:color w:val="auto"/>
              </w:rPr>
            </w:pPr>
          </w:p>
        </w:tc>
      </w:tr>
      <w:tr>
        <w:trPr>
          <w:trHeight w:val="229"/>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Accelerated Stock Options</w:t>
            </w:r>
            <w:r>
              <w:rPr>
                <w:rFonts w:ascii="Arial" w:cs="Arial" w:eastAsia="Arial" w:hAnsi="Arial"/>
                <w:sz w:val="20"/>
                <w:szCs w:val="20"/>
                <w:color w:val="auto"/>
                <w:vertAlign w:val="superscript"/>
              </w:rPr>
              <w:t>(3)</w:t>
            </w:r>
          </w:p>
        </w:tc>
        <w:tc>
          <w:tcPr>
            <w:tcW w:w="98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 —</w:t>
            </w:r>
          </w:p>
        </w:tc>
        <w:tc>
          <w:tcPr>
            <w:tcW w:w="96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 —</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tcPr>
          <w:p>
            <w:pPr>
              <w:ind w:left="1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9"/>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Severance</w:t>
            </w:r>
            <w:r>
              <w:rPr>
                <w:rFonts w:ascii="Arial" w:cs="Arial" w:eastAsia="Arial" w:hAnsi="Arial"/>
                <w:sz w:val="20"/>
                <w:szCs w:val="20"/>
                <w:color w:val="auto"/>
                <w:vertAlign w:val="superscript"/>
              </w:rPr>
              <w:t>(4)</w:t>
            </w:r>
          </w:p>
        </w:tc>
        <w:tc>
          <w:tcPr>
            <w:tcW w:w="98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 —</w:t>
            </w:r>
          </w:p>
        </w:tc>
        <w:tc>
          <w:tcPr>
            <w:tcW w:w="96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 —</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tcPr>
          <w:p>
            <w:pPr>
              <w:ind w:left="14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w w:val="93"/>
              </w:rPr>
              <w:t>410,000</w:t>
            </w:r>
          </w:p>
        </w:tc>
        <w:tc>
          <w:tcPr>
            <w:tcW w:w="140" w:type="dxa"/>
            <w:vAlign w:val="bottom"/>
          </w:tcPr>
          <w:p>
            <w:pPr>
              <w:spacing w:after="0"/>
              <w:rPr>
                <w:sz w:val="19"/>
                <w:szCs w:val="19"/>
                <w:color w:val="auto"/>
              </w:rPr>
            </w:pP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96"/>
              <w:spacing w:after="0"/>
              <w:rPr>
                <w:sz w:val="20"/>
                <w:szCs w:val="20"/>
                <w:color w:val="auto"/>
              </w:rPr>
            </w:pPr>
            <w:r>
              <w:rPr>
                <w:rFonts w:ascii="Arial" w:cs="Arial" w:eastAsia="Arial" w:hAnsi="Arial"/>
                <w:sz w:val="13"/>
                <w:szCs w:val="13"/>
                <w:color w:val="auto"/>
                <w:w w:val="93"/>
              </w:rPr>
              <w:t>1,435,000</w:t>
            </w:r>
          </w:p>
        </w:tc>
        <w:tc>
          <w:tcPr>
            <w:tcW w:w="0" w:type="dxa"/>
            <w:vAlign w:val="bottom"/>
          </w:tcPr>
          <w:p>
            <w:pPr>
              <w:spacing w:after="0"/>
              <w:rPr>
                <w:sz w:val="1"/>
                <w:szCs w:val="1"/>
                <w:color w:val="auto"/>
              </w:rPr>
            </w:pPr>
          </w:p>
        </w:tc>
      </w:tr>
      <w:tr>
        <w:trPr>
          <w:trHeight w:val="230"/>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Benefit Continuation</w:t>
            </w:r>
            <w:r>
              <w:rPr>
                <w:rFonts w:ascii="Arial" w:cs="Arial" w:eastAsia="Arial" w:hAnsi="Arial"/>
                <w:sz w:val="20"/>
                <w:szCs w:val="20"/>
                <w:color w:val="auto"/>
                <w:vertAlign w:val="superscript"/>
              </w:rPr>
              <w:t>(4)</w:t>
            </w:r>
          </w:p>
        </w:tc>
        <w:tc>
          <w:tcPr>
            <w:tcW w:w="98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 —</w:t>
            </w:r>
          </w:p>
        </w:tc>
        <w:tc>
          <w:tcPr>
            <w:tcW w:w="96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 —</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tcPr>
          <w:p>
            <w:pPr>
              <w:ind w:left="140"/>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77"/>
              <w:spacing w:after="0"/>
              <w:rPr>
                <w:sz w:val="20"/>
                <w:szCs w:val="20"/>
                <w:color w:val="auto"/>
              </w:rPr>
            </w:pPr>
            <w:r>
              <w:rPr>
                <w:rFonts w:ascii="Arial" w:cs="Arial" w:eastAsia="Arial" w:hAnsi="Arial"/>
                <w:sz w:val="13"/>
                <w:szCs w:val="13"/>
                <w:color w:val="auto"/>
              </w:rPr>
              <w:t>28,184</w:t>
            </w:r>
          </w:p>
        </w:tc>
        <w:tc>
          <w:tcPr>
            <w:tcW w:w="140" w:type="dxa"/>
            <w:vAlign w:val="bottom"/>
          </w:tcPr>
          <w:p>
            <w:pPr>
              <w:spacing w:after="0"/>
              <w:rPr>
                <w:sz w:val="19"/>
                <w:szCs w:val="19"/>
                <w:color w:val="auto"/>
              </w:rPr>
            </w:pP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96"/>
              <w:spacing w:after="0"/>
              <w:rPr>
                <w:sz w:val="20"/>
                <w:szCs w:val="20"/>
                <w:color w:val="auto"/>
              </w:rPr>
            </w:pPr>
            <w:r>
              <w:rPr>
                <w:rFonts w:ascii="Arial" w:cs="Arial" w:eastAsia="Arial" w:hAnsi="Arial"/>
                <w:sz w:val="13"/>
                <w:szCs w:val="13"/>
                <w:color w:val="auto"/>
              </w:rPr>
              <w:t>38,368</w:t>
            </w:r>
          </w:p>
        </w:tc>
        <w:tc>
          <w:tcPr>
            <w:tcW w:w="0" w:type="dxa"/>
            <w:vAlign w:val="bottom"/>
          </w:tcPr>
          <w:p>
            <w:pPr>
              <w:spacing w:after="0"/>
              <w:rPr>
                <w:sz w:val="1"/>
                <w:szCs w:val="1"/>
                <w:color w:val="auto"/>
              </w:rPr>
            </w:pPr>
          </w:p>
        </w:tc>
      </w:tr>
      <w:tr>
        <w:trPr>
          <w:trHeight w:val="229"/>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Accelerated RSUs</w:t>
            </w:r>
            <w:r>
              <w:rPr>
                <w:rFonts w:ascii="Arial" w:cs="Arial" w:eastAsia="Arial" w:hAnsi="Arial"/>
                <w:sz w:val="20"/>
                <w:szCs w:val="20"/>
                <w:color w:val="auto"/>
                <w:vertAlign w:val="superscript"/>
              </w:rPr>
              <w:t>(5)</w:t>
            </w:r>
          </w:p>
        </w:tc>
        <w:tc>
          <w:tcPr>
            <w:tcW w:w="98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 —</w:t>
            </w:r>
          </w:p>
        </w:tc>
        <w:tc>
          <w:tcPr>
            <w:tcW w:w="96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 —</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w w:val="93"/>
              </w:rPr>
              <w:t>565,710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3"/>
              </w:rPr>
              <w:t>565,710</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w w:val="93"/>
              </w:rPr>
              <w:t>190,191</w:t>
            </w:r>
          </w:p>
        </w:tc>
        <w:tc>
          <w:tcPr>
            <w:tcW w:w="140" w:type="dxa"/>
            <w:vAlign w:val="bottom"/>
          </w:tcPr>
          <w:p>
            <w:pPr>
              <w:spacing w:after="0"/>
              <w:rPr>
                <w:sz w:val="19"/>
                <w:szCs w:val="19"/>
                <w:color w:val="auto"/>
              </w:rPr>
            </w:pPr>
          </w:p>
        </w:tc>
        <w:tc>
          <w:tcPr>
            <w:tcW w:w="240" w:type="dxa"/>
            <w:vAlign w:val="bottom"/>
          </w:tcPr>
          <w:p>
            <w:pPr>
              <w:ind w:left="1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96"/>
              <w:spacing w:after="0"/>
              <w:rPr>
                <w:sz w:val="20"/>
                <w:szCs w:val="20"/>
                <w:color w:val="auto"/>
              </w:rPr>
            </w:pPr>
            <w:r>
              <w:rPr>
                <w:rFonts w:ascii="Arial" w:cs="Arial" w:eastAsia="Arial" w:hAnsi="Arial"/>
                <w:sz w:val="13"/>
                <w:szCs w:val="13"/>
                <w:color w:val="auto"/>
              </w:rPr>
              <w:t>565,710</w:t>
            </w:r>
          </w:p>
        </w:tc>
        <w:tc>
          <w:tcPr>
            <w:tcW w:w="0" w:type="dxa"/>
            <w:vAlign w:val="bottom"/>
          </w:tcPr>
          <w:p>
            <w:pPr>
              <w:spacing w:after="0"/>
              <w:rPr>
                <w:sz w:val="1"/>
                <w:szCs w:val="1"/>
                <w:color w:val="auto"/>
              </w:rPr>
            </w:pPr>
          </w:p>
        </w:tc>
      </w:tr>
      <w:tr>
        <w:trPr>
          <w:trHeight w:val="279"/>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Accelerated PRSUs</w:t>
            </w:r>
            <w:r>
              <w:rPr>
                <w:rFonts w:ascii="Arial" w:cs="Arial" w:eastAsia="Arial" w:hAnsi="Arial"/>
                <w:sz w:val="20"/>
                <w:szCs w:val="20"/>
                <w:color w:val="auto"/>
                <w:vertAlign w:val="superscript"/>
              </w:rPr>
              <w:t>(6)</w:t>
            </w:r>
          </w:p>
        </w:tc>
        <w:tc>
          <w:tcPr>
            <w:tcW w:w="98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 —</w:t>
            </w:r>
          </w:p>
        </w:tc>
        <w:tc>
          <w:tcPr>
            <w:tcW w:w="96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 —</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w w:val="93"/>
              </w:rPr>
              <w:t>464,496</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w w:val="93"/>
              </w:rPr>
              <w:t>464,496</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w w:val="93"/>
              </w:rPr>
              <w:t>260,645</w:t>
            </w:r>
          </w:p>
        </w:tc>
        <w:tc>
          <w:tcPr>
            <w:tcW w:w="140" w:type="dxa"/>
            <w:vAlign w:val="bottom"/>
          </w:tcPr>
          <w:p>
            <w:pPr>
              <w:spacing w:after="0"/>
              <w:rPr>
                <w:sz w:val="24"/>
                <w:szCs w:val="24"/>
                <w:color w:val="auto"/>
              </w:rPr>
            </w:pPr>
          </w:p>
        </w:tc>
        <w:tc>
          <w:tcPr>
            <w:tcW w:w="240" w:type="dxa"/>
            <w:vAlign w:val="bottom"/>
          </w:tcPr>
          <w:p>
            <w:pPr>
              <w:ind w:left="14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ind w:left="12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96"/>
              <w:spacing w:after="0"/>
              <w:rPr>
                <w:sz w:val="20"/>
                <w:szCs w:val="20"/>
                <w:color w:val="auto"/>
              </w:rPr>
            </w:pPr>
            <w:r>
              <w:rPr>
                <w:rFonts w:ascii="Arial" w:cs="Arial" w:eastAsia="Arial" w:hAnsi="Arial"/>
                <w:sz w:val="13"/>
                <w:szCs w:val="13"/>
                <w:color w:val="auto"/>
              </w:rPr>
              <w:t>173,476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78105</wp:posOffset>
            </wp:positionV>
            <wp:extent cx="8229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5" w:lineRule="exact"/>
        <w:rPr>
          <w:sz w:val="20"/>
          <w:szCs w:val="20"/>
          <w:color w:val="auto"/>
        </w:rPr>
      </w:pPr>
    </w:p>
    <w:p>
      <w:pPr>
        <w:ind w:left="1260" w:right="1000" w:hanging="346"/>
        <w:spacing w:after="0" w:line="248" w:lineRule="auto"/>
        <w:tabs>
          <w:tab w:leader="none" w:pos="12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 times the sum of the executive's base salary and target annual bonus. Each form of payment is mutually exclusive based on the individual circumstances or events and therefore represents a single payment and should not be added together.</w:t>
      </w:r>
    </w:p>
    <w:p>
      <w:pPr>
        <w:spacing w:after="0" w:line="36" w:lineRule="exact"/>
        <w:rPr>
          <w:rFonts w:ascii="Arial" w:cs="Arial" w:eastAsia="Arial" w:hAnsi="Arial"/>
          <w:sz w:val="14"/>
          <w:szCs w:val="14"/>
          <w:color w:val="auto"/>
        </w:rPr>
      </w:pPr>
    </w:p>
    <w:p>
      <w:pPr>
        <w:ind w:left="1260" w:right="980" w:hanging="346"/>
        <w:spacing w:after="0" w:line="263" w:lineRule="auto"/>
        <w:tabs>
          <w:tab w:leader="none" w:pos="12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The annual incentive plan did not pay out in 2022, so the value represents the incremental difference between the target and actual bonus paid.</w:t>
      </w:r>
    </w:p>
    <w:p>
      <w:pPr>
        <w:spacing w:after="0" w:line="37" w:lineRule="exact"/>
        <w:rPr>
          <w:rFonts w:ascii="Arial" w:cs="Arial" w:eastAsia="Arial" w:hAnsi="Arial"/>
          <w:sz w:val="14"/>
          <w:szCs w:val="14"/>
          <w:color w:val="auto"/>
        </w:rPr>
      </w:pPr>
    </w:p>
    <w:p>
      <w:pPr>
        <w:ind w:left="1260" w:right="1000" w:hanging="346"/>
        <w:spacing w:after="0" w:line="252" w:lineRule="auto"/>
        <w:tabs>
          <w:tab w:leader="none" w:pos="12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in-the-money value of accelerated stock options based on the closing price of our common stock on December 30, 2022 ($50.65). As all accelerated options are underwater at this price, no values are shown. Upon a termination due to retirement after the first anniversary of the grant date, stock options will continue to vest subject to non-compete/non-solicit and reasonable notice restrictions. Upon a change-in-control, stock options will accelerate only if they are not assumed or substituted, and otherwise provide for a double trigger; values presume that the acquirer assumes outstanding stock options.</w:t>
      </w:r>
    </w:p>
    <w:p>
      <w:pPr>
        <w:spacing w:after="0" w:line="32" w:lineRule="exact"/>
        <w:rPr>
          <w:rFonts w:ascii="Arial" w:cs="Arial" w:eastAsia="Arial" w:hAnsi="Arial"/>
          <w:sz w:val="14"/>
          <w:szCs w:val="14"/>
          <w:color w:val="auto"/>
        </w:rPr>
      </w:pPr>
    </w:p>
    <w:p>
      <w:pPr>
        <w:ind w:left="1260" w:right="1080" w:hanging="346"/>
        <w:spacing w:after="0" w:line="263" w:lineRule="auto"/>
        <w:tabs>
          <w:tab w:leader="none" w:pos="12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 times the sum of base salary and target annual bonus, plus 2 years of continued benefits.</w:t>
      </w:r>
    </w:p>
    <w:p>
      <w:pPr>
        <w:spacing w:after="0" w:line="24" w:lineRule="exact"/>
        <w:rPr>
          <w:rFonts w:ascii="Arial" w:cs="Arial" w:eastAsia="Arial" w:hAnsi="Arial"/>
          <w:sz w:val="14"/>
          <w:szCs w:val="14"/>
          <w:color w:val="auto"/>
        </w:rPr>
      </w:pPr>
    </w:p>
    <w:p>
      <w:pPr>
        <w:ind w:left="1260" w:right="940" w:hanging="346"/>
        <w:spacing w:after="0" w:line="252" w:lineRule="auto"/>
        <w:tabs>
          <w:tab w:leader="none" w:pos="12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For the time-vested RSUs, upon termination due to death or disability, represents the accelerated value of the RSUs based on the closing price of our common stock on December 30, 2022 ($50.65). Upon a termination due to retirement after the first anniversary of the grant date, RSUs will continue to vest subject to non-compete/non-solicit and reasonable notice restrictions. 2022 awards are assumed forfeited, as retirement at December 30, 2022 is before the first anniversary of the grant date. Upon a change-in-control only (single trigger), RSUs that are not assumed by an acquirer will accelerate; values presume that the acquirer assumes applicable outstanding RSUs.</w:t>
      </w:r>
    </w:p>
    <w:p>
      <w:pPr>
        <w:spacing w:after="0" w:line="45" w:lineRule="exact"/>
        <w:rPr>
          <w:rFonts w:ascii="Arial" w:cs="Arial" w:eastAsia="Arial" w:hAnsi="Arial"/>
          <w:sz w:val="14"/>
          <w:szCs w:val="14"/>
          <w:color w:val="auto"/>
        </w:rPr>
      </w:pPr>
    </w:p>
    <w:p>
      <w:pPr>
        <w:ind w:left="1260" w:right="920" w:hanging="346"/>
        <w:spacing w:after="0" w:line="244" w:lineRule="auto"/>
        <w:tabs>
          <w:tab w:leader="none" w:pos="12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Upon a termination due to death or disability, awards will vest based on actual performance at the conclusion of the performance period ending in the year of death or disability. Shares continue to vest through the year of death or disability and all unvested shares are accelerated. Fiscal year 2021 and 2022 values assume target performance will be achieved. Upon a termination due to retirement after the first anniversary of the grant date, awards will vest in full based on actual performance at the end of the performance period (no pro-rated payout). 2022 awards are assumed forfeited, as retirement at December 30, 2022 is before the first anniversary of the grant date. Pursuant to our award agreements with this executive the PRSUs outstanding as of the change-in-control will be vested at the greater of target or actual performance for the performance period,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As of December 30, 2022, two three-year performance cycles (2021-2023 and 2022-2024) are not yet complete and the awards are tracking at target, so no incremental values are included in this table. For the 2020-2022 performance cycle, actual payouts were less than target and the value shown in the table represents the incremental difference between actual payout and target. Upon a termination following a change-in-control, value represents the incremental difference in values between target and actual performance (e.g. no value for cycles where actual payouts are greater than or equal to target amounts). Values are based on the closing price of our common stock on December 30, 2022 ($50.65).</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-49-</w:t>
            </w:r>
          </w:p>
        </w:tc>
      </w:tr>
      <w:tr>
        <w:trPr>
          <w:trHeight w:val="219"/>
        </w:trPr>
        <w:tc>
          <w:tcPr>
            <w:tcW w:w="316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53" w:name="page54"/>
    <w:bookmarkEnd w:id="53"/>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ITRON,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32385</wp:posOffset>
            </wp:positionV>
            <wp:extent cx="57518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Summary of Termination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32385</wp:posOffset>
            </wp:positionV>
            <wp:extent cx="57518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Donald L. Reeves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32385</wp:posOffset>
            </wp:positionV>
            <wp:extent cx="57518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76" w:lineRule="exact"/>
        <w:rPr>
          <w:sz w:val="20"/>
          <w:szCs w:val="20"/>
          <w:color w:val="auto"/>
        </w:rPr>
      </w:pPr>
    </w:p>
    <w:tbl>
      <w:tblPr>
        <w:tblLayout w:type="fixed"/>
        <w:tblInd w:w="980" w:type="dxa"/>
        <w:tblCellMar>
          <w:top w:w="0" w:type="dxa"/>
          <w:left w:w="0" w:type="dxa"/>
          <w:bottom w:w="0" w:type="dxa"/>
          <w:right w:w="0" w:type="dxa"/>
        </w:tblCellMar>
      </w:tblPr>
      <w:tr>
        <w:trPr>
          <w:trHeight w:val="162"/>
        </w:trPr>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Termination</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Without Cause</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or by Executive</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for Good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Reason</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Change-</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Following a</w:t>
            </w:r>
          </w:p>
        </w:tc>
        <w:tc>
          <w:tcPr>
            <w:tcW w:w="0" w:type="dxa"/>
            <w:vAlign w:val="bottom"/>
          </w:tcPr>
          <w:p>
            <w:pPr>
              <w:spacing w:after="0"/>
              <w:rPr>
                <w:sz w:val="1"/>
                <w:szCs w:val="1"/>
                <w:color w:val="auto"/>
              </w:rPr>
            </w:pPr>
          </w:p>
        </w:tc>
      </w:tr>
      <w:tr>
        <w:trPr>
          <w:trHeight w:val="162"/>
        </w:trPr>
        <w:tc>
          <w:tcPr>
            <w:tcW w:w="1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Executive Benefits</w:t>
            </w:r>
            <w:r>
              <w:rPr>
                <w:rFonts w:ascii="Arial" w:cs="Arial" w:eastAsia="Arial" w:hAnsi="Arial"/>
                <w:sz w:val="23"/>
                <w:szCs w:val="23"/>
                <w:b w:val="1"/>
                <w:bCs w:val="1"/>
                <w:color w:val="auto"/>
                <w:vertAlign w:val="superscript"/>
              </w:rPr>
              <w:t>(1)</w:t>
            </w:r>
          </w:p>
        </w:tc>
        <w:tc>
          <w:tcPr>
            <w:tcW w:w="160" w:type="dxa"/>
            <w:vAlign w:val="bottom"/>
            <w:vMerge w:val="restart"/>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Termination</w:t>
            </w: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Voluntary</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ind w:left="120"/>
              <w:spacing w:after="0"/>
              <w:rPr>
                <w:sz w:val="20"/>
                <w:szCs w:val="20"/>
                <w:color w:val="auto"/>
              </w:rPr>
            </w:pPr>
            <w:r>
              <w:rPr>
                <w:rFonts w:ascii="Arial" w:cs="Arial" w:eastAsia="Arial" w:hAnsi="Arial"/>
                <w:sz w:val="14"/>
                <w:szCs w:val="14"/>
                <w:b w:val="1"/>
                <w:bCs w:val="1"/>
                <w:color w:val="auto"/>
              </w:rPr>
              <w:t>Without</w:t>
            </w:r>
          </w:p>
        </w:tc>
        <w:tc>
          <w:tcPr>
            <w:tcW w:w="180" w:type="dxa"/>
            <w:vAlign w:val="bottom"/>
          </w:tcPr>
          <w:p>
            <w:pPr>
              <w:spacing w:after="0"/>
              <w:rPr>
                <w:sz w:val="14"/>
                <w:szCs w:val="14"/>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Change-in-</w:t>
            </w:r>
          </w:p>
        </w:tc>
        <w:tc>
          <w:tcPr>
            <w:tcW w:w="0" w:type="dxa"/>
            <w:vAlign w:val="bottom"/>
          </w:tcPr>
          <w:p>
            <w:pPr>
              <w:spacing w:after="0"/>
              <w:rPr>
                <w:sz w:val="1"/>
                <w:szCs w:val="1"/>
                <w:color w:val="auto"/>
              </w:rPr>
            </w:pPr>
          </w:p>
        </w:tc>
      </w:tr>
      <w:tr>
        <w:trPr>
          <w:trHeight w:val="212"/>
        </w:trPr>
        <w:tc>
          <w:tcPr>
            <w:tcW w:w="166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for Cause</w:t>
            </w: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Death</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Disability</w:t>
            </w:r>
          </w:p>
        </w:tc>
        <w:tc>
          <w:tcPr>
            <w:tcW w:w="12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Retirement</w:t>
            </w:r>
          </w:p>
        </w:tc>
        <w:tc>
          <w:tcPr>
            <w:tcW w:w="960" w:type="dxa"/>
            <w:vAlign w:val="bottom"/>
            <w:gridSpan w:val="3"/>
          </w:tcPr>
          <w:p>
            <w:pPr>
              <w:ind w:left="200"/>
              <w:spacing w:after="0"/>
              <w:rPr>
                <w:sz w:val="20"/>
                <w:szCs w:val="20"/>
                <w:color w:val="auto"/>
              </w:rPr>
            </w:pPr>
            <w:r>
              <w:rPr>
                <w:rFonts w:ascii="Arial" w:cs="Arial" w:eastAsia="Arial" w:hAnsi="Arial"/>
                <w:sz w:val="14"/>
                <w:szCs w:val="14"/>
                <w:b w:val="1"/>
                <w:bCs w:val="1"/>
                <w:color w:val="auto"/>
              </w:rPr>
              <w:t>Cause</w:t>
            </w:r>
          </w:p>
        </w:tc>
        <w:tc>
          <w:tcPr>
            <w:tcW w:w="880" w:type="dxa"/>
            <w:vAlign w:val="bottom"/>
            <w:gridSpan w:val="3"/>
          </w:tcPr>
          <w:p>
            <w:pPr>
              <w:ind w:left="120"/>
              <w:spacing w:after="0"/>
              <w:rPr>
                <w:sz w:val="20"/>
                <w:szCs w:val="20"/>
                <w:color w:val="auto"/>
              </w:rPr>
            </w:pPr>
            <w:r>
              <w:rPr>
                <w:rFonts w:ascii="Arial" w:cs="Arial" w:eastAsia="Arial" w:hAnsi="Arial"/>
                <w:sz w:val="14"/>
                <w:szCs w:val="14"/>
                <w:b w:val="1"/>
                <w:bCs w:val="1"/>
                <w:color w:val="auto"/>
              </w:rPr>
              <w:t>Control</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Control</w:t>
            </w: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1660" w:type="dxa"/>
            <w:vAlign w:val="bottom"/>
          </w:tcPr>
          <w:p>
            <w:pPr>
              <w:ind w:left="20"/>
              <w:spacing w:after="0"/>
              <w:rPr>
                <w:sz w:val="20"/>
                <w:szCs w:val="20"/>
                <w:color w:val="auto"/>
              </w:rPr>
            </w:pPr>
            <w:r>
              <w:rPr>
                <w:rFonts w:ascii="Arial" w:cs="Arial" w:eastAsia="Arial" w:hAnsi="Arial"/>
                <w:sz w:val="13"/>
                <w:szCs w:val="13"/>
                <w:color w:val="auto"/>
              </w:rPr>
              <w:t>Annual Incentive</w:t>
            </w:r>
            <w:r>
              <w:rPr>
                <w:rFonts w:ascii="Arial" w:cs="Arial" w:eastAsia="Arial" w:hAnsi="Arial"/>
                <w:sz w:val="20"/>
                <w:szCs w:val="20"/>
                <w:color w:val="auto"/>
                <w:vertAlign w:val="superscript"/>
              </w:rPr>
              <w:t>(2)</w:t>
            </w:r>
          </w:p>
        </w:tc>
        <w:tc>
          <w:tcPr>
            <w:tcW w:w="1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2"/>
              </w:rPr>
              <w:t>$ —</w:t>
            </w:r>
          </w:p>
        </w:tc>
        <w:tc>
          <w:tcPr>
            <w:tcW w:w="1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92"/>
              </w:rPr>
              <w:t>$ —</w:t>
            </w:r>
          </w:p>
        </w:tc>
        <w:tc>
          <w:tcPr>
            <w:tcW w:w="16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36"/>
              <w:spacing w:after="0"/>
              <w:rPr>
                <w:sz w:val="20"/>
                <w:szCs w:val="20"/>
                <w:color w:val="auto"/>
              </w:rPr>
            </w:pPr>
            <w:r>
              <w:rPr>
                <w:rFonts w:ascii="Arial" w:cs="Arial" w:eastAsia="Arial" w:hAnsi="Arial"/>
                <w:sz w:val="13"/>
                <w:szCs w:val="13"/>
                <w:color w:val="auto"/>
                <w:w w:val="93"/>
              </w:rPr>
              <w:t>297,500</w:t>
            </w:r>
          </w:p>
        </w:tc>
        <w:tc>
          <w:tcPr>
            <w:tcW w:w="140" w:type="dxa"/>
            <w:vAlign w:val="bottom"/>
          </w:tcPr>
          <w:p>
            <w:pPr>
              <w:spacing w:after="0"/>
              <w:rPr>
                <w:sz w:val="22"/>
                <w:szCs w:val="22"/>
                <w:color w:val="auto"/>
              </w:rPr>
            </w:pPr>
          </w:p>
        </w:tc>
        <w:tc>
          <w:tcPr>
            <w:tcW w:w="280" w:type="dxa"/>
            <w:vAlign w:val="bottom"/>
          </w:tcPr>
          <w:p>
            <w:pPr>
              <w:ind w:left="22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297,500</w:t>
            </w:r>
          </w:p>
        </w:tc>
        <w:tc>
          <w:tcPr>
            <w:tcW w:w="0" w:type="dxa"/>
            <w:vAlign w:val="bottom"/>
          </w:tcPr>
          <w:p>
            <w:pPr>
              <w:spacing w:after="0"/>
              <w:rPr>
                <w:sz w:val="1"/>
                <w:szCs w:val="1"/>
                <w:color w:val="auto"/>
              </w:rPr>
            </w:pPr>
          </w:p>
        </w:tc>
      </w:tr>
      <w:tr>
        <w:trPr>
          <w:trHeight w:val="229"/>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Accelerated Stock Options</w:t>
            </w:r>
            <w:r>
              <w:rPr>
                <w:rFonts w:ascii="Arial" w:cs="Arial" w:eastAsia="Arial" w:hAnsi="Arial"/>
                <w:sz w:val="20"/>
                <w:szCs w:val="20"/>
                <w:color w:val="auto"/>
                <w:vertAlign w:val="superscript"/>
              </w:rPr>
              <w:t>(3)</w:t>
            </w: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 —</w:t>
            </w: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 —</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ind w:left="22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9"/>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Severance</w:t>
            </w:r>
            <w:r>
              <w:rPr>
                <w:rFonts w:ascii="Arial" w:cs="Arial" w:eastAsia="Arial" w:hAnsi="Arial"/>
                <w:sz w:val="20"/>
                <w:szCs w:val="20"/>
                <w:color w:val="auto"/>
                <w:vertAlign w:val="superscript"/>
              </w:rPr>
              <w:t>(4)</w:t>
            </w: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 —</w:t>
            </w: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 —</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7"/>
              <w:spacing w:after="0"/>
              <w:rPr>
                <w:sz w:val="20"/>
                <w:szCs w:val="20"/>
                <w:color w:val="auto"/>
              </w:rPr>
            </w:pPr>
            <w:r>
              <w:rPr>
                <w:rFonts w:ascii="Arial" w:cs="Arial" w:eastAsia="Arial" w:hAnsi="Arial"/>
                <w:sz w:val="13"/>
                <w:szCs w:val="13"/>
                <w:color w:val="auto"/>
                <w:w w:val="97"/>
              </w:rPr>
              <w:t>425,000</w:t>
            </w:r>
          </w:p>
        </w:tc>
        <w:tc>
          <w:tcPr>
            <w:tcW w:w="140" w:type="dxa"/>
            <w:vAlign w:val="bottom"/>
          </w:tcPr>
          <w:p>
            <w:pPr>
              <w:spacing w:after="0"/>
              <w:rPr>
                <w:sz w:val="19"/>
                <w:szCs w:val="19"/>
                <w:color w:val="auto"/>
              </w:rPr>
            </w:pP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ind w:left="22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w w:val="93"/>
              </w:rPr>
              <w:t>1,445,000</w:t>
            </w:r>
          </w:p>
        </w:tc>
        <w:tc>
          <w:tcPr>
            <w:tcW w:w="0" w:type="dxa"/>
            <w:vAlign w:val="bottom"/>
          </w:tcPr>
          <w:p>
            <w:pPr>
              <w:spacing w:after="0"/>
              <w:rPr>
                <w:sz w:val="1"/>
                <w:szCs w:val="1"/>
                <w:color w:val="auto"/>
              </w:rPr>
            </w:pPr>
          </w:p>
        </w:tc>
      </w:tr>
      <w:tr>
        <w:trPr>
          <w:trHeight w:val="230"/>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Benefit Continuation</w:t>
            </w:r>
            <w:r>
              <w:rPr>
                <w:rFonts w:ascii="Arial" w:cs="Arial" w:eastAsia="Arial" w:hAnsi="Arial"/>
                <w:sz w:val="20"/>
                <w:szCs w:val="20"/>
                <w:color w:val="auto"/>
                <w:vertAlign w:val="superscript"/>
              </w:rPr>
              <w:t>(4)</w:t>
            </w: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 —</w:t>
            </w: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 —</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97"/>
              <w:spacing w:after="0"/>
              <w:rPr>
                <w:sz w:val="20"/>
                <w:szCs w:val="20"/>
                <w:color w:val="auto"/>
              </w:rPr>
            </w:pPr>
            <w:r>
              <w:rPr>
                <w:rFonts w:ascii="Arial" w:cs="Arial" w:eastAsia="Arial" w:hAnsi="Arial"/>
                <w:sz w:val="13"/>
                <w:szCs w:val="13"/>
                <w:color w:val="auto"/>
              </w:rPr>
              <w:t>34,635</w:t>
            </w:r>
          </w:p>
        </w:tc>
        <w:tc>
          <w:tcPr>
            <w:tcW w:w="140" w:type="dxa"/>
            <w:vAlign w:val="bottom"/>
          </w:tcPr>
          <w:p>
            <w:pPr>
              <w:spacing w:after="0"/>
              <w:rPr>
                <w:sz w:val="19"/>
                <w:szCs w:val="19"/>
                <w:color w:val="auto"/>
              </w:rPr>
            </w:pP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ind w:left="22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51,269</w:t>
            </w:r>
          </w:p>
        </w:tc>
        <w:tc>
          <w:tcPr>
            <w:tcW w:w="0" w:type="dxa"/>
            <w:vAlign w:val="bottom"/>
          </w:tcPr>
          <w:p>
            <w:pPr>
              <w:spacing w:after="0"/>
              <w:rPr>
                <w:sz w:val="1"/>
                <w:szCs w:val="1"/>
                <w:color w:val="auto"/>
              </w:rPr>
            </w:pPr>
          </w:p>
        </w:tc>
      </w:tr>
      <w:tr>
        <w:trPr>
          <w:trHeight w:val="229"/>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Accelerated RSUs</w:t>
            </w:r>
            <w:r>
              <w:rPr>
                <w:rFonts w:ascii="Arial" w:cs="Arial" w:eastAsia="Arial" w:hAnsi="Arial"/>
                <w:sz w:val="20"/>
                <w:szCs w:val="20"/>
                <w:color w:val="auto"/>
                <w:vertAlign w:val="superscript"/>
              </w:rPr>
              <w:t>(5)</w:t>
            </w: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 —</w:t>
            </w: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 —</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325,629</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17"/>
              <w:spacing w:after="0"/>
              <w:rPr>
                <w:sz w:val="20"/>
                <w:szCs w:val="20"/>
                <w:color w:val="auto"/>
              </w:rPr>
            </w:pPr>
            <w:r>
              <w:rPr>
                <w:rFonts w:ascii="Arial" w:cs="Arial" w:eastAsia="Arial" w:hAnsi="Arial"/>
                <w:sz w:val="13"/>
                <w:szCs w:val="13"/>
                <w:color w:val="auto"/>
                <w:w w:val="89"/>
              </w:rPr>
              <w:t>325,629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w w:val="93"/>
              </w:rPr>
              <w:t>114,368</w:t>
            </w:r>
          </w:p>
        </w:tc>
        <w:tc>
          <w:tcPr>
            <w:tcW w:w="140" w:type="dxa"/>
            <w:vAlign w:val="bottom"/>
          </w:tcPr>
          <w:p>
            <w:pPr>
              <w:spacing w:after="0"/>
              <w:rPr>
                <w:sz w:val="19"/>
                <w:szCs w:val="19"/>
                <w:color w:val="auto"/>
              </w:rPr>
            </w:pP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ind w:left="22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325,629</w:t>
            </w:r>
          </w:p>
        </w:tc>
        <w:tc>
          <w:tcPr>
            <w:tcW w:w="0" w:type="dxa"/>
            <w:vAlign w:val="bottom"/>
          </w:tcPr>
          <w:p>
            <w:pPr>
              <w:spacing w:after="0"/>
              <w:rPr>
                <w:sz w:val="1"/>
                <w:szCs w:val="1"/>
                <w:color w:val="auto"/>
              </w:rPr>
            </w:pPr>
          </w:p>
        </w:tc>
      </w:tr>
      <w:tr>
        <w:trPr>
          <w:trHeight w:val="279"/>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Accelerated PRSUs</w:t>
            </w:r>
            <w:r>
              <w:rPr>
                <w:rFonts w:ascii="Arial" w:cs="Arial" w:eastAsia="Arial" w:hAnsi="Arial"/>
                <w:sz w:val="20"/>
                <w:szCs w:val="20"/>
                <w:color w:val="auto"/>
                <w:vertAlign w:val="superscript"/>
              </w:rPr>
              <w:t>(6)</w:t>
            </w: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 —</w:t>
            </w: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color w:val="auto"/>
                <w:w w:val="92"/>
              </w:rPr>
              <w:t>$ —</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261,238</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17"/>
              <w:spacing w:after="0"/>
              <w:rPr>
                <w:sz w:val="20"/>
                <w:szCs w:val="20"/>
                <w:color w:val="auto"/>
              </w:rPr>
            </w:pPr>
            <w:r>
              <w:rPr>
                <w:rFonts w:ascii="Arial" w:cs="Arial" w:eastAsia="Arial" w:hAnsi="Arial"/>
                <w:sz w:val="13"/>
                <w:szCs w:val="13"/>
                <w:color w:val="auto"/>
                <w:w w:val="89"/>
              </w:rPr>
              <w:t>261,238</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146,581</w:t>
            </w:r>
          </w:p>
        </w:tc>
        <w:tc>
          <w:tcPr>
            <w:tcW w:w="140" w:type="dxa"/>
            <w:vAlign w:val="bottom"/>
          </w:tcPr>
          <w:p>
            <w:pPr>
              <w:spacing w:after="0"/>
              <w:rPr>
                <w:sz w:val="24"/>
                <w:szCs w:val="24"/>
                <w:color w:val="auto"/>
              </w:rPr>
            </w:pP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ind w:left="22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97,603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78105</wp:posOffset>
            </wp:positionV>
            <wp:extent cx="8229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5" w:lineRule="exact"/>
        <w:rPr>
          <w:sz w:val="20"/>
          <w:szCs w:val="20"/>
          <w:color w:val="auto"/>
        </w:rPr>
      </w:pPr>
    </w:p>
    <w:p>
      <w:pPr>
        <w:ind w:left="1260" w:right="1000" w:hanging="346"/>
        <w:spacing w:after="0" w:line="248" w:lineRule="auto"/>
        <w:tabs>
          <w:tab w:leader="none" w:pos="12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 times the sum of the executive's base salary and target annual bonus. Each form of payment is mutually exclusive based on the individual circumstances or events and therefore represents a single payment and should not be added together.</w:t>
      </w:r>
    </w:p>
    <w:p>
      <w:pPr>
        <w:spacing w:after="0" w:line="36" w:lineRule="exact"/>
        <w:rPr>
          <w:rFonts w:ascii="Arial" w:cs="Arial" w:eastAsia="Arial" w:hAnsi="Arial"/>
          <w:sz w:val="14"/>
          <w:szCs w:val="14"/>
          <w:color w:val="auto"/>
        </w:rPr>
      </w:pPr>
    </w:p>
    <w:p>
      <w:pPr>
        <w:ind w:left="1260" w:right="980" w:hanging="346"/>
        <w:spacing w:after="0" w:line="263" w:lineRule="auto"/>
        <w:tabs>
          <w:tab w:leader="none" w:pos="12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The annual incentive plan did not pay out in 2022, so the value represents the incremental difference between the target and actual bonus paid.</w:t>
      </w:r>
    </w:p>
    <w:p>
      <w:pPr>
        <w:spacing w:after="0" w:line="37" w:lineRule="exact"/>
        <w:rPr>
          <w:rFonts w:ascii="Arial" w:cs="Arial" w:eastAsia="Arial" w:hAnsi="Arial"/>
          <w:sz w:val="14"/>
          <w:szCs w:val="14"/>
          <w:color w:val="auto"/>
        </w:rPr>
      </w:pPr>
    </w:p>
    <w:p>
      <w:pPr>
        <w:ind w:left="1260" w:right="1000" w:hanging="346"/>
        <w:spacing w:after="0" w:line="252" w:lineRule="auto"/>
        <w:tabs>
          <w:tab w:leader="none" w:pos="12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in-the-money value of accelerated stock options based on the closing price of our common stock on December 30, 2022 ($50.65). As all accelerated options are underwater at this price, no values are shown. Upon a termination due to retirement after the first anniversary of the grant date, stock options will continue to vest subject to non-compete/non-solicit and reasonable notice restrictions. Upon a change-in-control, stock options will accelerate only if they are not assumed or substituted, and otherwise provide for a double trigger; values presume that the acquirer assumes outstanding stock options.</w:t>
      </w:r>
    </w:p>
    <w:p>
      <w:pPr>
        <w:spacing w:after="0" w:line="32" w:lineRule="exact"/>
        <w:rPr>
          <w:rFonts w:ascii="Arial" w:cs="Arial" w:eastAsia="Arial" w:hAnsi="Arial"/>
          <w:sz w:val="14"/>
          <w:szCs w:val="14"/>
          <w:color w:val="auto"/>
        </w:rPr>
      </w:pPr>
    </w:p>
    <w:p>
      <w:pPr>
        <w:ind w:left="1260" w:right="1080" w:hanging="346"/>
        <w:spacing w:after="0" w:line="263" w:lineRule="auto"/>
        <w:tabs>
          <w:tab w:leader="none" w:pos="12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 times the sum of base salary and target annual bonus, plus 2 years of continued benefits.</w:t>
      </w:r>
    </w:p>
    <w:p>
      <w:pPr>
        <w:spacing w:after="0" w:line="24" w:lineRule="exact"/>
        <w:rPr>
          <w:rFonts w:ascii="Arial" w:cs="Arial" w:eastAsia="Arial" w:hAnsi="Arial"/>
          <w:sz w:val="14"/>
          <w:szCs w:val="14"/>
          <w:color w:val="auto"/>
        </w:rPr>
      </w:pPr>
    </w:p>
    <w:p>
      <w:pPr>
        <w:ind w:left="1260" w:right="940" w:hanging="346"/>
        <w:spacing w:after="0" w:line="252" w:lineRule="auto"/>
        <w:tabs>
          <w:tab w:leader="none" w:pos="12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For the time-vested RSUs, upon termination due to death or disability, represents the accelerated value of the RSUs based on the closing price of our common stock on December 30, 2022 ($50.65). Upon a termination due to retirement after the first anniversary of the grant date, RSUs will continue to vest subject to non-compete/non-solicit and reasonable notice restrictions. 2022 awards are assumed forfeited, as retirement at December 30, 2022 is before the first anniversary of the grant date. Upon a change-in-control only (single trigger), RSUs that are not assumed by an acquirer will accelerate; values presume that the acquirer assumes applicable outstanding RSUs.</w:t>
      </w:r>
    </w:p>
    <w:p>
      <w:pPr>
        <w:spacing w:after="0" w:line="45" w:lineRule="exact"/>
        <w:rPr>
          <w:rFonts w:ascii="Arial" w:cs="Arial" w:eastAsia="Arial" w:hAnsi="Arial"/>
          <w:sz w:val="14"/>
          <w:szCs w:val="14"/>
          <w:color w:val="auto"/>
        </w:rPr>
      </w:pPr>
    </w:p>
    <w:p>
      <w:pPr>
        <w:ind w:left="1260" w:right="920" w:hanging="346"/>
        <w:spacing w:after="0" w:line="244" w:lineRule="auto"/>
        <w:tabs>
          <w:tab w:leader="none" w:pos="12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Upon a termination due to death or disability, awards will vest based on actual performance at the conclusion of the performance period ending in the year of death or disability. Shares continue to vest through the year of death or disability and all unvested shares are accelerated. Fiscal year 2021 and 2022 values assume target performance will be achieved. Upon a termination due to retirement after the first anniversary of the grant date, awards will vest in full based on actual performance at the end of the performance period (no pro-rated payout). 2022 awards are assumed forfeited, as retirement at December 30, 2022 is before the first anniversary of the grant date. Pursuant to our award agreements with this executive the PRSUs outstanding as of the change-in-control will be vested at the greater of target or actual performance for the performance period,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As of December 30, 2022, two three-year performance cycles (2021-2023 and 2022-2024) are not yet complete and the awards are tracking at target, so no incremental values are included in this table. For the 2020-2022 performance cycle, actual payouts were less than target and the value shown in the table represents the incremental difference between actual payout and target. Upon a termination following a change-in-control, value represents the incremental difference in values between target and actual performance (e.g. no value for cycles where actual payouts are greater than or equal to target amounts). Values are based on the closing price of our common stock on December 30, 2022 ($50.65).</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-50-</w:t>
            </w:r>
          </w:p>
        </w:tc>
      </w:tr>
      <w:tr>
        <w:trPr>
          <w:trHeight w:val="219"/>
        </w:trPr>
        <w:tc>
          <w:tcPr>
            <w:tcW w:w="316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54" w:name="page55"/>
    <w:bookmarkEnd w:id="54"/>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ITRON,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32385</wp:posOffset>
            </wp:positionV>
            <wp:extent cx="57518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Summary of Termination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32385</wp:posOffset>
            </wp:positionV>
            <wp:extent cx="57518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John F. Marcolini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32385</wp:posOffset>
            </wp:positionV>
            <wp:extent cx="57518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51830" cy="8890"/>
                    </a:xfrm>
                    <a:prstGeom prst="rect">
                      <a:avLst/>
                    </a:prstGeom>
                    <a:noFill/>
                  </pic:spPr>
                </pic:pic>
              </a:graphicData>
            </a:graphic>
          </wp:anchor>
        </w:drawing>
      </w:r>
    </w:p>
    <w:p>
      <w:pPr>
        <w:spacing w:after="0" w:line="76" w:lineRule="exact"/>
        <w:rPr>
          <w:sz w:val="20"/>
          <w:szCs w:val="20"/>
          <w:color w:val="auto"/>
        </w:rPr>
      </w:pPr>
    </w:p>
    <w:tbl>
      <w:tblPr>
        <w:tblLayout w:type="fixed"/>
        <w:tblInd w:w="980" w:type="dxa"/>
        <w:tblCellMar>
          <w:top w:w="0" w:type="dxa"/>
          <w:left w:w="0" w:type="dxa"/>
          <w:bottom w:w="0" w:type="dxa"/>
          <w:right w:w="0" w:type="dxa"/>
        </w:tblCellMar>
      </w:tblPr>
      <w:tr>
        <w:trPr>
          <w:trHeight w:val="162"/>
        </w:trPr>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Termination</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Without Cause</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or by Executive</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220"/>
              <w:spacing w:after="0"/>
              <w:rPr>
                <w:sz w:val="20"/>
                <w:szCs w:val="20"/>
                <w:color w:val="auto"/>
              </w:rPr>
            </w:pPr>
            <w:r>
              <w:rPr>
                <w:rFonts w:ascii="Arial" w:cs="Arial" w:eastAsia="Arial" w:hAnsi="Arial"/>
                <w:sz w:val="14"/>
                <w:szCs w:val="14"/>
                <w:b w:val="1"/>
                <w:bCs w:val="1"/>
                <w:color w:val="auto"/>
              </w:rPr>
              <w:t>for Good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Reason</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Change-</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Following a</w:t>
            </w:r>
          </w:p>
        </w:tc>
        <w:tc>
          <w:tcPr>
            <w:tcW w:w="0" w:type="dxa"/>
            <w:vAlign w:val="bottom"/>
          </w:tcPr>
          <w:p>
            <w:pPr>
              <w:spacing w:after="0"/>
              <w:rPr>
                <w:sz w:val="1"/>
                <w:szCs w:val="1"/>
                <w:color w:val="auto"/>
              </w:rPr>
            </w:pPr>
          </w:p>
        </w:tc>
      </w:tr>
      <w:tr>
        <w:trPr>
          <w:trHeight w:val="162"/>
        </w:trPr>
        <w:tc>
          <w:tcPr>
            <w:tcW w:w="1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Executive Benefits</w:t>
            </w:r>
            <w:r>
              <w:rPr>
                <w:rFonts w:ascii="Arial" w:cs="Arial" w:eastAsia="Arial" w:hAnsi="Arial"/>
                <w:sz w:val="23"/>
                <w:szCs w:val="23"/>
                <w:b w:val="1"/>
                <w:bCs w:val="1"/>
                <w:color w:val="auto"/>
                <w:vertAlign w:val="superscript"/>
              </w:rPr>
              <w:t>(1)</w:t>
            </w:r>
          </w:p>
        </w:tc>
        <w:tc>
          <w:tcPr>
            <w:tcW w:w="160" w:type="dxa"/>
            <w:vAlign w:val="bottom"/>
            <w:vMerge w:val="restart"/>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Termination</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Voluntary</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ind w:left="120"/>
              <w:spacing w:after="0"/>
              <w:rPr>
                <w:sz w:val="20"/>
                <w:szCs w:val="20"/>
                <w:color w:val="auto"/>
              </w:rPr>
            </w:pPr>
            <w:r>
              <w:rPr>
                <w:rFonts w:ascii="Arial" w:cs="Arial" w:eastAsia="Arial" w:hAnsi="Arial"/>
                <w:sz w:val="14"/>
                <w:szCs w:val="14"/>
                <w:b w:val="1"/>
                <w:bCs w:val="1"/>
                <w:color w:val="auto"/>
              </w:rPr>
              <w:t>Without</w:t>
            </w:r>
          </w:p>
        </w:tc>
        <w:tc>
          <w:tcPr>
            <w:tcW w:w="180" w:type="dxa"/>
            <w:vAlign w:val="bottom"/>
          </w:tcPr>
          <w:p>
            <w:pPr>
              <w:spacing w:after="0"/>
              <w:rPr>
                <w:sz w:val="14"/>
                <w:szCs w:val="14"/>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Change-in-</w:t>
            </w:r>
          </w:p>
        </w:tc>
        <w:tc>
          <w:tcPr>
            <w:tcW w:w="0" w:type="dxa"/>
            <w:vAlign w:val="bottom"/>
          </w:tcPr>
          <w:p>
            <w:pPr>
              <w:spacing w:after="0"/>
              <w:rPr>
                <w:sz w:val="1"/>
                <w:szCs w:val="1"/>
                <w:color w:val="auto"/>
              </w:rPr>
            </w:pPr>
          </w:p>
        </w:tc>
      </w:tr>
      <w:tr>
        <w:trPr>
          <w:trHeight w:val="212"/>
        </w:trPr>
        <w:tc>
          <w:tcPr>
            <w:tcW w:w="166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for Cause</w:t>
            </w:r>
          </w:p>
        </w:tc>
        <w:tc>
          <w:tcPr>
            <w:tcW w:w="1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9"/>
              </w:rPr>
              <w:t>Termination</w:t>
            </w:r>
          </w:p>
        </w:tc>
        <w:tc>
          <w:tcPr>
            <w:tcW w:w="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Death</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Disability</w:t>
            </w:r>
          </w:p>
        </w:tc>
        <w:tc>
          <w:tcPr>
            <w:tcW w:w="12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Retirement</w:t>
            </w:r>
          </w:p>
        </w:tc>
        <w:tc>
          <w:tcPr>
            <w:tcW w:w="960" w:type="dxa"/>
            <w:vAlign w:val="bottom"/>
            <w:gridSpan w:val="3"/>
          </w:tcPr>
          <w:p>
            <w:pPr>
              <w:ind w:left="200"/>
              <w:spacing w:after="0"/>
              <w:rPr>
                <w:sz w:val="20"/>
                <w:szCs w:val="20"/>
                <w:color w:val="auto"/>
              </w:rPr>
            </w:pPr>
            <w:r>
              <w:rPr>
                <w:rFonts w:ascii="Arial" w:cs="Arial" w:eastAsia="Arial" w:hAnsi="Arial"/>
                <w:sz w:val="14"/>
                <w:szCs w:val="14"/>
                <w:b w:val="1"/>
                <w:bCs w:val="1"/>
                <w:color w:val="auto"/>
              </w:rPr>
              <w:t>Cause</w:t>
            </w:r>
          </w:p>
        </w:tc>
        <w:tc>
          <w:tcPr>
            <w:tcW w:w="880" w:type="dxa"/>
            <w:vAlign w:val="bottom"/>
            <w:gridSpan w:val="3"/>
          </w:tcPr>
          <w:p>
            <w:pPr>
              <w:ind w:left="120"/>
              <w:spacing w:after="0"/>
              <w:rPr>
                <w:sz w:val="20"/>
                <w:szCs w:val="20"/>
                <w:color w:val="auto"/>
              </w:rPr>
            </w:pPr>
            <w:r>
              <w:rPr>
                <w:rFonts w:ascii="Arial" w:cs="Arial" w:eastAsia="Arial" w:hAnsi="Arial"/>
                <w:sz w:val="14"/>
                <w:szCs w:val="14"/>
                <w:b w:val="1"/>
                <w:bCs w:val="1"/>
                <w:color w:val="auto"/>
              </w:rPr>
              <w:t>Control</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Control</w:t>
            </w: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1660" w:type="dxa"/>
            <w:vAlign w:val="bottom"/>
          </w:tcPr>
          <w:p>
            <w:pPr>
              <w:ind w:left="20"/>
              <w:spacing w:after="0"/>
              <w:rPr>
                <w:sz w:val="20"/>
                <w:szCs w:val="20"/>
                <w:color w:val="auto"/>
              </w:rPr>
            </w:pPr>
            <w:r>
              <w:rPr>
                <w:rFonts w:ascii="Arial" w:cs="Arial" w:eastAsia="Arial" w:hAnsi="Arial"/>
                <w:sz w:val="13"/>
                <w:szCs w:val="13"/>
                <w:color w:val="auto"/>
              </w:rPr>
              <w:t>Annual Incentive</w:t>
            </w:r>
            <w:r>
              <w:rPr>
                <w:rFonts w:ascii="Arial" w:cs="Arial" w:eastAsia="Arial" w:hAnsi="Arial"/>
                <w:sz w:val="20"/>
                <w:szCs w:val="20"/>
                <w:color w:val="auto"/>
                <w:vertAlign w:val="superscript"/>
              </w:rPr>
              <w:t>(2)</w:t>
            </w:r>
          </w:p>
        </w:tc>
        <w:tc>
          <w:tcPr>
            <w:tcW w:w="1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16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w w:val="88"/>
              </w:rPr>
              <w:t>$—</w:t>
            </w:r>
          </w:p>
        </w:tc>
        <w:tc>
          <w:tcPr>
            <w:tcW w:w="16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36"/>
              <w:spacing w:after="0"/>
              <w:rPr>
                <w:sz w:val="20"/>
                <w:szCs w:val="20"/>
                <w:color w:val="auto"/>
              </w:rPr>
            </w:pPr>
            <w:r>
              <w:rPr>
                <w:rFonts w:ascii="Arial" w:cs="Arial" w:eastAsia="Arial" w:hAnsi="Arial"/>
                <w:sz w:val="13"/>
                <w:szCs w:val="13"/>
                <w:color w:val="auto"/>
                <w:w w:val="93"/>
              </w:rPr>
              <w:t>269,500</w:t>
            </w:r>
          </w:p>
        </w:tc>
        <w:tc>
          <w:tcPr>
            <w:tcW w:w="140" w:type="dxa"/>
            <w:vAlign w:val="bottom"/>
          </w:tcPr>
          <w:p>
            <w:pPr>
              <w:spacing w:after="0"/>
              <w:rPr>
                <w:sz w:val="22"/>
                <w:szCs w:val="22"/>
                <w:color w:val="auto"/>
              </w:rPr>
            </w:pPr>
          </w:p>
        </w:tc>
        <w:tc>
          <w:tcPr>
            <w:tcW w:w="280" w:type="dxa"/>
            <w:vAlign w:val="bottom"/>
          </w:tcPr>
          <w:p>
            <w:pPr>
              <w:ind w:left="22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269,500</w:t>
            </w:r>
          </w:p>
        </w:tc>
        <w:tc>
          <w:tcPr>
            <w:tcW w:w="0" w:type="dxa"/>
            <w:vAlign w:val="bottom"/>
          </w:tcPr>
          <w:p>
            <w:pPr>
              <w:spacing w:after="0"/>
              <w:rPr>
                <w:sz w:val="1"/>
                <w:szCs w:val="1"/>
                <w:color w:val="auto"/>
              </w:rPr>
            </w:pPr>
          </w:p>
        </w:tc>
      </w:tr>
      <w:tr>
        <w:trPr>
          <w:trHeight w:val="229"/>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Accelerated Stock Options</w:t>
            </w:r>
            <w:r>
              <w:rPr>
                <w:rFonts w:ascii="Arial" w:cs="Arial" w:eastAsia="Arial" w:hAnsi="Arial"/>
                <w:sz w:val="20"/>
                <w:szCs w:val="20"/>
                <w:color w:val="auto"/>
                <w:vertAlign w:val="superscript"/>
              </w:rPr>
              <w:t>(3)</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color w:val="auto"/>
                <w:w w:val="88"/>
              </w:rPr>
              <w:t>$—</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color w:val="auto"/>
                <w:w w:val="88"/>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ind w:left="22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9"/>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Severance</w:t>
            </w:r>
            <w:r>
              <w:rPr>
                <w:rFonts w:ascii="Arial" w:cs="Arial" w:eastAsia="Arial" w:hAnsi="Arial"/>
                <w:sz w:val="20"/>
                <w:szCs w:val="20"/>
                <w:color w:val="auto"/>
                <w:vertAlign w:val="superscript"/>
              </w:rPr>
              <w:t>(4)</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color w:val="auto"/>
                <w:w w:val="88"/>
              </w:rPr>
              <w:t>$—</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color w:val="auto"/>
                <w:w w:val="88"/>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97"/>
              <w:spacing w:after="0"/>
              <w:rPr>
                <w:sz w:val="20"/>
                <w:szCs w:val="20"/>
                <w:color w:val="auto"/>
              </w:rPr>
            </w:pPr>
            <w:r>
              <w:rPr>
                <w:rFonts w:ascii="Arial" w:cs="Arial" w:eastAsia="Arial" w:hAnsi="Arial"/>
                <w:sz w:val="13"/>
                <w:szCs w:val="13"/>
                <w:color w:val="auto"/>
                <w:w w:val="89"/>
              </w:rPr>
              <w:t>385,000</w:t>
            </w:r>
          </w:p>
        </w:tc>
        <w:tc>
          <w:tcPr>
            <w:tcW w:w="140" w:type="dxa"/>
            <w:vAlign w:val="bottom"/>
          </w:tcPr>
          <w:p>
            <w:pPr>
              <w:spacing w:after="0"/>
              <w:rPr>
                <w:sz w:val="19"/>
                <w:szCs w:val="19"/>
                <w:color w:val="auto"/>
              </w:rPr>
            </w:pP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ind w:left="22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w w:val="93"/>
              </w:rPr>
              <w:t>1,309,000</w:t>
            </w:r>
          </w:p>
        </w:tc>
        <w:tc>
          <w:tcPr>
            <w:tcW w:w="0" w:type="dxa"/>
            <w:vAlign w:val="bottom"/>
          </w:tcPr>
          <w:p>
            <w:pPr>
              <w:spacing w:after="0"/>
              <w:rPr>
                <w:sz w:val="1"/>
                <w:szCs w:val="1"/>
                <w:color w:val="auto"/>
              </w:rPr>
            </w:pPr>
          </w:p>
        </w:tc>
      </w:tr>
      <w:tr>
        <w:trPr>
          <w:trHeight w:val="230"/>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Benefit Continuation</w:t>
            </w:r>
            <w:r>
              <w:rPr>
                <w:rFonts w:ascii="Arial" w:cs="Arial" w:eastAsia="Arial" w:hAnsi="Arial"/>
                <w:sz w:val="20"/>
                <w:szCs w:val="20"/>
                <w:color w:val="auto"/>
                <w:vertAlign w:val="superscript"/>
              </w:rPr>
              <w:t>(4)</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color w:val="auto"/>
                <w:w w:val="88"/>
              </w:rPr>
              <w:t>$—</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color w:val="auto"/>
                <w:w w:val="88"/>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97"/>
              <w:spacing w:after="0"/>
              <w:rPr>
                <w:sz w:val="20"/>
                <w:szCs w:val="20"/>
                <w:color w:val="auto"/>
              </w:rPr>
            </w:pPr>
            <w:r>
              <w:rPr>
                <w:rFonts w:ascii="Arial" w:cs="Arial" w:eastAsia="Arial" w:hAnsi="Arial"/>
                <w:sz w:val="13"/>
                <w:szCs w:val="13"/>
                <w:color w:val="auto"/>
              </w:rPr>
              <w:t>37,061</w:t>
            </w:r>
          </w:p>
        </w:tc>
        <w:tc>
          <w:tcPr>
            <w:tcW w:w="140" w:type="dxa"/>
            <w:vAlign w:val="bottom"/>
          </w:tcPr>
          <w:p>
            <w:pPr>
              <w:spacing w:after="0"/>
              <w:rPr>
                <w:sz w:val="19"/>
                <w:szCs w:val="19"/>
                <w:color w:val="auto"/>
              </w:rPr>
            </w:pP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ind w:left="22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56,122</w:t>
            </w:r>
          </w:p>
        </w:tc>
        <w:tc>
          <w:tcPr>
            <w:tcW w:w="0" w:type="dxa"/>
            <w:vAlign w:val="bottom"/>
          </w:tcPr>
          <w:p>
            <w:pPr>
              <w:spacing w:after="0"/>
              <w:rPr>
                <w:sz w:val="1"/>
                <w:szCs w:val="1"/>
                <w:color w:val="auto"/>
              </w:rPr>
            </w:pPr>
          </w:p>
        </w:tc>
      </w:tr>
      <w:tr>
        <w:trPr>
          <w:trHeight w:val="229"/>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Accelerated RSUs</w:t>
            </w:r>
            <w:r>
              <w:rPr>
                <w:rFonts w:ascii="Arial" w:cs="Arial" w:eastAsia="Arial" w:hAnsi="Arial"/>
                <w:sz w:val="20"/>
                <w:szCs w:val="20"/>
                <w:color w:val="auto"/>
                <w:vertAlign w:val="superscript"/>
              </w:rPr>
              <w:t>(5)</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color w:val="auto"/>
                <w:w w:val="88"/>
              </w:rPr>
              <w:t>$—</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color w:val="auto"/>
                <w:w w:val="88"/>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347,054</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17"/>
              <w:spacing w:after="0"/>
              <w:rPr>
                <w:sz w:val="20"/>
                <w:szCs w:val="20"/>
                <w:color w:val="auto"/>
              </w:rPr>
            </w:pPr>
            <w:r>
              <w:rPr>
                <w:rFonts w:ascii="Arial" w:cs="Arial" w:eastAsia="Arial" w:hAnsi="Arial"/>
                <w:sz w:val="13"/>
                <w:szCs w:val="13"/>
                <w:color w:val="auto"/>
                <w:w w:val="89"/>
              </w:rPr>
              <w:t>347,054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w w:val="93"/>
              </w:rPr>
              <w:t>135,793</w:t>
            </w:r>
          </w:p>
        </w:tc>
        <w:tc>
          <w:tcPr>
            <w:tcW w:w="140" w:type="dxa"/>
            <w:vAlign w:val="bottom"/>
          </w:tcPr>
          <w:p>
            <w:pPr>
              <w:spacing w:after="0"/>
              <w:rPr>
                <w:sz w:val="19"/>
                <w:szCs w:val="19"/>
                <w:color w:val="auto"/>
              </w:rPr>
            </w:pP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ind w:left="22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347,054</w:t>
            </w:r>
          </w:p>
        </w:tc>
        <w:tc>
          <w:tcPr>
            <w:tcW w:w="0" w:type="dxa"/>
            <w:vAlign w:val="bottom"/>
          </w:tcPr>
          <w:p>
            <w:pPr>
              <w:spacing w:after="0"/>
              <w:rPr>
                <w:sz w:val="1"/>
                <w:szCs w:val="1"/>
                <w:color w:val="auto"/>
              </w:rPr>
            </w:pPr>
          </w:p>
        </w:tc>
      </w:tr>
      <w:tr>
        <w:trPr>
          <w:trHeight w:val="279"/>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Accelerated PRSUs</w:t>
            </w:r>
            <w:r>
              <w:rPr>
                <w:rFonts w:ascii="Arial" w:cs="Arial" w:eastAsia="Arial" w:hAnsi="Arial"/>
                <w:sz w:val="20"/>
                <w:szCs w:val="20"/>
                <w:color w:val="auto"/>
                <w:vertAlign w:val="superscript"/>
              </w:rPr>
              <w:t>(6)</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color w:val="auto"/>
                <w:w w:val="88"/>
              </w:rPr>
              <w:t>$—</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color w:val="auto"/>
                <w:w w:val="88"/>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247,371</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17"/>
              <w:spacing w:after="0"/>
              <w:rPr>
                <w:sz w:val="20"/>
                <w:szCs w:val="20"/>
                <w:color w:val="auto"/>
              </w:rPr>
            </w:pPr>
            <w:r>
              <w:rPr>
                <w:rFonts w:ascii="Arial" w:cs="Arial" w:eastAsia="Arial" w:hAnsi="Arial"/>
                <w:sz w:val="13"/>
                <w:szCs w:val="13"/>
                <w:color w:val="auto"/>
                <w:w w:val="89"/>
              </w:rPr>
              <w:t>247,371</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w w:val="93"/>
              </w:rPr>
              <w:t>124,396</w:t>
            </w:r>
          </w:p>
        </w:tc>
        <w:tc>
          <w:tcPr>
            <w:tcW w:w="140" w:type="dxa"/>
            <w:vAlign w:val="bottom"/>
          </w:tcPr>
          <w:p>
            <w:pPr>
              <w:spacing w:after="0"/>
              <w:rPr>
                <w:sz w:val="24"/>
                <w:szCs w:val="24"/>
                <w:color w:val="auto"/>
              </w:rPr>
            </w:pP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ind w:left="220"/>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106,669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69215</wp:posOffset>
            </wp:positionV>
            <wp:extent cx="8229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1" w:lineRule="exact"/>
        <w:rPr>
          <w:sz w:val="20"/>
          <w:szCs w:val="20"/>
          <w:color w:val="auto"/>
        </w:rPr>
      </w:pPr>
    </w:p>
    <w:p>
      <w:pPr>
        <w:ind w:left="1260" w:right="1000" w:hanging="346"/>
        <w:spacing w:after="0" w:line="248" w:lineRule="auto"/>
        <w:tabs>
          <w:tab w:leader="none" w:pos="12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 times the sum of the executive's base salary and target annual bonus. Each form of payment is mutually exclusive based on the individual circumstances or events and therefore represents a single payment and should not be added together.</w:t>
      </w:r>
    </w:p>
    <w:p>
      <w:pPr>
        <w:spacing w:after="0" w:line="50" w:lineRule="exact"/>
        <w:rPr>
          <w:rFonts w:ascii="Arial" w:cs="Arial" w:eastAsia="Arial" w:hAnsi="Arial"/>
          <w:sz w:val="14"/>
          <w:szCs w:val="14"/>
          <w:color w:val="auto"/>
        </w:rPr>
      </w:pPr>
    </w:p>
    <w:p>
      <w:pPr>
        <w:ind w:left="1260" w:right="980" w:hanging="346"/>
        <w:spacing w:after="0" w:line="263" w:lineRule="auto"/>
        <w:tabs>
          <w:tab w:leader="none" w:pos="12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The annual incentive plan did not pay out in 2022, so the value represents the incremental difference between the target and actual bonus paid.</w:t>
      </w:r>
    </w:p>
    <w:p>
      <w:pPr>
        <w:spacing w:after="0" w:line="24" w:lineRule="exact"/>
        <w:rPr>
          <w:rFonts w:ascii="Arial" w:cs="Arial" w:eastAsia="Arial" w:hAnsi="Arial"/>
          <w:sz w:val="14"/>
          <w:szCs w:val="14"/>
          <w:color w:val="auto"/>
        </w:rPr>
      </w:pPr>
    </w:p>
    <w:p>
      <w:pPr>
        <w:ind w:left="1260" w:right="1000" w:hanging="346"/>
        <w:spacing w:after="0" w:line="252" w:lineRule="auto"/>
        <w:tabs>
          <w:tab w:leader="none" w:pos="12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in-the-money value of accelerated stock options based on the closing price of our common stock on December 30, 2022 ($50.65). As all accelerated options are underwater at this price, no values are shown. Upon a termination due to retirement after the first anniversary of the grant date, stock options will continue to vest subject to non-compete/non-solicit and reasonable notice restrictions. Upon a change-in-control, stock options will accelerate only if they are not assumed or substituted, and otherwise provide for a double trigger; values presume that the acquirer assumes outstanding stock options.</w:t>
      </w:r>
    </w:p>
    <w:p>
      <w:pPr>
        <w:spacing w:after="0" w:line="32" w:lineRule="exact"/>
        <w:rPr>
          <w:rFonts w:ascii="Arial" w:cs="Arial" w:eastAsia="Arial" w:hAnsi="Arial"/>
          <w:sz w:val="14"/>
          <w:szCs w:val="14"/>
          <w:color w:val="auto"/>
        </w:rPr>
      </w:pPr>
    </w:p>
    <w:p>
      <w:pPr>
        <w:ind w:left="1260" w:right="1080" w:hanging="346"/>
        <w:spacing w:after="0" w:line="263" w:lineRule="auto"/>
        <w:tabs>
          <w:tab w:leader="none" w:pos="12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Executive Officer Severance Pay Policy provides an executive officer, who is terminated involuntarily, a severance payment equal to 1 times base salary plus one year of continued benefits and outplacement. The change-in-control agreements provide for a severance payment equal to 2 times the sum of base salary and target annual bonus, plus 2 years of continued benefits.</w:t>
      </w:r>
    </w:p>
    <w:p>
      <w:pPr>
        <w:spacing w:after="0" w:line="37" w:lineRule="exact"/>
        <w:rPr>
          <w:rFonts w:ascii="Arial" w:cs="Arial" w:eastAsia="Arial" w:hAnsi="Arial"/>
          <w:sz w:val="14"/>
          <w:szCs w:val="14"/>
          <w:color w:val="auto"/>
        </w:rPr>
      </w:pPr>
    </w:p>
    <w:p>
      <w:pPr>
        <w:ind w:left="1260" w:right="940" w:hanging="346"/>
        <w:spacing w:after="0" w:line="252" w:lineRule="auto"/>
        <w:tabs>
          <w:tab w:leader="none" w:pos="12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For the time-vested RSUs, upon termination due to death or disability, represents the accelerated value of the RSUs based on the closing price of our common stock on December 30, 2022 ($50.65). Upon a termination due to retirement after the first anniversary of the grant date, RSUs will continue to vest subject to non-compete/non-solicit and reasonable notice restrictions. 2022 awards are assumed forfeited, as retirement at December 30, 2022 is before the first anniversary of the grant date. Upon a change-in-control only (single trigger), RSUs that are not assumed by an acquirer will accelerate; values presume that the acquirer assumes applicable outstanding RSUs.</w:t>
      </w:r>
    </w:p>
    <w:p>
      <w:pPr>
        <w:spacing w:after="0" w:line="32" w:lineRule="exact"/>
        <w:rPr>
          <w:rFonts w:ascii="Arial" w:cs="Arial" w:eastAsia="Arial" w:hAnsi="Arial"/>
          <w:sz w:val="14"/>
          <w:szCs w:val="14"/>
          <w:color w:val="auto"/>
        </w:rPr>
      </w:pPr>
    </w:p>
    <w:p>
      <w:pPr>
        <w:ind w:left="1260" w:right="920" w:hanging="346"/>
        <w:spacing w:after="0" w:line="244" w:lineRule="auto"/>
        <w:tabs>
          <w:tab w:leader="none" w:pos="12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Upon a termination due to death or disability, awards will vest based on actual performance at the conclusion of the performance period ending in the year of death or disability. Shares continue to vest through the year of death or disability and all unvested shares are accelerated. Fiscal year 2021 and 2022 values assume target performance will be achieved. Upon a termination due to retirement after the first anniversary of the grant date, awards will vest in full based on actual performance at the end of the performance period (no pro-rated payout). 2022 awards are assumed forfeited, as retirement at December 30, 2022 is before the first anniversary of the grant date. Pursuant to our award agreements with this executive the PRSUs outstanding as of the change-in-control will be vested at the greater of target or actual performance for the performance period,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As of December 30, 2022, two three-year performance cycles (2021-2023 and 2022-2024) are not yet complete and the awards are tracking at target, so no incremental values are included in this table. For the 2020-2022 performance cycle, actual payouts were less than target and the value shown in the table represents the incremental difference between actual payout and target. Upon a termination following a change-in-control, value represents the incremental difference in values between target and actual performance (e.g. no value for cycles where actual payouts are greater than or equal to target amounts). Values are based on the closing price of our common stock on December 30, 2022 ($50.65).</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-51-</w:t>
            </w:r>
          </w:p>
        </w:tc>
      </w:tr>
      <w:tr>
        <w:trPr>
          <w:trHeight w:val="219"/>
        </w:trPr>
        <w:tc>
          <w:tcPr>
            <w:tcW w:w="316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55" w:name="page56"/>
    <w:bookmarkEnd w:id="55"/>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2022 Compensation Risk Assessment</w:t>
      </w:r>
    </w:p>
    <w:p>
      <w:pPr>
        <w:spacing w:after="0" w:line="185" w:lineRule="exact"/>
        <w:rPr>
          <w:sz w:val="20"/>
          <w:szCs w:val="20"/>
          <w:color w:val="auto"/>
        </w:rPr>
      </w:pPr>
    </w:p>
    <w:p>
      <w:pPr>
        <w:ind w:left="920" w:right="960"/>
        <w:spacing w:after="0" w:line="250" w:lineRule="auto"/>
        <w:rPr>
          <w:sz w:val="20"/>
          <w:szCs w:val="20"/>
          <w:color w:val="auto"/>
        </w:rPr>
      </w:pPr>
      <w:r>
        <w:rPr>
          <w:rFonts w:ascii="Arial" w:cs="Arial" w:eastAsia="Arial" w:hAnsi="Arial"/>
          <w:sz w:val="17"/>
          <w:szCs w:val="17"/>
          <w:color w:val="auto"/>
        </w:rPr>
        <w:t>It is our belief that a majority of an NEO’s total compensation should be variable “at risk” compensation, meaning it is tied to the Company’s financial performance. However, because performance-based incentives play a large role in our compensation program, we strive to ensure that incentives do not result in actions that may conflict with the long-term best interests of the Company and our shareholders. Therefore, the Committee evaluated all of our plans and policies (applicable to executive officers and employees below the executive level) in December 2022 for attributes that could cause excessive risk-taking. We concluded that our programs and policies do not encourage excessive risk-taking because: (a) the salary component of our program is a fixed amount; (b) the majority of the average compensation paid to our executive officers is delivered in the form of equity ownership, which aligns the interest of our executive officers with those of our shareholders; (c) NEOs are subject to our stock ownership guidelines; and (d) the annual cash-based incentive plan and long-term incentive plans are designed with risk-mitigating characteristics such as (i) maximum award payouts based on the attainment of various and continually evolving Company financial objectives which diversify risks associated with a single indicator of performance,</w:t>
      </w:r>
    </w:p>
    <w:p>
      <w:pPr>
        <w:spacing w:after="0" w:line="5" w:lineRule="exact"/>
        <w:rPr>
          <w:sz w:val="20"/>
          <w:szCs w:val="20"/>
          <w:color w:val="auto"/>
        </w:rPr>
      </w:pPr>
    </w:p>
    <w:p>
      <w:pPr>
        <w:ind w:left="920" w:right="920" w:hanging="6"/>
        <w:spacing w:after="0" w:line="239" w:lineRule="auto"/>
        <w:tabs>
          <w:tab w:leader="none" w:pos="117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equity-based incentives encourage a longer-term focus through multi-year performance periods, (iii) our risk-mitigating policies in place such as insider trading and hedging prohibitions and clawbacks, and (iv) review and approval of final awards by our Committee (and the independent members of the full Board in the case of the CEO), which is composed entirely of independent directors who have discretion under our plans to approve, modify, or eliminate any award earned.</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CEO Pay Ratio</w:t>
      </w:r>
    </w:p>
    <w:p>
      <w:pPr>
        <w:spacing w:after="0" w:line="185" w:lineRule="exact"/>
        <w:rPr>
          <w:sz w:val="20"/>
          <w:szCs w:val="20"/>
          <w:color w:val="auto"/>
        </w:rPr>
      </w:pPr>
    </w:p>
    <w:p>
      <w:pPr>
        <w:ind w:left="920" w:right="1820"/>
        <w:spacing w:after="0" w:line="271" w:lineRule="auto"/>
        <w:rPr>
          <w:sz w:val="20"/>
          <w:szCs w:val="20"/>
          <w:color w:val="auto"/>
        </w:rPr>
      </w:pPr>
      <w:r>
        <w:rPr>
          <w:rFonts w:ascii="Arial" w:cs="Arial" w:eastAsia="Arial" w:hAnsi="Arial"/>
          <w:sz w:val="18"/>
          <w:szCs w:val="18"/>
          <w:color w:val="auto"/>
        </w:rPr>
        <w:t>We are providing the following information about the relationship of the annual total compensation of our employees and the annual total compensation of our CEO:</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2022, our last completed fiscal year:</w:t>
      </w:r>
    </w:p>
    <w:p>
      <w:pPr>
        <w:spacing w:after="0" w:line="185" w:lineRule="exact"/>
        <w:rPr>
          <w:sz w:val="20"/>
          <w:szCs w:val="20"/>
          <w:color w:val="auto"/>
        </w:rPr>
      </w:pPr>
    </w:p>
    <w:p>
      <w:pPr>
        <w:ind w:left="1620" w:right="1120" w:hanging="346"/>
        <w:spacing w:after="0" w:line="271" w:lineRule="auto"/>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of our company (other than our CEO) was $65,478; and</w:t>
      </w:r>
    </w:p>
    <w:p>
      <w:pPr>
        <w:spacing w:after="0" w:line="113" w:lineRule="exact"/>
        <w:rPr>
          <w:rFonts w:ascii="Arial" w:cs="Arial" w:eastAsia="Arial" w:hAnsi="Arial"/>
          <w:sz w:val="18"/>
          <w:szCs w:val="18"/>
          <w:color w:val="auto"/>
        </w:rPr>
      </w:pPr>
    </w:p>
    <w:p>
      <w:pPr>
        <w:ind w:left="1620" w:hanging="346"/>
        <w:spacing w:after="0"/>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annual total compensation of our CEO was $3,902,881.</w:t>
      </w:r>
    </w:p>
    <w:p>
      <w:pPr>
        <w:spacing w:after="0" w:line="171" w:lineRule="exact"/>
        <w:rPr>
          <w:sz w:val="20"/>
          <w:szCs w:val="20"/>
          <w:color w:val="auto"/>
        </w:rPr>
      </w:pPr>
    </w:p>
    <w:p>
      <w:pPr>
        <w:ind w:left="920" w:right="980"/>
        <w:spacing w:after="0" w:line="244" w:lineRule="auto"/>
        <w:rPr>
          <w:sz w:val="20"/>
          <w:szCs w:val="20"/>
          <w:color w:val="auto"/>
        </w:rPr>
      </w:pPr>
      <w:r>
        <w:rPr>
          <w:rFonts w:ascii="Arial" w:cs="Arial" w:eastAsia="Arial" w:hAnsi="Arial"/>
          <w:sz w:val="18"/>
          <w:szCs w:val="18"/>
          <w:color w:val="auto"/>
        </w:rPr>
        <w:t>For 2022, the annual total compensation of our CEO was 60 times that of the median of the annual total compensation of all employees. This calculation is based on our employee population of 4,822 as of December 31, 2022. The median employee was identified using base pay, overtime pay, short-term incentives, and long-term incentive grant date fair values for the twelve months ended December 31, 2022. Our median employee is located in the United States.</w:t>
      </w:r>
    </w:p>
    <w:p>
      <w:pPr>
        <w:spacing w:after="0" w:line="149" w:lineRule="exact"/>
        <w:rPr>
          <w:sz w:val="20"/>
          <w:szCs w:val="20"/>
          <w:color w:val="auto"/>
        </w:rPr>
      </w:pPr>
    </w:p>
    <w:p>
      <w:pPr>
        <w:ind w:left="920" w:right="960"/>
        <w:spacing w:after="0" w:line="239" w:lineRule="auto"/>
        <w:rPr>
          <w:sz w:val="20"/>
          <w:szCs w:val="20"/>
          <w:color w:val="auto"/>
        </w:rPr>
      </w:pPr>
      <w:r>
        <w:rPr>
          <w:rFonts w:ascii="Arial" w:cs="Arial" w:eastAsia="Arial" w:hAnsi="Arial"/>
          <w:sz w:val="18"/>
          <w:szCs w:val="18"/>
          <w:color w:val="auto"/>
        </w:rPr>
        <w:t>Annual total compensation for each of the CEO and the median employee was calculated in accordance with Item 402(c)(2)(x) of Regulation S-K. This pay ratio is a reasonable estimate calculated in a manner consistent with SEC rules based on our payroll and employment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-52-</w:t>
            </w:r>
          </w:p>
        </w:tc>
      </w:tr>
      <w:tr>
        <w:trPr>
          <w:trHeight w:val="219"/>
        </w:trPr>
        <w:tc>
          <w:tcPr>
            <w:tcW w:w="316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 </w:t>
      </w:r>
    </w:p>
    <w:p>
      <w:pPr>
        <w:spacing w:after="0" w:line="13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Pay Versus Performance</w:t>
      </w:r>
    </w:p>
    <w:p>
      <w:pPr>
        <w:spacing w:after="0" w:line="185" w:lineRule="exact"/>
        <w:rPr>
          <w:sz w:val="20"/>
          <w:szCs w:val="20"/>
          <w:color w:val="auto"/>
        </w:rPr>
      </w:pPr>
    </w:p>
    <w:p>
      <w:pPr>
        <w:ind w:left="1040" w:right="80"/>
        <w:spacing w:after="0" w:line="244" w:lineRule="auto"/>
        <w:rPr>
          <w:sz w:val="20"/>
          <w:szCs w:val="20"/>
          <w:color w:val="auto"/>
        </w:rPr>
      </w:pPr>
      <w:r>
        <w:rPr>
          <w:rFonts w:ascii="Arial" w:cs="Arial" w:eastAsia="Arial" w:hAnsi="Arial"/>
          <w:sz w:val="18"/>
          <w:szCs w:val="18"/>
          <w:color w:val="auto"/>
        </w:rPr>
        <w:t>In accordance with rules adopted by the SEC, we provide the following disclosure regarding executive “Compensation Actually Paid” or “CAP” (as calculated in accordance with SEC rules) and certain Company performance for the fiscal years listed below. You should refer to “</w:t>
      </w:r>
      <w:r>
        <w:rPr>
          <w:rFonts w:ascii="Arial" w:cs="Arial" w:eastAsia="Arial" w:hAnsi="Arial"/>
          <w:sz w:val="18"/>
          <w:szCs w:val="18"/>
          <w:i w:val="1"/>
          <w:iCs w:val="1"/>
          <w:color w:val="auto"/>
        </w:rPr>
        <w:t>EXECUTIVE COMPENSATION –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w:t>
      </w:r>
      <w:r>
        <w:rPr>
          <w:rFonts w:ascii="Arial" w:cs="Arial" w:eastAsia="Arial" w:hAnsi="Arial"/>
          <w:sz w:val="18"/>
          <w:szCs w:val="18"/>
          <w:color w:val="auto"/>
        </w:rPr>
        <w:t>” in this proxy statement for a complete description of how executive compensation relates</w:t>
      </w:r>
      <w:r>
        <w:rPr>
          <w:rFonts w:ascii="Arial" w:cs="Arial" w:eastAsia="Arial" w:hAnsi="Arial"/>
          <w:sz w:val="18"/>
          <w:szCs w:val="18"/>
          <w:i w:val="1"/>
          <w:iCs w:val="1"/>
          <w:color w:val="auto"/>
        </w:rPr>
        <w:t xml:space="preserve"> </w:t>
      </w:r>
      <w:r>
        <w:rPr>
          <w:rFonts w:ascii="Arial" w:cs="Arial" w:eastAsia="Arial" w:hAnsi="Arial"/>
          <w:sz w:val="18"/>
          <w:szCs w:val="18"/>
          <w:color w:val="auto"/>
        </w:rPr>
        <w:t>to Company performance and how the Compensation Committee makes its decisions.</w:t>
      </w:r>
    </w:p>
    <w:p>
      <w:pPr>
        <w:spacing w:after="0" w:line="91" w:lineRule="exact"/>
        <w:rPr>
          <w:sz w:val="20"/>
          <w:szCs w:val="20"/>
          <w:color w:val="auto"/>
        </w:rPr>
      </w:pPr>
    </w:p>
    <w:tbl>
      <w:tblPr>
        <w:tblLayout w:type="fixed"/>
        <w:tblInd w:w="104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Year-end value of $100</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Average</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invested</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ind w:left="200"/>
              <w:spacing w:after="0"/>
              <w:rPr>
                <w:sz w:val="20"/>
                <w:szCs w:val="20"/>
                <w:color w:val="auto"/>
              </w:rPr>
            </w:pPr>
            <w:r>
              <w:rPr>
                <w:rFonts w:ascii="Arial" w:cs="Arial" w:eastAsia="Arial" w:hAnsi="Arial"/>
                <w:sz w:val="14"/>
                <w:szCs w:val="14"/>
                <w:b w:val="1"/>
                <w:bCs w:val="1"/>
                <w:color w:val="auto"/>
              </w:rPr>
              <w:t>Summary</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Summary</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20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on 12/31/2019 in:</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Compensation</w:t>
            </w: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Compensation</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Compensation</w:t>
            </w: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Compensation</w:t>
            </w:r>
          </w:p>
        </w:tc>
        <w:tc>
          <w:tcPr>
            <w:tcW w:w="9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Table</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Actually</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Table</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Actually</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Adj.</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9"/>
              </w:rPr>
              <w:t>Total for</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Paid to</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Total for</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Paid to</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Net Income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Thomas L.</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Thomas L.</w:t>
            </w: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Non-CEO</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Non-CEO</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Peer</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Deitrich</w:t>
            </w:r>
          </w:p>
        </w:tc>
        <w:tc>
          <w:tcPr>
            <w:tcW w:w="1180" w:type="dxa"/>
            <w:vAlign w:val="bottom"/>
            <w:gridSpan w:val="2"/>
          </w:tcPr>
          <w:p>
            <w:pPr>
              <w:jc w:val="center"/>
              <w:ind w:right="120"/>
              <w:spacing w:after="0" w:line="180" w:lineRule="exact"/>
              <w:rPr>
                <w:sz w:val="20"/>
                <w:szCs w:val="20"/>
                <w:color w:val="auto"/>
              </w:rPr>
            </w:pPr>
            <w:r>
              <w:rPr>
                <w:rFonts w:ascii="Arial" w:cs="Arial" w:eastAsia="Arial" w:hAnsi="Arial"/>
                <w:sz w:val="13"/>
                <w:szCs w:val="13"/>
                <w:b w:val="1"/>
                <w:bCs w:val="1"/>
                <w:color w:val="auto"/>
              </w:rPr>
              <w:t>Deitrich</w:t>
            </w:r>
            <w:r>
              <w:rPr>
                <w:rFonts w:ascii="Arial" w:cs="Arial" w:eastAsia="Arial" w:hAnsi="Arial"/>
                <w:sz w:val="20"/>
                <w:szCs w:val="20"/>
                <w:b w:val="1"/>
                <w:bCs w:val="1"/>
                <w:color w:val="auto"/>
                <w:vertAlign w:val="superscript"/>
              </w:rPr>
              <w:t>(1)(4)</w:t>
            </w:r>
          </w:p>
        </w:tc>
        <w:tc>
          <w:tcPr>
            <w:tcW w:w="1100" w:type="dxa"/>
            <w:vAlign w:val="bottom"/>
            <w:gridSpan w:val="2"/>
          </w:tcPr>
          <w:p>
            <w:pPr>
              <w:jc w:val="center"/>
              <w:ind w:right="120"/>
              <w:spacing w:after="0" w:line="180" w:lineRule="exact"/>
              <w:rPr>
                <w:sz w:val="20"/>
                <w:szCs w:val="20"/>
                <w:color w:val="auto"/>
              </w:rPr>
            </w:pPr>
            <w:r>
              <w:rPr>
                <w:rFonts w:ascii="Arial" w:cs="Arial" w:eastAsia="Arial" w:hAnsi="Arial"/>
                <w:sz w:val="13"/>
                <w:szCs w:val="13"/>
                <w:b w:val="1"/>
                <w:bCs w:val="1"/>
                <w:color w:val="auto"/>
              </w:rPr>
              <w:t>NEOs</w:t>
            </w:r>
            <w:r>
              <w:rPr>
                <w:rFonts w:ascii="Arial" w:cs="Arial" w:eastAsia="Arial" w:hAnsi="Arial"/>
                <w:sz w:val="20"/>
                <w:szCs w:val="20"/>
                <w:b w:val="1"/>
                <w:bCs w:val="1"/>
                <w:color w:val="auto"/>
                <w:vertAlign w:val="superscript"/>
              </w:rPr>
              <w:t>(2)</w:t>
            </w:r>
          </w:p>
        </w:tc>
        <w:tc>
          <w:tcPr>
            <w:tcW w:w="1080" w:type="dxa"/>
            <w:vAlign w:val="bottom"/>
            <w:gridSpan w:val="2"/>
          </w:tcPr>
          <w:p>
            <w:pPr>
              <w:jc w:val="center"/>
              <w:ind w:right="120"/>
              <w:spacing w:after="0" w:line="180" w:lineRule="exact"/>
              <w:rPr>
                <w:sz w:val="20"/>
                <w:szCs w:val="20"/>
                <w:color w:val="auto"/>
              </w:rPr>
            </w:pPr>
            <w:r>
              <w:rPr>
                <w:rFonts w:ascii="Arial" w:cs="Arial" w:eastAsia="Arial" w:hAnsi="Arial"/>
                <w:sz w:val="20"/>
                <w:szCs w:val="20"/>
                <w:b w:val="1"/>
                <w:bCs w:val="1"/>
                <w:color w:val="auto"/>
                <w:vertAlign w:val="subscript"/>
              </w:rPr>
              <w:t>NEOs</w:t>
            </w:r>
            <w:r>
              <w:rPr>
                <w:rFonts w:ascii="Arial" w:cs="Arial" w:eastAsia="Arial" w:hAnsi="Arial"/>
                <w:sz w:val="10"/>
                <w:szCs w:val="10"/>
                <w:b w:val="1"/>
                <w:bCs w:val="1"/>
                <w:color w:val="auto"/>
              </w:rPr>
              <w:t>(1)(2)(4)</w:t>
            </w:r>
          </w:p>
        </w:tc>
        <w:tc>
          <w:tcPr>
            <w:tcW w:w="1000" w:type="dxa"/>
            <w:vAlign w:val="bottom"/>
            <w:gridSpan w:val="2"/>
          </w:tcPr>
          <w:p>
            <w:pPr>
              <w:ind w:left="300"/>
              <w:spacing w:after="0"/>
              <w:rPr>
                <w:sz w:val="20"/>
                <w:szCs w:val="20"/>
                <w:color w:val="auto"/>
              </w:rPr>
            </w:pPr>
            <w:r>
              <w:rPr>
                <w:rFonts w:ascii="Arial" w:cs="Arial" w:eastAsia="Arial" w:hAnsi="Arial"/>
                <w:sz w:val="14"/>
                <w:szCs w:val="14"/>
                <w:b w:val="1"/>
                <w:bCs w:val="1"/>
                <w:color w:val="auto"/>
              </w:rPr>
              <w:t>ITRI</w:t>
            </w:r>
          </w:p>
        </w:tc>
        <w:tc>
          <w:tcPr>
            <w:tcW w:w="1000" w:type="dxa"/>
            <w:vAlign w:val="bottom"/>
            <w:gridSpan w:val="2"/>
          </w:tcPr>
          <w:p>
            <w:pPr>
              <w:jc w:val="center"/>
              <w:ind w:right="100"/>
              <w:spacing w:after="0" w:line="180" w:lineRule="exact"/>
              <w:rPr>
                <w:sz w:val="20"/>
                <w:szCs w:val="20"/>
                <w:color w:val="auto"/>
              </w:rPr>
            </w:pPr>
            <w:r>
              <w:rPr>
                <w:rFonts w:ascii="Arial" w:cs="Arial" w:eastAsia="Arial" w:hAnsi="Arial"/>
                <w:sz w:val="13"/>
                <w:szCs w:val="13"/>
                <w:b w:val="1"/>
                <w:bCs w:val="1"/>
                <w:color w:val="auto"/>
              </w:rPr>
              <w:t>Group</w:t>
            </w:r>
            <w:r>
              <w:rPr>
                <w:rFonts w:ascii="Arial" w:cs="Arial" w:eastAsia="Arial" w:hAnsi="Arial"/>
                <w:sz w:val="20"/>
                <w:szCs w:val="20"/>
                <w:b w:val="1"/>
                <w:bCs w:val="1"/>
                <w:color w:val="auto"/>
                <w:vertAlign w:val="superscript"/>
              </w:rPr>
              <w:t>(3)</w:t>
            </w:r>
          </w:p>
        </w:tc>
        <w:tc>
          <w:tcPr>
            <w:tcW w:w="1080" w:type="dxa"/>
            <w:vAlign w:val="bottom"/>
            <w:gridSpan w:val="2"/>
          </w:tcPr>
          <w:p>
            <w:pPr>
              <w:jc w:val="center"/>
              <w:ind w:right="100"/>
              <w:spacing w:after="0" w:line="180" w:lineRule="exact"/>
              <w:rPr>
                <w:sz w:val="20"/>
                <w:szCs w:val="20"/>
                <w:color w:val="auto"/>
              </w:rPr>
            </w:pPr>
            <w:r>
              <w:rPr>
                <w:rFonts w:ascii="Arial" w:cs="Arial" w:eastAsia="Arial" w:hAnsi="Arial"/>
                <w:sz w:val="13"/>
                <w:szCs w:val="13"/>
                <w:b w:val="1"/>
                <w:bCs w:val="1"/>
                <w:color w:val="auto"/>
              </w:rPr>
              <w:t>millions)</w:t>
            </w:r>
            <w:r>
              <w:rPr>
                <w:rFonts w:ascii="Arial" w:cs="Arial" w:eastAsia="Arial" w:hAnsi="Arial"/>
                <w:sz w:val="20"/>
                <w:szCs w:val="20"/>
                <w:b w:val="1"/>
                <w:bCs w:val="1"/>
                <w:color w:val="auto"/>
                <w:vertAlign w:val="superscript"/>
              </w:rPr>
              <w:t>(5)</w:t>
            </w:r>
          </w:p>
        </w:tc>
        <w:tc>
          <w:tcPr>
            <w:tcW w:w="820" w:type="dxa"/>
            <w:vAlign w:val="bottom"/>
          </w:tcPr>
          <w:p>
            <w:pPr>
              <w:jc w:val="center"/>
              <w:spacing w:after="0" w:line="180" w:lineRule="exact"/>
              <w:rPr>
                <w:sz w:val="20"/>
                <w:szCs w:val="20"/>
                <w:color w:val="auto"/>
              </w:rPr>
            </w:pPr>
            <w:r>
              <w:rPr>
                <w:rFonts w:ascii="Arial" w:cs="Arial" w:eastAsia="Arial" w:hAnsi="Arial"/>
                <w:sz w:val="13"/>
                <w:szCs w:val="13"/>
                <w:b w:val="1"/>
                <w:bCs w:val="1"/>
                <w:color w:val="auto"/>
              </w:rPr>
              <w:t>millions)</w:t>
            </w:r>
            <w:r>
              <w:rPr>
                <w:rFonts w:ascii="Arial" w:cs="Arial" w:eastAsia="Arial" w:hAnsi="Arial"/>
                <w:sz w:val="20"/>
                <w:szCs w:val="20"/>
                <w:b w:val="1"/>
                <w:bCs w:val="1"/>
                <w:color w:val="auto"/>
                <w:vertAlign w:val="superscript"/>
              </w:rPr>
              <w:t>(6)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920" w:type="dxa"/>
            <w:vAlign w:val="bottom"/>
          </w:tcPr>
          <w:p>
            <w:pPr>
              <w:jc w:val="right"/>
              <w:ind w:right="351"/>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6"/>
        </w:trPr>
        <w:tc>
          <w:tcPr>
            <w:tcW w:w="60" w:type="dxa"/>
            <w:vAlign w:val="bottom"/>
            <w:tcBorders>
              <w:bottom w:val="single" w:sz="8" w:color="B2B2B2"/>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B2B2B2"/>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Borders>
              <w:bottom w:val="single" w:sz="8" w:color="B2B2B2"/>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B2B2B2"/>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B2B2B2"/>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B2B2B2"/>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B2B2B2"/>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B2B2B2"/>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B2B2B2"/>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620" w:type="dxa"/>
            <w:vAlign w:val="bottom"/>
            <w:gridSpan w:val="2"/>
            <w:shd w:val="clear" w:color="auto" w:fill="B2B2B2"/>
          </w:tcPr>
          <w:p>
            <w:pPr>
              <w:jc w:val="right"/>
              <w:ind w:right="188"/>
              <w:spacing w:after="0"/>
              <w:rPr>
                <w:sz w:val="20"/>
                <w:szCs w:val="20"/>
                <w:color w:val="auto"/>
              </w:rPr>
            </w:pPr>
            <w:r>
              <w:rPr>
                <w:rFonts w:ascii="Arial" w:cs="Arial" w:eastAsia="Arial" w:hAnsi="Arial"/>
                <w:sz w:val="13"/>
                <w:szCs w:val="13"/>
                <w:color w:val="auto"/>
              </w:rPr>
              <w:t>2022</w:t>
            </w:r>
          </w:p>
        </w:tc>
        <w:tc>
          <w:tcPr>
            <w:tcW w:w="100" w:type="dxa"/>
            <w:vAlign w:val="bottom"/>
            <w:shd w:val="clear" w:color="auto" w:fill="B2B2B2"/>
          </w:tcPr>
          <w:p>
            <w:pPr>
              <w:spacing w:after="0"/>
              <w:rPr>
                <w:sz w:val="19"/>
                <w:szCs w:val="19"/>
                <w:color w:val="auto"/>
              </w:rPr>
            </w:pPr>
          </w:p>
        </w:tc>
        <w:tc>
          <w:tcPr>
            <w:tcW w:w="1100" w:type="dxa"/>
            <w:vAlign w:val="bottom"/>
            <w:gridSpan w:val="2"/>
            <w:shd w:val="clear" w:color="auto" w:fill="B2B2B2"/>
          </w:tcPr>
          <w:p>
            <w:pPr>
              <w:ind w:left="220"/>
              <w:spacing w:after="0"/>
              <w:rPr>
                <w:sz w:val="20"/>
                <w:szCs w:val="20"/>
                <w:color w:val="auto"/>
              </w:rPr>
            </w:pPr>
            <w:r>
              <w:rPr>
                <w:rFonts w:ascii="Arial" w:cs="Arial" w:eastAsia="Arial" w:hAnsi="Arial"/>
                <w:sz w:val="13"/>
                <w:szCs w:val="13"/>
                <w:color w:val="auto"/>
              </w:rPr>
              <w:t>3,902,881</w:t>
            </w:r>
          </w:p>
        </w:tc>
        <w:tc>
          <w:tcPr>
            <w:tcW w:w="100" w:type="dxa"/>
            <w:vAlign w:val="bottom"/>
            <w:shd w:val="clear" w:color="auto" w:fill="B2B2B2"/>
          </w:tcPr>
          <w:p>
            <w:pPr>
              <w:spacing w:after="0"/>
              <w:rPr>
                <w:sz w:val="19"/>
                <w:szCs w:val="19"/>
                <w:color w:val="auto"/>
              </w:rPr>
            </w:pPr>
          </w:p>
        </w:tc>
        <w:tc>
          <w:tcPr>
            <w:tcW w:w="1100" w:type="dxa"/>
            <w:vAlign w:val="bottom"/>
            <w:shd w:val="clear" w:color="auto" w:fill="B2B2B2"/>
          </w:tcPr>
          <w:p>
            <w:pPr>
              <w:jc w:val="right"/>
              <w:ind w:right="252"/>
              <w:spacing w:after="0"/>
              <w:rPr>
                <w:sz w:val="20"/>
                <w:szCs w:val="20"/>
                <w:color w:val="auto"/>
              </w:rPr>
            </w:pPr>
            <w:r>
              <w:rPr>
                <w:rFonts w:ascii="Arial" w:cs="Arial" w:eastAsia="Arial" w:hAnsi="Arial"/>
                <w:sz w:val="13"/>
                <w:szCs w:val="13"/>
                <w:color w:val="auto"/>
              </w:rPr>
              <w:t>2,250,444</w:t>
            </w:r>
          </w:p>
        </w:tc>
        <w:tc>
          <w:tcPr>
            <w:tcW w:w="80" w:type="dxa"/>
            <w:vAlign w:val="bottom"/>
            <w:shd w:val="clear" w:color="auto" w:fill="B2B2B2"/>
          </w:tcPr>
          <w:p>
            <w:pPr>
              <w:spacing w:after="0"/>
              <w:rPr>
                <w:sz w:val="19"/>
                <w:szCs w:val="19"/>
                <w:color w:val="auto"/>
              </w:rPr>
            </w:pPr>
          </w:p>
        </w:tc>
        <w:tc>
          <w:tcPr>
            <w:tcW w:w="1020" w:type="dxa"/>
            <w:vAlign w:val="bottom"/>
            <w:shd w:val="clear" w:color="auto" w:fill="B2B2B2"/>
          </w:tcPr>
          <w:p>
            <w:pPr>
              <w:ind w:left="220"/>
              <w:spacing w:after="0"/>
              <w:rPr>
                <w:sz w:val="20"/>
                <w:szCs w:val="20"/>
                <w:color w:val="auto"/>
              </w:rPr>
            </w:pPr>
            <w:r>
              <w:rPr>
                <w:rFonts w:ascii="Arial" w:cs="Arial" w:eastAsia="Arial" w:hAnsi="Arial"/>
                <w:sz w:val="13"/>
                <w:szCs w:val="13"/>
                <w:color w:val="auto"/>
              </w:rPr>
              <w:t>1,168,312</w:t>
            </w:r>
          </w:p>
        </w:tc>
        <w:tc>
          <w:tcPr>
            <w:tcW w:w="80" w:type="dxa"/>
            <w:vAlign w:val="bottom"/>
            <w:shd w:val="clear" w:color="auto" w:fill="B2B2B2"/>
          </w:tcPr>
          <w:p>
            <w:pPr>
              <w:spacing w:after="0"/>
              <w:rPr>
                <w:sz w:val="19"/>
                <w:szCs w:val="19"/>
                <w:color w:val="auto"/>
              </w:rPr>
            </w:pPr>
          </w:p>
        </w:tc>
        <w:tc>
          <w:tcPr>
            <w:tcW w:w="1000" w:type="dxa"/>
            <w:vAlign w:val="bottom"/>
            <w:shd w:val="clear" w:color="auto" w:fill="B2B2B2"/>
          </w:tcPr>
          <w:p>
            <w:pPr>
              <w:jc w:val="right"/>
              <w:ind w:right="173"/>
              <w:spacing w:after="0"/>
              <w:rPr>
                <w:sz w:val="20"/>
                <w:szCs w:val="20"/>
                <w:color w:val="auto"/>
              </w:rPr>
            </w:pPr>
            <w:r>
              <w:rPr>
                <w:rFonts w:ascii="Arial" w:cs="Arial" w:eastAsia="Arial" w:hAnsi="Arial"/>
                <w:sz w:val="13"/>
                <w:szCs w:val="13"/>
                <w:color w:val="auto"/>
              </w:rPr>
              <w:t>745,460</w:t>
            </w:r>
          </w:p>
        </w:tc>
        <w:tc>
          <w:tcPr>
            <w:tcW w:w="80" w:type="dxa"/>
            <w:vAlign w:val="bottom"/>
            <w:shd w:val="clear" w:color="auto" w:fill="B2B2B2"/>
          </w:tcPr>
          <w:p>
            <w:pPr>
              <w:spacing w:after="0"/>
              <w:rPr>
                <w:sz w:val="19"/>
                <w:szCs w:val="19"/>
                <w:color w:val="auto"/>
              </w:rPr>
            </w:pPr>
          </w:p>
        </w:tc>
        <w:tc>
          <w:tcPr>
            <w:tcW w:w="920" w:type="dxa"/>
            <w:vAlign w:val="bottom"/>
            <w:shd w:val="clear" w:color="auto" w:fill="B2B2B2"/>
          </w:tcPr>
          <w:p>
            <w:pPr>
              <w:jc w:val="right"/>
              <w:ind w:right="191"/>
              <w:spacing w:after="0"/>
              <w:rPr>
                <w:sz w:val="20"/>
                <w:szCs w:val="20"/>
                <w:color w:val="auto"/>
              </w:rPr>
            </w:pPr>
            <w:r>
              <w:rPr>
                <w:rFonts w:ascii="Arial" w:cs="Arial" w:eastAsia="Arial" w:hAnsi="Arial"/>
                <w:sz w:val="13"/>
                <w:szCs w:val="13"/>
                <w:color w:val="auto"/>
              </w:rPr>
              <w:t>60.33</w:t>
            </w:r>
          </w:p>
        </w:tc>
        <w:tc>
          <w:tcPr>
            <w:tcW w:w="80" w:type="dxa"/>
            <w:vAlign w:val="bottom"/>
            <w:shd w:val="clear" w:color="auto" w:fill="B2B2B2"/>
          </w:tcPr>
          <w:p>
            <w:pPr>
              <w:spacing w:after="0"/>
              <w:rPr>
                <w:sz w:val="19"/>
                <w:szCs w:val="19"/>
                <w:color w:val="auto"/>
              </w:rPr>
            </w:pPr>
          </w:p>
        </w:tc>
        <w:tc>
          <w:tcPr>
            <w:tcW w:w="920" w:type="dxa"/>
            <w:vAlign w:val="bottom"/>
            <w:shd w:val="clear" w:color="auto" w:fill="B2B2B2"/>
          </w:tcPr>
          <w:p>
            <w:pPr>
              <w:jc w:val="right"/>
              <w:ind w:right="94"/>
              <w:spacing w:after="0"/>
              <w:rPr>
                <w:sz w:val="20"/>
                <w:szCs w:val="20"/>
                <w:color w:val="auto"/>
              </w:rPr>
            </w:pPr>
            <w:r>
              <w:rPr>
                <w:rFonts w:ascii="Arial" w:cs="Arial" w:eastAsia="Arial" w:hAnsi="Arial"/>
                <w:sz w:val="13"/>
                <w:szCs w:val="13"/>
                <w:color w:val="auto"/>
              </w:rPr>
              <w:t>73.66</w:t>
            </w:r>
          </w:p>
        </w:tc>
        <w:tc>
          <w:tcPr>
            <w:tcW w:w="80" w:type="dxa"/>
            <w:vAlign w:val="bottom"/>
            <w:shd w:val="clear" w:color="auto" w:fill="B2B2B2"/>
          </w:tcPr>
          <w:p>
            <w:pPr>
              <w:spacing w:after="0"/>
              <w:rPr>
                <w:sz w:val="19"/>
                <w:szCs w:val="19"/>
                <w:color w:val="auto"/>
              </w:rPr>
            </w:pPr>
          </w:p>
        </w:tc>
        <w:tc>
          <w:tcPr>
            <w:tcW w:w="1000" w:type="dxa"/>
            <w:vAlign w:val="bottom"/>
            <w:shd w:val="clear" w:color="auto" w:fill="B2B2B2"/>
          </w:tcPr>
          <w:p>
            <w:pPr>
              <w:jc w:val="right"/>
              <w:ind w:right="393"/>
              <w:spacing w:after="0"/>
              <w:rPr>
                <w:sz w:val="20"/>
                <w:szCs w:val="20"/>
                <w:color w:val="auto"/>
              </w:rPr>
            </w:pPr>
            <w:r>
              <w:rPr>
                <w:rFonts w:ascii="Arial" w:cs="Arial" w:eastAsia="Arial" w:hAnsi="Arial"/>
                <w:sz w:val="13"/>
                <w:szCs w:val="13"/>
                <w:color w:val="auto"/>
              </w:rPr>
              <w:t>-9.7</w:t>
            </w:r>
          </w:p>
        </w:tc>
        <w:tc>
          <w:tcPr>
            <w:tcW w:w="80" w:type="dxa"/>
            <w:vAlign w:val="bottom"/>
            <w:shd w:val="clear" w:color="auto" w:fill="B2B2B2"/>
          </w:tcPr>
          <w:p>
            <w:pPr>
              <w:spacing w:after="0"/>
              <w:rPr>
                <w:sz w:val="19"/>
                <w:szCs w:val="19"/>
                <w:color w:val="auto"/>
              </w:rPr>
            </w:pPr>
          </w:p>
        </w:tc>
        <w:tc>
          <w:tcPr>
            <w:tcW w:w="820" w:type="dxa"/>
            <w:vAlign w:val="bottom"/>
            <w:shd w:val="clear" w:color="auto" w:fill="B2B2B2"/>
          </w:tcPr>
          <w:p>
            <w:pPr>
              <w:jc w:val="right"/>
              <w:ind w:right="232"/>
              <w:spacing w:after="0"/>
              <w:rPr>
                <w:sz w:val="20"/>
                <w:szCs w:val="20"/>
                <w:color w:val="auto"/>
              </w:rPr>
            </w:pPr>
            <w:r>
              <w:rPr>
                <w:rFonts w:ascii="Arial" w:cs="Arial" w:eastAsia="Arial" w:hAnsi="Arial"/>
                <w:sz w:val="13"/>
                <w:szCs w:val="13"/>
                <w:color w:val="auto"/>
              </w:rPr>
              <w:t>95.1</w:t>
            </w:r>
          </w:p>
        </w:tc>
        <w:tc>
          <w:tcPr>
            <w:tcW w:w="0" w:type="dxa"/>
            <w:vAlign w:val="bottom"/>
          </w:tcPr>
          <w:p>
            <w:pPr>
              <w:spacing w:after="0"/>
              <w:rPr>
                <w:sz w:val="1"/>
                <w:szCs w:val="1"/>
                <w:color w:val="auto"/>
              </w:rPr>
            </w:pPr>
          </w:p>
        </w:tc>
      </w:tr>
      <w:tr>
        <w:trPr>
          <w:trHeight w:val="68"/>
        </w:trPr>
        <w:tc>
          <w:tcPr>
            <w:tcW w:w="60" w:type="dxa"/>
            <w:vAlign w:val="bottom"/>
            <w:shd w:val="clear" w:color="auto" w:fill="B2B2B2"/>
          </w:tcPr>
          <w:p>
            <w:pPr>
              <w:spacing w:after="0"/>
              <w:rPr>
                <w:sz w:val="5"/>
                <w:szCs w:val="5"/>
                <w:color w:val="auto"/>
              </w:rPr>
            </w:pPr>
          </w:p>
        </w:tc>
        <w:tc>
          <w:tcPr>
            <w:tcW w:w="560" w:type="dxa"/>
            <w:vAlign w:val="bottom"/>
            <w:shd w:val="clear" w:color="auto" w:fill="B2B2B2"/>
          </w:tcPr>
          <w:p>
            <w:pPr>
              <w:spacing w:after="0"/>
              <w:rPr>
                <w:sz w:val="5"/>
                <w:szCs w:val="5"/>
                <w:color w:val="auto"/>
              </w:rPr>
            </w:pPr>
          </w:p>
        </w:tc>
        <w:tc>
          <w:tcPr>
            <w:tcW w:w="100" w:type="dxa"/>
            <w:vAlign w:val="bottom"/>
            <w:shd w:val="clear" w:color="auto" w:fill="B2B2B2"/>
          </w:tcPr>
          <w:p>
            <w:pPr>
              <w:spacing w:after="0"/>
              <w:rPr>
                <w:sz w:val="5"/>
                <w:szCs w:val="5"/>
                <w:color w:val="auto"/>
              </w:rPr>
            </w:pPr>
          </w:p>
        </w:tc>
        <w:tc>
          <w:tcPr>
            <w:tcW w:w="560" w:type="dxa"/>
            <w:vAlign w:val="bottom"/>
            <w:shd w:val="clear" w:color="auto" w:fill="B2B2B2"/>
          </w:tcPr>
          <w:p>
            <w:pPr>
              <w:spacing w:after="0"/>
              <w:rPr>
                <w:sz w:val="5"/>
                <w:szCs w:val="5"/>
                <w:color w:val="auto"/>
              </w:rPr>
            </w:pPr>
          </w:p>
        </w:tc>
        <w:tc>
          <w:tcPr>
            <w:tcW w:w="540" w:type="dxa"/>
            <w:vAlign w:val="bottom"/>
            <w:shd w:val="clear" w:color="auto" w:fill="B2B2B2"/>
          </w:tcPr>
          <w:p>
            <w:pPr>
              <w:spacing w:after="0"/>
              <w:rPr>
                <w:sz w:val="5"/>
                <w:szCs w:val="5"/>
                <w:color w:val="auto"/>
              </w:rPr>
            </w:pPr>
          </w:p>
        </w:tc>
        <w:tc>
          <w:tcPr>
            <w:tcW w:w="100" w:type="dxa"/>
            <w:vAlign w:val="bottom"/>
            <w:shd w:val="clear" w:color="auto" w:fill="B2B2B2"/>
          </w:tcPr>
          <w:p>
            <w:pPr>
              <w:spacing w:after="0"/>
              <w:rPr>
                <w:sz w:val="5"/>
                <w:szCs w:val="5"/>
                <w:color w:val="auto"/>
              </w:rPr>
            </w:pPr>
          </w:p>
        </w:tc>
        <w:tc>
          <w:tcPr>
            <w:tcW w:w="1100" w:type="dxa"/>
            <w:vAlign w:val="bottom"/>
            <w:shd w:val="clear" w:color="auto" w:fill="B2B2B2"/>
          </w:tcPr>
          <w:p>
            <w:pPr>
              <w:spacing w:after="0"/>
              <w:rPr>
                <w:sz w:val="5"/>
                <w:szCs w:val="5"/>
                <w:color w:val="auto"/>
              </w:rPr>
            </w:pPr>
          </w:p>
        </w:tc>
        <w:tc>
          <w:tcPr>
            <w:tcW w:w="80" w:type="dxa"/>
            <w:vAlign w:val="bottom"/>
            <w:shd w:val="clear" w:color="auto" w:fill="B2B2B2"/>
          </w:tcPr>
          <w:p>
            <w:pPr>
              <w:spacing w:after="0"/>
              <w:rPr>
                <w:sz w:val="5"/>
                <w:szCs w:val="5"/>
                <w:color w:val="auto"/>
              </w:rPr>
            </w:pPr>
          </w:p>
        </w:tc>
        <w:tc>
          <w:tcPr>
            <w:tcW w:w="1020" w:type="dxa"/>
            <w:vAlign w:val="bottom"/>
            <w:shd w:val="clear" w:color="auto" w:fill="B2B2B2"/>
          </w:tcPr>
          <w:p>
            <w:pPr>
              <w:spacing w:after="0"/>
              <w:rPr>
                <w:sz w:val="5"/>
                <w:szCs w:val="5"/>
                <w:color w:val="auto"/>
              </w:rPr>
            </w:pPr>
          </w:p>
        </w:tc>
        <w:tc>
          <w:tcPr>
            <w:tcW w:w="80" w:type="dxa"/>
            <w:vAlign w:val="bottom"/>
            <w:shd w:val="clear" w:color="auto" w:fill="B2B2B2"/>
          </w:tcPr>
          <w:p>
            <w:pPr>
              <w:spacing w:after="0"/>
              <w:rPr>
                <w:sz w:val="5"/>
                <w:szCs w:val="5"/>
                <w:color w:val="auto"/>
              </w:rPr>
            </w:pPr>
          </w:p>
        </w:tc>
        <w:tc>
          <w:tcPr>
            <w:tcW w:w="1000" w:type="dxa"/>
            <w:vAlign w:val="bottom"/>
            <w:shd w:val="clear" w:color="auto" w:fill="B2B2B2"/>
          </w:tcPr>
          <w:p>
            <w:pPr>
              <w:spacing w:after="0"/>
              <w:rPr>
                <w:sz w:val="5"/>
                <w:szCs w:val="5"/>
                <w:color w:val="auto"/>
              </w:rPr>
            </w:pPr>
          </w:p>
        </w:tc>
        <w:tc>
          <w:tcPr>
            <w:tcW w:w="80" w:type="dxa"/>
            <w:vAlign w:val="bottom"/>
            <w:shd w:val="clear" w:color="auto" w:fill="B2B2B2"/>
          </w:tcPr>
          <w:p>
            <w:pPr>
              <w:spacing w:after="0"/>
              <w:rPr>
                <w:sz w:val="5"/>
                <w:szCs w:val="5"/>
                <w:color w:val="auto"/>
              </w:rPr>
            </w:pPr>
          </w:p>
        </w:tc>
        <w:tc>
          <w:tcPr>
            <w:tcW w:w="920" w:type="dxa"/>
            <w:vAlign w:val="bottom"/>
            <w:shd w:val="clear" w:color="auto" w:fill="B2B2B2"/>
          </w:tcPr>
          <w:p>
            <w:pPr>
              <w:spacing w:after="0"/>
              <w:rPr>
                <w:sz w:val="5"/>
                <w:szCs w:val="5"/>
                <w:color w:val="auto"/>
              </w:rPr>
            </w:pPr>
          </w:p>
        </w:tc>
        <w:tc>
          <w:tcPr>
            <w:tcW w:w="80" w:type="dxa"/>
            <w:vAlign w:val="bottom"/>
            <w:shd w:val="clear" w:color="auto" w:fill="B2B2B2"/>
          </w:tcPr>
          <w:p>
            <w:pPr>
              <w:spacing w:after="0"/>
              <w:rPr>
                <w:sz w:val="5"/>
                <w:szCs w:val="5"/>
                <w:color w:val="auto"/>
              </w:rPr>
            </w:pPr>
          </w:p>
        </w:tc>
        <w:tc>
          <w:tcPr>
            <w:tcW w:w="920" w:type="dxa"/>
            <w:vAlign w:val="bottom"/>
            <w:shd w:val="clear" w:color="auto" w:fill="B2B2B2"/>
          </w:tcPr>
          <w:p>
            <w:pPr>
              <w:spacing w:after="0"/>
              <w:rPr>
                <w:sz w:val="5"/>
                <w:szCs w:val="5"/>
                <w:color w:val="auto"/>
              </w:rPr>
            </w:pPr>
          </w:p>
        </w:tc>
        <w:tc>
          <w:tcPr>
            <w:tcW w:w="80" w:type="dxa"/>
            <w:vAlign w:val="bottom"/>
            <w:shd w:val="clear" w:color="auto" w:fill="B2B2B2"/>
          </w:tcPr>
          <w:p>
            <w:pPr>
              <w:spacing w:after="0"/>
              <w:rPr>
                <w:sz w:val="5"/>
                <w:szCs w:val="5"/>
                <w:color w:val="auto"/>
              </w:rPr>
            </w:pPr>
          </w:p>
        </w:tc>
        <w:tc>
          <w:tcPr>
            <w:tcW w:w="1000" w:type="dxa"/>
            <w:vAlign w:val="bottom"/>
            <w:shd w:val="clear" w:color="auto" w:fill="B2B2B2"/>
          </w:tcPr>
          <w:p>
            <w:pPr>
              <w:spacing w:after="0"/>
              <w:rPr>
                <w:sz w:val="5"/>
                <w:szCs w:val="5"/>
                <w:color w:val="auto"/>
              </w:rPr>
            </w:pPr>
          </w:p>
        </w:tc>
        <w:tc>
          <w:tcPr>
            <w:tcW w:w="80" w:type="dxa"/>
            <w:vAlign w:val="bottom"/>
            <w:shd w:val="clear" w:color="auto" w:fill="B2B2B2"/>
          </w:tcPr>
          <w:p>
            <w:pPr>
              <w:spacing w:after="0"/>
              <w:rPr>
                <w:sz w:val="5"/>
                <w:szCs w:val="5"/>
                <w:color w:val="auto"/>
              </w:rPr>
            </w:pPr>
          </w:p>
        </w:tc>
        <w:tc>
          <w:tcPr>
            <w:tcW w:w="820" w:type="dxa"/>
            <w:vAlign w:val="bottom"/>
            <w:shd w:val="clear" w:color="auto" w:fill="B2B2B2"/>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620" w:type="dxa"/>
            <w:vAlign w:val="bottom"/>
            <w:gridSpan w:val="2"/>
          </w:tcPr>
          <w:p>
            <w:pPr>
              <w:jc w:val="right"/>
              <w:ind w:right="188"/>
              <w:spacing w:after="0"/>
              <w:rPr>
                <w:sz w:val="20"/>
                <w:szCs w:val="20"/>
                <w:color w:val="auto"/>
              </w:rPr>
            </w:pPr>
            <w:r>
              <w:rPr>
                <w:rFonts w:ascii="Arial" w:cs="Arial" w:eastAsia="Arial" w:hAnsi="Arial"/>
                <w:sz w:val="13"/>
                <w:szCs w:val="13"/>
                <w:color w:val="auto"/>
              </w:rPr>
              <w:t>2021</w:t>
            </w:r>
          </w:p>
        </w:tc>
        <w:tc>
          <w:tcPr>
            <w:tcW w:w="100" w:type="dxa"/>
            <w:vAlign w:val="bottom"/>
          </w:tcPr>
          <w:p>
            <w:pPr>
              <w:spacing w:after="0"/>
              <w:rPr>
                <w:sz w:val="19"/>
                <w:szCs w:val="19"/>
                <w:color w:val="auto"/>
              </w:rPr>
            </w:pPr>
          </w:p>
        </w:tc>
        <w:tc>
          <w:tcPr>
            <w:tcW w:w="1100" w:type="dxa"/>
            <w:vAlign w:val="bottom"/>
            <w:gridSpan w:val="2"/>
          </w:tcPr>
          <w:p>
            <w:pPr>
              <w:ind w:left="220"/>
              <w:spacing w:after="0"/>
              <w:rPr>
                <w:sz w:val="20"/>
                <w:szCs w:val="20"/>
                <w:color w:val="auto"/>
              </w:rPr>
            </w:pPr>
            <w:r>
              <w:rPr>
                <w:rFonts w:ascii="Arial" w:cs="Arial" w:eastAsia="Arial" w:hAnsi="Arial"/>
                <w:sz w:val="13"/>
                <w:szCs w:val="13"/>
                <w:color w:val="auto"/>
              </w:rPr>
              <w:t>4,540,331</w:t>
            </w:r>
          </w:p>
        </w:tc>
        <w:tc>
          <w:tcPr>
            <w:tcW w:w="100" w:type="dxa"/>
            <w:vAlign w:val="bottom"/>
          </w:tcPr>
          <w:p>
            <w:pPr>
              <w:spacing w:after="0"/>
              <w:rPr>
                <w:sz w:val="19"/>
                <w:szCs w:val="19"/>
                <w:color w:val="auto"/>
              </w:rPr>
            </w:pPr>
          </w:p>
        </w:tc>
        <w:tc>
          <w:tcPr>
            <w:tcW w:w="1100" w:type="dxa"/>
            <w:vAlign w:val="bottom"/>
          </w:tcPr>
          <w:p>
            <w:pPr>
              <w:jc w:val="right"/>
              <w:ind w:right="252"/>
              <w:spacing w:after="0"/>
              <w:rPr>
                <w:sz w:val="20"/>
                <w:szCs w:val="20"/>
                <w:color w:val="auto"/>
              </w:rPr>
            </w:pPr>
            <w:r>
              <w:rPr>
                <w:rFonts w:ascii="Arial" w:cs="Arial" w:eastAsia="Arial" w:hAnsi="Arial"/>
                <w:sz w:val="13"/>
                <w:szCs w:val="13"/>
                <w:color w:val="auto"/>
              </w:rPr>
              <w:t>1,622,016</w:t>
            </w:r>
          </w:p>
        </w:tc>
        <w:tc>
          <w:tcPr>
            <w:tcW w:w="80" w:type="dxa"/>
            <w:vAlign w:val="bottom"/>
          </w:tcPr>
          <w:p>
            <w:pPr>
              <w:spacing w:after="0"/>
              <w:rPr>
                <w:sz w:val="19"/>
                <w:szCs w:val="19"/>
                <w:color w:val="auto"/>
              </w:rPr>
            </w:pPr>
          </w:p>
        </w:tc>
        <w:tc>
          <w:tcPr>
            <w:tcW w:w="1020" w:type="dxa"/>
            <w:vAlign w:val="bottom"/>
          </w:tcPr>
          <w:p>
            <w:pPr>
              <w:ind w:left="220"/>
              <w:spacing w:after="0"/>
              <w:rPr>
                <w:sz w:val="20"/>
                <w:szCs w:val="20"/>
                <w:color w:val="auto"/>
              </w:rPr>
            </w:pPr>
            <w:r>
              <w:rPr>
                <w:rFonts w:ascii="Arial" w:cs="Arial" w:eastAsia="Arial" w:hAnsi="Arial"/>
                <w:sz w:val="13"/>
                <w:szCs w:val="13"/>
                <w:color w:val="auto"/>
              </w:rPr>
              <w:t>1,712,738</w:t>
            </w:r>
          </w:p>
        </w:tc>
        <w:tc>
          <w:tcPr>
            <w:tcW w:w="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3"/>
                <w:szCs w:val="13"/>
                <w:color w:val="auto"/>
                <w:w w:val="96"/>
              </w:rPr>
              <w:t>1,026,630</w:t>
            </w:r>
          </w:p>
        </w:tc>
        <w:tc>
          <w:tcPr>
            <w:tcW w:w="80" w:type="dxa"/>
            <w:vAlign w:val="bottom"/>
          </w:tcPr>
          <w:p>
            <w:pPr>
              <w:spacing w:after="0"/>
              <w:rPr>
                <w:sz w:val="19"/>
                <w:szCs w:val="19"/>
                <w:color w:val="auto"/>
              </w:rPr>
            </w:pPr>
          </w:p>
        </w:tc>
        <w:tc>
          <w:tcPr>
            <w:tcW w:w="920" w:type="dxa"/>
            <w:vAlign w:val="bottom"/>
          </w:tcPr>
          <w:p>
            <w:pPr>
              <w:jc w:val="right"/>
              <w:ind w:right="191"/>
              <w:spacing w:after="0"/>
              <w:rPr>
                <w:sz w:val="20"/>
                <w:szCs w:val="20"/>
                <w:color w:val="auto"/>
              </w:rPr>
            </w:pPr>
            <w:r>
              <w:rPr>
                <w:rFonts w:ascii="Arial" w:cs="Arial" w:eastAsia="Arial" w:hAnsi="Arial"/>
                <w:sz w:val="13"/>
                <w:szCs w:val="13"/>
                <w:color w:val="auto"/>
              </w:rPr>
              <w:t>81.62</w:t>
            </w:r>
          </w:p>
        </w:tc>
        <w:tc>
          <w:tcPr>
            <w:tcW w:w="80" w:type="dxa"/>
            <w:vAlign w:val="bottom"/>
          </w:tcPr>
          <w:p>
            <w:pPr>
              <w:spacing w:after="0"/>
              <w:rPr>
                <w:sz w:val="19"/>
                <w:szCs w:val="19"/>
                <w:color w:val="auto"/>
              </w:rPr>
            </w:pPr>
          </w:p>
        </w:tc>
        <w:tc>
          <w:tcPr>
            <w:tcW w:w="920" w:type="dxa"/>
            <w:vAlign w:val="bottom"/>
          </w:tcPr>
          <w:p>
            <w:pPr>
              <w:jc w:val="right"/>
              <w:ind w:right="74"/>
              <w:spacing w:after="0"/>
              <w:rPr>
                <w:sz w:val="20"/>
                <w:szCs w:val="20"/>
                <w:color w:val="auto"/>
              </w:rPr>
            </w:pPr>
            <w:r>
              <w:rPr>
                <w:rFonts w:ascii="Arial" w:cs="Arial" w:eastAsia="Arial" w:hAnsi="Arial"/>
                <w:sz w:val="13"/>
                <w:szCs w:val="13"/>
                <w:color w:val="auto"/>
              </w:rPr>
              <w:t>141.30</w:t>
            </w:r>
          </w:p>
        </w:tc>
        <w:tc>
          <w:tcPr>
            <w:tcW w:w="80" w:type="dxa"/>
            <w:vAlign w:val="bottom"/>
          </w:tcPr>
          <w:p>
            <w:pPr>
              <w:spacing w:after="0"/>
              <w:rPr>
                <w:sz w:val="19"/>
                <w:szCs w:val="19"/>
                <w:color w:val="auto"/>
              </w:rPr>
            </w:pPr>
          </w:p>
        </w:tc>
        <w:tc>
          <w:tcPr>
            <w:tcW w:w="1000" w:type="dxa"/>
            <w:vAlign w:val="bottom"/>
          </w:tcPr>
          <w:p>
            <w:pPr>
              <w:jc w:val="right"/>
              <w:ind w:right="393"/>
              <w:spacing w:after="0"/>
              <w:rPr>
                <w:sz w:val="20"/>
                <w:szCs w:val="20"/>
                <w:color w:val="auto"/>
              </w:rPr>
            </w:pPr>
            <w:r>
              <w:rPr>
                <w:rFonts w:ascii="Arial" w:cs="Arial" w:eastAsia="Arial" w:hAnsi="Arial"/>
                <w:sz w:val="13"/>
                <w:szCs w:val="13"/>
                <w:color w:val="auto"/>
              </w:rPr>
              <w:t>-81.3</w:t>
            </w:r>
          </w:p>
        </w:tc>
        <w:tc>
          <w:tcPr>
            <w:tcW w:w="80" w:type="dxa"/>
            <w:vAlign w:val="bottom"/>
          </w:tcPr>
          <w:p>
            <w:pPr>
              <w:spacing w:after="0"/>
              <w:rPr>
                <w:sz w:val="19"/>
                <w:szCs w:val="19"/>
                <w:color w:val="auto"/>
              </w:rPr>
            </w:pPr>
          </w:p>
        </w:tc>
        <w:tc>
          <w:tcPr>
            <w:tcW w:w="820" w:type="dxa"/>
            <w:vAlign w:val="bottom"/>
          </w:tcPr>
          <w:p>
            <w:pPr>
              <w:jc w:val="right"/>
              <w:ind w:right="232"/>
              <w:spacing w:after="0"/>
              <w:rPr>
                <w:sz w:val="20"/>
                <w:szCs w:val="20"/>
                <w:color w:val="auto"/>
              </w:rPr>
            </w:pPr>
            <w:r>
              <w:rPr>
                <w:rFonts w:ascii="Arial" w:cs="Arial" w:eastAsia="Arial" w:hAnsi="Arial"/>
                <w:sz w:val="13"/>
                <w:szCs w:val="13"/>
                <w:color w:val="auto"/>
              </w:rPr>
              <w:t>115.2</w:t>
            </w: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620" w:type="dxa"/>
            <w:vAlign w:val="bottom"/>
            <w:gridSpan w:val="2"/>
            <w:shd w:val="clear" w:color="auto" w:fill="B2B2B2"/>
          </w:tcPr>
          <w:p>
            <w:pPr>
              <w:jc w:val="right"/>
              <w:ind w:right="188"/>
              <w:spacing w:after="0"/>
              <w:rPr>
                <w:sz w:val="20"/>
                <w:szCs w:val="20"/>
                <w:color w:val="auto"/>
              </w:rPr>
            </w:pPr>
            <w:r>
              <w:rPr>
                <w:rFonts w:ascii="Arial" w:cs="Arial" w:eastAsia="Arial" w:hAnsi="Arial"/>
                <w:sz w:val="13"/>
                <w:szCs w:val="13"/>
                <w:color w:val="auto"/>
              </w:rPr>
              <w:t>2020</w:t>
            </w:r>
          </w:p>
        </w:tc>
        <w:tc>
          <w:tcPr>
            <w:tcW w:w="100" w:type="dxa"/>
            <w:vAlign w:val="bottom"/>
            <w:shd w:val="clear" w:color="auto" w:fill="B2B2B2"/>
          </w:tcPr>
          <w:p>
            <w:pPr>
              <w:spacing w:after="0"/>
              <w:rPr>
                <w:sz w:val="21"/>
                <w:szCs w:val="21"/>
                <w:color w:val="auto"/>
              </w:rPr>
            </w:pPr>
          </w:p>
        </w:tc>
        <w:tc>
          <w:tcPr>
            <w:tcW w:w="1100" w:type="dxa"/>
            <w:vAlign w:val="bottom"/>
            <w:gridSpan w:val="2"/>
            <w:shd w:val="clear" w:color="auto" w:fill="B2B2B2"/>
          </w:tcPr>
          <w:p>
            <w:pPr>
              <w:ind w:left="220"/>
              <w:spacing w:after="0"/>
              <w:rPr>
                <w:sz w:val="20"/>
                <w:szCs w:val="20"/>
                <w:color w:val="auto"/>
              </w:rPr>
            </w:pPr>
            <w:r>
              <w:rPr>
                <w:rFonts w:ascii="Arial" w:cs="Arial" w:eastAsia="Arial" w:hAnsi="Arial"/>
                <w:sz w:val="13"/>
                <w:szCs w:val="13"/>
                <w:color w:val="auto"/>
              </w:rPr>
              <w:t>3,638,204</w:t>
            </w:r>
          </w:p>
        </w:tc>
        <w:tc>
          <w:tcPr>
            <w:tcW w:w="100" w:type="dxa"/>
            <w:vAlign w:val="bottom"/>
            <w:shd w:val="clear" w:color="auto" w:fill="B2B2B2"/>
          </w:tcPr>
          <w:p>
            <w:pPr>
              <w:spacing w:after="0"/>
              <w:rPr>
                <w:sz w:val="21"/>
                <w:szCs w:val="21"/>
                <w:color w:val="auto"/>
              </w:rPr>
            </w:pPr>
          </w:p>
        </w:tc>
        <w:tc>
          <w:tcPr>
            <w:tcW w:w="1100" w:type="dxa"/>
            <w:vAlign w:val="bottom"/>
            <w:shd w:val="clear" w:color="auto" w:fill="B2B2B2"/>
          </w:tcPr>
          <w:p>
            <w:pPr>
              <w:jc w:val="right"/>
              <w:ind w:right="252"/>
              <w:spacing w:after="0"/>
              <w:rPr>
                <w:sz w:val="20"/>
                <w:szCs w:val="20"/>
                <w:color w:val="auto"/>
              </w:rPr>
            </w:pPr>
            <w:r>
              <w:rPr>
                <w:rFonts w:ascii="Arial" w:cs="Arial" w:eastAsia="Arial" w:hAnsi="Arial"/>
                <w:sz w:val="13"/>
                <w:szCs w:val="13"/>
                <w:color w:val="auto"/>
              </w:rPr>
              <w:t>3,575,534</w:t>
            </w:r>
          </w:p>
        </w:tc>
        <w:tc>
          <w:tcPr>
            <w:tcW w:w="80" w:type="dxa"/>
            <w:vAlign w:val="bottom"/>
            <w:shd w:val="clear" w:color="auto" w:fill="B2B2B2"/>
          </w:tcPr>
          <w:p>
            <w:pPr>
              <w:spacing w:after="0"/>
              <w:rPr>
                <w:sz w:val="21"/>
                <w:szCs w:val="21"/>
                <w:color w:val="auto"/>
              </w:rPr>
            </w:pPr>
          </w:p>
        </w:tc>
        <w:tc>
          <w:tcPr>
            <w:tcW w:w="1020" w:type="dxa"/>
            <w:vAlign w:val="bottom"/>
            <w:shd w:val="clear" w:color="auto" w:fill="B2B2B2"/>
          </w:tcPr>
          <w:p>
            <w:pPr>
              <w:ind w:left="220"/>
              <w:spacing w:after="0"/>
              <w:rPr>
                <w:sz w:val="20"/>
                <w:szCs w:val="20"/>
                <w:color w:val="auto"/>
              </w:rPr>
            </w:pPr>
            <w:r>
              <w:rPr>
                <w:rFonts w:ascii="Arial" w:cs="Arial" w:eastAsia="Arial" w:hAnsi="Arial"/>
                <w:sz w:val="13"/>
                <w:szCs w:val="13"/>
                <w:color w:val="auto"/>
              </w:rPr>
              <w:t>1,311,769</w:t>
            </w:r>
          </w:p>
        </w:tc>
        <w:tc>
          <w:tcPr>
            <w:tcW w:w="80" w:type="dxa"/>
            <w:vAlign w:val="bottom"/>
            <w:shd w:val="clear" w:color="auto" w:fill="B2B2B2"/>
          </w:tcPr>
          <w:p>
            <w:pPr>
              <w:spacing w:after="0"/>
              <w:rPr>
                <w:sz w:val="21"/>
                <w:szCs w:val="21"/>
                <w:color w:val="auto"/>
              </w:rPr>
            </w:pPr>
          </w:p>
        </w:tc>
        <w:tc>
          <w:tcPr>
            <w:tcW w:w="1000" w:type="dxa"/>
            <w:vAlign w:val="bottom"/>
            <w:shd w:val="clear" w:color="auto" w:fill="B2B2B2"/>
          </w:tcPr>
          <w:p>
            <w:pPr>
              <w:jc w:val="right"/>
              <w:ind w:right="173"/>
              <w:spacing w:after="0"/>
              <w:rPr>
                <w:sz w:val="20"/>
                <w:szCs w:val="20"/>
                <w:color w:val="auto"/>
              </w:rPr>
            </w:pPr>
            <w:r>
              <w:rPr>
                <w:rFonts w:ascii="Arial" w:cs="Arial" w:eastAsia="Arial" w:hAnsi="Arial"/>
                <w:sz w:val="13"/>
                <w:szCs w:val="13"/>
                <w:color w:val="auto"/>
              </w:rPr>
              <w:t>1,011,247</w:t>
            </w:r>
          </w:p>
        </w:tc>
        <w:tc>
          <w:tcPr>
            <w:tcW w:w="80" w:type="dxa"/>
            <w:vAlign w:val="bottom"/>
            <w:shd w:val="clear" w:color="auto" w:fill="B2B2B2"/>
          </w:tcPr>
          <w:p>
            <w:pPr>
              <w:spacing w:after="0"/>
              <w:rPr>
                <w:sz w:val="21"/>
                <w:szCs w:val="21"/>
                <w:color w:val="auto"/>
              </w:rPr>
            </w:pPr>
          </w:p>
        </w:tc>
        <w:tc>
          <w:tcPr>
            <w:tcW w:w="920" w:type="dxa"/>
            <w:vAlign w:val="bottom"/>
            <w:shd w:val="clear" w:color="auto" w:fill="B2B2B2"/>
          </w:tcPr>
          <w:p>
            <w:pPr>
              <w:jc w:val="right"/>
              <w:ind w:right="171"/>
              <w:spacing w:after="0"/>
              <w:rPr>
                <w:sz w:val="20"/>
                <w:szCs w:val="20"/>
                <w:color w:val="auto"/>
              </w:rPr>
            </w:pPr>
            <w:r>
              <w:rPr>
                <w:rFonts w:ascii="Arial" w:cs="Arial" w:eastAsia="Arial" w:hAnsi="Arial"/>
                <w:sz w:val="13"/>
                <w:szCs w:val="13"/>
                <w:color w:val="auto"/>
              </w:rPr>
              <w:t>114.23</w:t>
            </w:r>
          </w:p>
        </w:tc>
        <w:tc>
          <w:tcPr>
            <w:tcW w:w="80" w:type="dxa"/>
            <w:vAlign w:val="bottom"/>
            <w:shd w:val="clear" w:color="auto" w:fill="B2B2B2"/>
          </w:tcPr>
          <w:p>
            <w:pPr>
              <w:spacing w:after="0"/>
              <w:rPr>
                <w:sz w:val="21"/>
                <w:szCs w:val="21"/>
                <w:color w:val="auto"/>
              </w:rPr>
            </w:pPr>
          </w:p>
        </w:tc>
        <w:tc>
          <w:tcPr>
            <w:tcW w:w="920" w:type="dxa"/>
            <w:vAlign w:val="bottom"/>
            <w:shd w:val="clear" w:color="auto" w:fill="B2B2B2"/>
          </w:tcPr>
          <w:p>
            <w:pPr>
              <w:jc w:val="right"/>
              <w:ind w:right="74"/>
              <w:spacing w:after="0"/>
              <w:rPr>
                <w:sz w:val="20"/>
                <w:szCs w:val="20"/>
                <w:color w:val="auto"/>
              </w:rPr>
            </w:pPr>
            <w:r>
              <w:rPr>
                <w:rFonts w:ascii="Arial" w:cs="Arial" w:eastAsia="Arial" w:hAnsi="Arial"/>
                <w:sz w:val="13"/>
                <w:szCs w:val="13"/>
                <w:color w:val="auto"/>
              </w:rPr>
              <w:t>121.61</w:t>
            </w:r>
          </w:p>
        </w:tc>
        <w:tc>
          <w:tcPr>
            <w:tcW w:w="80" w:type="dxa"/>
            <w:vAlign w:val="bottom"/>
            <w:shd w:val="clear" w:color="auto" w:fill="B2B2B2"/>
          </w:tcPr>
          <w:p>
            <w:pPr>
              <w:spacing w:after="0"/>
              <w:rPr>
                <w:sz w:val="21"/>
                <w:szCs w:val="21"/>
                <w:color w:val="auto"/>
              </w:rPr>
            </w:pPr>
          </w:p>
        </w:tc>
        <w:tc>
          <w:tcPr>
            <w:tcW w:w="1000" w:type="dxa"/>
            <w:vAlign w:val="bottom"/>
            <w:shd w:val="clear" w:color="auto" w:fill="B2B2B2"/>
          </w:tcPr>
          <w:p>
            <w:pPr>
              <w:jc w:val="right"/>
              <w:ind w:right="393"/>
              <w:spacing w:after="0"/>
              <w:rPr>
                <w:sz w:val="20"/>
                <w:szCs w:val="20"/>
                <w:color w:val="auto"/>
              </w:rPr>
            </w:pPr>
            <w:r>
              <w:rPr>
                <w:rFonts w:ascii="Arial" w:cs="Arial" w:eastAsia="Arial" w:hAnsi="Arial"/>
                <w:sz w:val="13"/>
                <w:szCs w:val="13"/>
                <w:color w:val="auto"/>
              </w:rPr>
              <w:t>-58.0</w:t>
            </w:r>
          </w:p>
        </w:tc>
        <w:tc>
          <w:tcPr>
            <w:tcW w:w="80" w:type="dxa"/>
            <w:vAlign w:val="bottom"/>
            <w:shd w:val="clear" w:color="auto" w:fill="B2B2B2"/>
          </w:tcPr>
          <w:p>
            <w:pPr>
              <w:spacing w:after="0"/>
              <w:rPr>
                <w:sz w:val="21"/>
                <w:szCs w:val="21"/>
                <w:color w:val="auto"/>
              </w:rPr>
            </w:pPr>
          </w:p>
        </w:tc>
        <w:tc>
          <w:tcPr>
            <w:tcW w:w="820" w:type="dxa"/>
            <w:vAlign w:val="bottom"/>
            <w:shd w:val="clear" w:color="auto" w:fill="B2B2B2"/>
          </w:tcPr>
          <w:p>
            <w:pPr>
              <w:jc w:val="right"/>
              <w:ind w:right="232"/>
              <w:spacing w:after="0"/>
              <w:rPr>
                <w:sz w:val="20"/>
                <w:szCs w:val="20"/>
                <w:color w:val="auto"/>
              </w:rPr>
            </w:pPr>
            <w:r>
              <w:rPr>
                <w:rFonts w:ascii="Arial" w:cs="Arial" w:eastAsia="Arial" w:hAnsi="Arial"/>
                <w:sz w:val="13"/>
                <w:szCs w:val="13"/>
                <w:color w:val="auto"/>
              </w:rPr>
              <w:t>178.4</w:t>
            </w:r>
          </w:p>
        </w:tc>
        <w:tc>
          <w:tcPr>
            <w:tcW w:w="0" w:type="dxa"/>
            <w:vAlign w:val="bottom"/>
          </w:tcPr>
          <w:p>
            <w:pPr>
              <w:spacing w:after="0"/>
              <w:rPr>
                <w:sz w:val="1"/>
                <w:szCs w:val="1"/>
                <w:color w:val="auto"/>
              </w:rPr>
            </w:pPr>
          </w:p>
        </w:tc>
      </w:tr>
      <w:tr>
        <w:trPr>
          <w:trHeight w:val="189"/>
        </w:trPr>
        <w:tc>
          <w:tcPr>
            <w:tcW w:w="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-668020</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-668020</wp:posOffset>
            </wp:positionV>
            <wp:extent cx="5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-668020</wp:posOffset>
            </wp:positionV>
            <wp:extent cx="514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-668020</wp:posOffset>
            </wp:positionV>
            <wp:extent cx="514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-668020</wp:posOffset>
            </wp:positionV>
            <wp:extent cx="514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-668020</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-668020</wp:posOffset>
            </wp:positionV>
            <wp:extent cx="596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-668020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-668020</wp:posOffset>
            </wp:positionV>
            <wp:extent cx="431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35" w:lineRule="exact"/>
        <w:rPr>
          <w:sz w:val="20"/>
          <w:szCs w:val="20"/>
          <w:color w:val="auto"/>
        </w:rPr>
      </w:pPr>
    </w:p>
    <w:p>
      <w:pPr>
        <w:ind w:left="1380" w:right="220" w:hanging="346"/>
        <w:spacing w:after="0" w:line="285" w:lineRule="auto"/>
        <w:tabs>
          <w:tab w:leader="none" w:pos="13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Deductions from, and additions to, total compensation in the Summary Compensation Table by year to calculate Compensation Actually Paid include:</w:t>
      </w:r>
    </w:p>
    <w:p>
      <w:pPr>
        <w:spacing w:after="0" w:line="6" w:lineRule="exact"/>
        <w:rPr>
          <w:sz w:val="20"/>
          <w:szCs w:val="20"/>
          <w:color w:val="auto"/>
        </w:rPr>
      </w:pPr>
    </w:p>
    <w:tbl>
      <w:tblPr>
        <w:tblLayout w:type="fixed"/>
        <w:tblInd w:w="1400" w:type="dxa"/>
        <w:tblCellMar>
          <w:top w:w="0" w:type="dxa"/>
          <w:left w:w="0" w:type="dxa"/>
          <w:bottom w:w="0" w:type="dxa"/>
          <w:right w:w="0" w:type="dxa"/>
        </w:tblCellMar>
      </w:tblPr>
      <w:tr>
        <w:trPr>
          <w:trHeight w:val="171"/>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080" w:type="dxa"/>
            <w:vAlign w:val="bottom"/>
          </w:tcPr>
          <w:p>
            <w:pPr>
              <w:spacing w:after="0"/>
              <w:rPr>
                <w:sz w:val="14"/>
                <w:szCs w:val="14"/>
                <w:color w:val="auto"/>
              </w:rPr>
            </w:pPr>
          </w:p>
        </w:tc>
        <w:tc>
          <w:tcPr>
            <w:tcW w:w="22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gridSpan w:val="6"/>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800" w:type="dxa"/>
            <w:vAlign w:val="bottom"/>
            <w:gridSpan w:val="2"/>
          </w:tcPr>
          <w:p>
            <w:pPr>
              <w:ind w:left="7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gridSpan w:val="6"/>
          </w:tcPr>
          <w:p>
            <w:pPr>
              <w:jc w:val="right"/>
              <w:spacing w:after="0"/>
              <w:rPr>
                <w:sz w:val="20"/>
                <w:szCs w:val="20"/>
                <w:color w:val="auto"/>
              </w:rPr>
            </w:pPr>
            <w:r>
              <w:rPr>
                <w:rFonts w:ascii="Arial" w:cs="Arial" w:eastAsia="Arial" w:hAnsi="Arial"/>
                <w:sz w:val="14"/>
                <w:szCs w:val="14"/>
                <w:b w:val="1"/>
                <w:bCs w:val="1"/>
                <w:color w:val="auto"/>
              </w:rPr>
              <w:t>2021</w:t>
            </w:r>
          </w:p>
        </w:tc>
        <w:tc>
          <w:tcPr>
            <w:tcW w:w="800" w:type="dxa"/>
            <w:vAlign w:val="bottom"/>
            <w:gridSpan w:val="2"/>
          </w:tcPr>
          <w:p>
            <w:pPr>
              <w:ind w:left="7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140" w:type="dxa"/>
            <w:vAlign w:val="bottom"/>
            <w:gridSpan w:val="6"/>
          </w:tcPr>
          <w:p>
            <w:pPr>
              <w:jc w:val="right"/>
              <w:spacing w:after="0"/>
              <w:rPr>
                <w:sz w:val="20"/>
                <w:szCs w:val="20"/>
                <w:color w:val="auto"/>
              </w:rPr>
            </w:pPr>
            <w:r>
              <w:rPr>
                <w:rFonts w:ascii="Arial" w:cs="Arial" w:eastAsia="Arial" w:hAnsi="Arial"/>
                <w:sz w:val="14"/>
                <w:szCs w:val="14"/>
                <w:b w:val="1"/>
                <w:bCs w:val="1"/>
                <w:color w:val="auto"/>
              </w:rPr>
              <w:t>2020</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080" w:type="dxa"/>
            <w:vAlign w:val="bottom"/>
          </w:tcPr>
          <w:p>
            <w:pPr>
              <w:spacing w:after="0"/>
              <w:rPr>
                <w:sz w:val="14"/>
                <w:szCs w:val="14"/>
                <w:color w:val="auto"/>
              </w:rPr>
            </w:pPr>
          </w:p>
        </w:tc>
        <w:tc>
          <w:tcPr>
            <w:tcW w:w="22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 xml:space="preserve">Thomas L. </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3"/>
          </w:tcPr>
          <w:p>
            <w:pPr>
              <w:jc w:val="right"/>
              <w:ind w:right="22"/>
              <w:spacing w:after="0"/>
              <w:rPr>
                <w:sz w:val="20"/>
                <w:szCs w:val="20"/>
                <w:color w:val="auto"/>
              </w:rPr>
            </w:pPr>
            <w:r>
              <w:rPr>
                <w:rFonts w:ascii="Arial" w:cs="Arial" w:eastAsia="Arial" w:hAnsi="Arial"/>
                <w:sz w:val="14"/>
                <w:szCs w:val="14"/>
                <w:b w:val="1"/>
                <w:bCs w:val="1"/>
                <w:color w:val="auto"/>
              </w:rPr>
              <w:t xml:space="preserve">Non-CEO </w:t>
            </w:r>
            <w:r>
              <w:rPr>
                <w:rFonts w:ascii="Times New Roman" w:cs="Times New Roman" w:eastAsia="Times New Roman" w:hAnsi="Times New Roman"/>
                <w:sz w:val="3"/>
                <w:szCs w:val="3"/>
                <w:color w:val="auto"/>
              </w:rPr>
              <w:t>​      ​</w:t>
            </w:r>
          </w:p>
        </w:tc>
        <w:tc>
          <w:tcPr>
            <w:tcW w:w="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 xml:space="preserve">Thomas L. </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right"/>
              <w:ind w:right="22"/>
              <w:spacing w:after="0"/>
              <w:rPr>
                <w:sz w:val="20"/>
                <w:szCs w:val="20"/>
                <w:color w:val="auto"/>
              </w:rPr>
            </w:pPr>
            <w:r>
              <w:rPr>
                <w:rFonts w:ascii="Arial" w:cs="Arial" w:eastAsia="Arial" w:hAnsi="Arial"/>
                <w:sz w:val="14"/>
                <w:szCs w:val="14"/>
                <w:b w:val="1"/>
                <w:bCs w:val="1"/>
                <w:color w:val="auto"/>
              </w:rPr>
              <w:t xml:space="preserve">Non-CEO </w:t>
            </w:r>
            <w:r>
              <w:rPr>
                <w:rFonts w:ascii="Times New Roman" w:cs="Times New Roman" w:eastAsia="Times New Roman" w:hAnsi="Times New Roman"/>
                <w:sz w:val="3"/>
                <w:szCs w:val="3"/>
                <w:color w:val="auto"/>
              </w:rPr>
              <w:t>​      ​</w:t>
            </w:r>
          </w:p>
        </w:tc>
        <w:tc>
          <w:tcPr>
            <w:tcW w:w="6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 xml:space="preserve">Thomas L. </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 xml:space="preserve">Non-CEO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Deitrich</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NEOs</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Deitrich</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NEOs</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Deitrich</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NEOs</w:t>
            </w:r>
          </w:p>
        </w:tc>
        <w:tc>
          <w:tcPr>
            <w:tcW w:w="0" w:type="dxa"/>
            <w:vAlign w:val="bottom"/>
          </w:tcPr>
          <w:p>
            <w:pPr>
              <w:spacing w:after="0"/>
              <w:rPr>
                <w:sz w:val="1"/>
                <w:szCs w:val="1"/>
                <w:color w:val="auto"/>
              </w:rPr>
            </w:pPr>
          </w:p>
        </w:tc>
      </w:tr>
      <w:tr>
        <w:trPr>
          <w:trHeight w:val="56"/>
        </w:trPr>
        <w:tc>
          <w:tcPr>
            <w:tcW w:w="40" w:type="dxa"/>
            <w:vAlign w:val="bottom"/>
          </w:tcPr>
          <w:p>
            <w:pPr>
              <w:spacing w:after="0"/>
              <w:rPr>
                <w:sz w:val="4"/>
                <w:szCs w:val="4"/>
                <w:color w:val="auto"/>
              </w:rPr>
            </w:pPr>
          </w:p>
        </w:tc>
        <w:tc>
          <w:tcPr>
            <w:tcW w:w="2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Total Compensation from</w:t>
            </w: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080" w:type="dxa"/>
            <w:vAlign w:val="bottom"/>
          </w:tcPr>
          <w:p>
            <w:pPr>
              <w:ind w:left="200"/>
              <w:spacing w:after="0" w:line="104" w:lineRule="exact"/>
              <w:rPr>
                <w:sz w:val="20"/>
                <w:szCs w:val="20"/>
                <w:color w:val="auto"/>
              </w:rPr>
            </w:pPr>
            <w:r>
              <w:rPr>
                <w:rFonts w:ascii="Arial" w:cs="Arial" w:eastAsia="Arial" w:hAnsi="Arial"/>
                <w:sz w:val="12"/>
                <w:szCs w:val="12"/>
                <w:b w:val="1"/>
                <w:bCs w:val="1"/>
                <w:color w:val="auto"/>
              </w:rPr>
              <w:t>Summary Compensation</w:t>
            </w:r>
          </w:p>
        </w:tc>
        <w:tc>
          <w:tcPr>
            <w:tcW w:w="22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spacing w:after="0"/>
              <w:rPr>
                <w:sz w:val="9"/>
                <w:szCs w:val="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tcPr>
          <w:p>
            <w:pPr>
              <w:ind w:left="7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spacing w:after="0"/>
              <w:rPr>
                <w:sz w:val="9"/>
                <w:szCs w:val="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gridSpan w:val="2"/>
          </w:tcPr>
          <w:p>
            <w:pPr>
              <w:ind w:left="7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spacing w:after="0"/>
              <w:rPr>
                <w:sz w:val="9"/>
                <w:szCs w:val="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2080" w:type="dxa"/>
            <w:vAlign w:val="bottom"/>
          </w:tcPr>
          <w:p>
            <w:pPr>
              <w:ind w:left="200"/>
              <w:spacing w:after="0"/>
              <w:rPr>
                <w:sz w:val="20"/>
                <w:szCs w:val="20"/>
                <w:color w:val="auto"/>
              </w:rPr>
            </w:pPr>
            <w:r>
              <w:rPr>
                <w:rFonts w:ascii="Arial" w:cs="Arial" w:eastAsia="Arial" w:hAnsi="Arial"/>
                <w:sz w:val="14"/>
                <w:szCs w:val="14"/>
                <w:b w:val="1"/>
                <w:bCs w:val="1"/>
                <w:color w:val="auto"/>
              </w:rPr>
              <w:t>Table</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rPr>
              <w:t>$ 3,902,881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rPr>
              <w:t>$1,168,312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rPr>
              <w:t>$ 4,540,331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rPr>
              <w:t>$1,712,738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rPr>
              <w:t>$ 3,638,204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rPr>
              <w:t>$1,311,769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120" w:type="dxa"/>
            <w:vAlign w:val="bottom"/>
            <w:gridSpan w:val="2"/>
          </w:tcPr>
          <w:p>
            <w:pPr>
              <w:spacing w:after="0"/>
              <w:rPr>
                <w:sz w:val="20"/>
                <w:szCs w:val="20"/>
                <w:color w:val="auto"/>
              </w:rPr>
            </w:pPr>
            <w:r>
              <w:rPr>
                <w:rFonts w:ascii="Times New Roman" w:cs="Times New Roman" w:eastAsia="Times New Roman" w:hAnsi="Times New Roman"/>
                <w:sz w:val="4"/>
                <w:szCs w:val="4"/>
                <w:color w:val="auto"/>
              </w:rPr>
              <w:t xml:space="preserve">​   </w:t>
            </w:r>
            <w:r>
              <w:rPr>
                <w:rFonts w:ascii="Arial" w:cs="Arial" w:eastAsia="Arial" w:hAnsi="Arial"/>
                <w:sz w:val="14"/>
                <w:szCs w:val="14"/>
                <w:b w:val="1"/>
                <w:bCs w:val="1"/>
                <w:color w:val="auto"/>
              </w:rPr>
              <w:t>Adjustments for Pension</w:t>
            </w:r>
          </w:p>
        </w:tc>
        <w:tc>
          <w:tcPr>
            <w:tcW w:w="22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ind w:left="7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2"/>
          </w:tcPr>
          <w:p>
            <w:pPr>
              <w:ind w:left="7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35560</wp:posOffset>
            </wp:positionV>
            <wp:extent cx="5366385" cy="4114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366385" cy="411480"/>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-581025</wp:posOffset>
            </wp:positionV>
            <wp:extent cx="5366385" cy="4114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366385" cy="411480"/>
                    </a:xfrm>
                    <a:prstGeom prst="rect">
                      <a:avLst/>
                    </a:prstGeom>
                    <a:noFill/>
                  </pic:spPr>
                </pic:pic>
              </a:graphicData>
            </a:graphic>
          </wp:anchor>
        </w:drawing>
      </w:r>
    </w:p>
    <w:p>
      <w:pPr>
        <w:sectPr>
          <w:pgSz w:w="11900" w:h="16838" w:orient="portrait"/>
          <w:cols w:equalWidth="0" w:num="1">
            <w:col w:w="10220"/>
          </w:cols>
          <w:pgMar w:left="320" w:top="122" w:right="1359" w:bottom="1440" w:gutter="0" w:footer="0" w:header="0"/>
        </w:sectPr>
      </w:pPr>
    </w:p>
    <w:p>
      <w:pPr>
        <w:spacing w:after="0" w:line="128"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Adjustment Summary</w:t>
      </w:r>
    </w:p>
    <w:tbl>
      <w:tblPr>
        <w:tblLayout w:type="fixed"/>
        <w:tblInd w:w="1640" w:type="dxa"/>
        <w:tblCellMar>
          <w:top w:w="0" w:type="dxa"/>
          <w:left w:w="0" w:type="dxa"/>
          <w:bottom w:w="0" w:type="dxa"/>
          <w:right w:w="0" w:type="dxa"/>
        </w:tblCellMar>
      </w:tblPr>
      <w:tr>
        <w:trPr>
          <w:trHeight w:val="101"/>
        </w:trPr>
        <w:tc>
          <w:tcPr>
            <w:tcW w:w="1780" w:type="dxa"/>
            <w:vAlign w:val="bottom"/>
          </w:tcPr>
          <w:p>
            <w:pPr>
              <w:ind w:left="180"/>
              <w:spacing w:after="0" w:line="92" w:lineRule="exact"/>
              <w:rPr>
                <w:sz w:val="20"/>
                <w:szCs w:val="20"/>
                <w:color w:val="auto"/>
              </w:rPr>
            </w:pPr>
            <w:r>
              <w:rPr>
                <w:rFonts w:ascii="Arial" w:cs="Arial" w:eastAsia="Arial" w:hAnsi="Arial"/>
                <w:sz w:val="10"/>
                <w:szCs w:val="10"/>
                <w:color w:val="auto"/>
              </w:rPr>
              <w:t>Compensation Table</w:t>
            </w:r>
          </w:p>
        </w:tc>
        <w:tc>
          <w:tcPr>
            <w:tcW w:w="440" w:type="dxa"/>
            <w:vAlign w:val="bottom"/>
          </w:tcPr>
          <w:p>
            <w:pPr>
              <w:jc w:val="right"/>
              <w:ind w:right="51"/>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jc w:val="right"/>
              <w:ind w:right="395"/>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420" w:type="dxa"/>
            <w:vAlign w:val="bottom"/>
          </w:tcPr>
          <w:p>
            <w:pPr>
              <w:spacing w:after="0"/>
              <w:rPr>
                <w:sz w:val="8"/>
                <w:szCs w:val="8"/>
                <w:color w:val="auto"/>
              </w:rPr>
            </w:pPr>
          </w:p>
        </w:tc>
        <w:tc>
          <w:tcPr>
            <w:tcW w:w="600" w:type="dxa"/>
            <w:vAlign w:val="bottom"/>
          </w:tcPr>
          <w:p>
            <w:pPr>
              <w:jc w:val="right"/>
              <w:ind w:right="413"/>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Pr>
          <w:p>
            <w:pPr>
              <w:spacing w:after="0"/>
              <w:rPr>
                <w:sz w:val="8"/>
                <w:szCs w:val="8"/>
                <w:color w:val="auto"/>
              </w:rPr>
            </w:pPr>
          </w:p>
        </w:tc>
        <w:tc>
          <w:tcPr>
            <w:tcW w:w="580" w:type="dxa"/>
            <w:vAlign w:val="bottom"/>
          </w:tcPr>
          <w:p>
            <w:pPr>
              <w:jc w:val="right"/>
              <w:ind w:right="393"/>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spacing w:after="0"/>
              <w:rPr>
                <w:sz w:val="8"/>
                <w:szCs w:val="8"/>
                <w:color w:val="auto"/>
              </w:rPr>
            </w:pPr>
          </w:p>
        </w:tc>
        <w:tc>
          <w:tcPr>
            <w:tcW w:w="600" w:type="dxa"/>
            <w:vAlign w:val="bottom"/>
          </w:tcPr>
          <w:p>
            <w:pPr>
              <w:jc w:val="right"/>
              <w:ind w:right="413"/>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ind w:left="48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jc w:val="right"/>
              <w:ind w:right="395"/>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4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252"/>
        </w:trPr>
        <w:tc>
          <w:tcPr>
            <w:tcW w:w="1780" w:type="dxa"/>
            <w:vAlign w:val="bottom"/>
          </w:tcPr>
          <w:p>
            <w:pPr>
              <w:ind w:left="180"/>
              <w:spacing w:after="0"/>
              <w:rPr>
                <w:sz w:val="20"/>
                <w:szCs w:val="20"/>
                <w:color w:val="auto"/>
              </w:rPr>
            </w:pPr>
            <w:r>
              <w:rPr>
                <w:rFonts w:ascii="Arial" w:cs="Arial" w:eastAsia="Arial" w:hAnsi="Arial"/>
                <w:sz w:val="14"/>
                <w:szCs w:val="14"/>
                <w:color w:val="auto"/>
              </w:rPr>
              <w:t>Pension</w:t>
            </w:r>
          </w:p>
        </w:tc>
        <w:tc>
          <w:tcPr>
            <w:tcW w:w="440" w:type="dxa"/>
            <w:vAlign w:val="bottom"/>
          </w:tcPr>
          <w:p>
            <w:pPr>
              <w:spacing w:after="0"/>
              <w:rPr>
                <w:sz w:val="21"/>
                <w:szCs w:val="21"/>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440" w:type="dxa"/>
            <w:vAlign w:val="bottom"/>
          </w:tcPr>
          <w:p>
            <w:pPr>
              <w:ind w:left="26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15"/>
              <w:spacing w:after="0"/>
              <w:rPr>
                <w:sz w:val="20"/>
                <w:szCs w:val="20"/>
                <w:color w:val="auto"/>
              </w:rPr>
            </w:pPr>
            <w:r>
              <w:rPr>
                <w:rFonts w:ascii="Arial" w:cs="Arial" w:eastAsia="Arial" w:hAnsi="Arial"/>
                <w:sz w:val="14"/>
                <w:szCs w:val="14"/>
                <w:color w:val="auto"/>
              </w:rPr>
              <w:t>$</w:t>
            </w:r>
          </w:p>
        </w:tc>
        <w:tc>
          <w:tcPr>
            <w:tcW w:w="420" w:type="dxa"/>
            <w:vAlign w:val="bottom"/>
          </w:tcPr>
          <w:p>
            <w:pPr>
              <w:ind w:left="260"/>
              <w:spacing w:after="0"/>
              <w:rPr>
                <w:sz w:val="20"/>
                <w:szCs w:val="20"/>
                <w:color w:val="auto"/>
              </w:rPr>
            </w:pPr>
            <w:r>
              <w:rPr>
                <w:rFonts w:ascii="Arial" w:cs="Arial" w:eastAsia="Arial" w:hAnsi="Arial"/>
                <w:sz w:val="14"/>
                <w:szCs w:val="14"/>
                <w:color w:val="auto"/>
                <w:w w:val="99"/>
              </w:rPr>
              <w:t>—</w:t>
            </w:r>
          </w:p>
        </w:tc>
        <w:tc>
          <w:tcPr>
            <w:tcW w:w="600" w:type="dxa"/>
            <w:vAlign w:val="bottom"/>
          </w:tcPr>
          <w:p>
            <w:pPr>
              <w:jc w:val="right"/>
              <w:ind w:right="253"/>
              <w:spacing w:after="0"/>
              <w:rPr>
                <w:sz w:val="20"/>
                <w:szCs w:val="20"/>
                <w:color w:val="auto"/>
              </w:rPr>
            </w:pPr>
            <w:r>
              <w:rPr>
                <w:rFonts w:ascii="Arial" w:cs="Arial" w:eastAsia="Arial" w:hAnsi="Arial"/>
                <w:sz w:val="14"/>
                <w:szCs w:val="14"/>
                <w:color w:val="auto"/>
              </w:rPr>
              <w:t>$</w:t>
            </w:r>
          </w:p>
        </w:tc>
        <w:tc>
          <w:tcPr>
            <w:tcW w:w="440" w:type="dxa"/>
            <w:vAlign w:val="bottom"/>
          </w:tcPr>
          <w:p>
            <w:pPr>
              <w:ind w:left="26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33"/>
              <w:spacing w:after="0"/>
              <w:rPr>
                <w:sz w:val="20"/>
                <w:szCs w:val="20"/>
                <w:color w:val="auto"/>
              </w:rPr>
            </w:pPr>
            <w:r>
              <w:rPr>
                <w:rFonts w:ascii="Arial" w:cs="Arial" w:eastAsia="Arial" w:hAnsi="Arial"/>
                <w:sz w:val="14"/>
                <w:szCs w:val="14"/>
                <w:color w:val="auto"/>
              </w:rPr>
              <w:t>$</w:t>
            </w:r>
          </w:p>
        </w:tc>
        <w:tc>
          <w:tcPr>
            <w:tcW w:w="400" w:type="dxa"/>
            <w:vAlign w:val="bottom"/>
          </w:tcPr>
          <w:p>
            <w:pPr>
              <w:ind w:left="240"/>
              <w:spacing w:after="0"/>
              <w:rPr>
                <w:sz w:val="20"/>
                <w:szCs w:val="20"/>
                <w:color w:val="auto"/>
              </w:rPr>
            </w:pPr>
            <w:r>
              <w:rPr>
                <w:rFonts w:ascii="Arial" w:cs="Arial" w:eastAsia="Arial" w:hAnsi="Arial"/>
                <w:sz w:val="14"/>
                <w:szCs w:val="14"/>
                <w:color w:val="auto"/>
                <w:w w:val="99"/>
              </w:rPr>
              <w:t>—</w:t>
            </w:r>
          </w:p>
        </w:tc>
        <w:tc>
          <w:tcPr>
            <w:tcW w:w="600" w:type="dxa"/>
            <w:vAlign w:val="bottom"/>
          </w:tcPr>
          <w:p>
            <w:pPr>
              <w:jc w:val="right"/>
              <w:ind w:right="233"/>
              <w:spacing w:after="0"/>
              <w:rPr>
                <w:sz w:val="20"/>
                <w:szCs w:val="20"/>
                <w:color w:val="auto"/>
              </w:rPr>
            </w:pPr>
            <w:r>
              <w:rPr>
                <w:rFonts w:ascii="Arial" w:cs="Arial" w:eastAsia="Arial" w:hAnsi="Arial"/>
                <w:sz w:val="14"/>
                <w:szCs w:val="14"/>
                <w:color w:val="auto"/>
              </w:rPr>
              <w:t>$</w:t>
            </w:r>
          </w:p>
        </w:tc>
        <w:tc>
          <w:tcPr>
            <w:tcW w:w="540" w:type="dxa"/>
            <w:vAlign w:val="bottom"/>
          </w:tcPr>
          <w:p>
            <w:pPr>
              <w:ind w:left="28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95"/>
              <w:spacing w:after="0"/>
              <w:rPr>
                <w:sz w:val="20"/>
                <w:szCs w:val="20"/>
                <w:color w:val="auto"/>
              </w:rPr>
            </w:pPr>
            <w:r>
              <w:rPr>
                <w:rFonts w:ascii="Arial" w:cs="Arial" w:eastAsia="Arial" w:hAnsi="Arial"/>
                <w:sz w:val="14"/>
                <w:szCs w:val="14"/>
                <w:color w:val="auto"/>
              </w:rPr>
              <w:t>$</w:t>
            </w:r>
          </w:p>
        </w:tc>
        <w:tc>
          <w:tcPr>
            <w:tcW w:w="460" w:type="dxa"/>
            <w:vAlign w:val="bottom"/>
          </w:tcPr>
          <w:p>
            <w:pPr>
              <w:ind w:lef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5"/>
        </w:trPr>
        <w:tc>
          <w:tcPr>
            <w:tcW w:w="2220" w:type="dxa"/>
            <w:vAlign w:val="bottom"/>
            <w:gridSpan w:val="2"/>
          </w:tcPr>
          <w:p>
            <w:pPr>
              <w:jc w:val="right"/>
              <w:ind w:right="51"/>
              <w:spacing w:after="0"/>
              <w:rPr>
                <w:sz w:val="20"/>
                <w:szCs w:val="20"/>
                <w:color w:val="auto"/>
              </w:rPr>
            </w:pPr>
            <w:r>
              <w:rPr>
                <w:rFonts w:ascii="Arial" w:cs="Arial" w:eastAsia="Arial" w:hAnsi="Arial"/>
                <w:sz w:val="14"/>
                <w:szCs w:val="14"/>
                <w:color w:val="auto"/>
              </w:rPr>
              <w:t xml:space="preserve">Amount added for current year </w:t>
            </w:r>
            <w:r>
              <w:rPr>
                <w:rFonts w:ascii="Times New Roman" w:cs="Times New Roman" w:eastAsia="Times New Roman" w:hAnsi="Times New Roman"/>
                <w:sz w:val="7"/>
                <w:szCs w:val="7"/>
                <w:color w:val="auto"/>
                <w:vertAlign w:val="subscript"/>
              </w:rPr>
              <w:t>​      ​</w:t>
            </w:r>
          </w:p>
        </w:tc>
        <w:tc>
          <w:tcPr>
            <w:tcW w:w="40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ind w:left="26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95"/>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420" w:type="dxa"/>
            <w:vAlign w:val="bottom"/>
            <w:vMerge w:val="restart"/>
          </w:tcPr>
          <w:p>
            <w:pPr>
              <w:ind w:left="260"/>
              <w:spacing w:after="0"/>
              <w:rPr>
                <w:sz w:val="20"/>
                <w:szCs w:val="20"/>
                <w:color w:val="auto"/>
              </w:rPr>
            </w:pPr>
            <w:r>
              <w:rPr>
                <w:rFonts w:ascii="Arial" w:cs="Arial" w:eastAsia="Arial" w:hAnsi="Arial"/>
                <w:sz w:val="14"/>
                <w:szCs w:val="14"/>
                <w:color w:val="auto"/>
                <w:w w:val="99"/>
              </w:rPr>
              <w:t>—</w:t>
            </w:r>
          </w:p>
        </w:tc>
        <w:tc>
          <w:tcPr>
            <w:tcW w:w="600" w:type="dxa"/>
            <w:vAlign w:val="bottom"/>
          </w:tcPr>
          <w:p>
            <w:pPr>
              <w:jc w:val="right"/>
              <w:ind w:right="413"/>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vMerge w:val="restart"/>
          </w:tcPr>
          <w:p>
            <w:pPr>
              <w:ind w:left="26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393"/>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vMerge w:val="restart"/>
          </w:tcPr>
          <w:p>
            <w:pPr>
              <w:ind w:left="240"/>
              <w:spacing w:after="0"/>
              <w:rPr>
                <w:sz w:val="20"/>
                <w:szCs w:val="20"/>
                <w:color w:val="auto"/>
              </w:rPr>
            </w:pPr>
            <w:r>
              <w:rPr>
                <w:rFonts w:ascii="Arial" w:cs="Arial" w:eastAsia="Arial" w:hAnsi="Arial"/>
                <w:sz w:val="14"/>
                <w:szCs w:val="14"/>
                <w:color w:val="auto"/>
                <w:w w:val="99"/>
              </w:rPr>
              <w:t>—</w:t>
            </w:r>
          </w:p>
        </w:tc>
        <w:tc>
          <w:tcPr>
            <w:tcW w:w="600" w:type="dxa"/>
            <w:vAlign w:val="bottom"/>
          </w:tcPr>
          <w:p>
            <w:pPr>
              <w:jc w:val="right"/>
              <w:ind w:right="413"/>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ind w:left="48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jc w:val="right"/>
              <w:ind w:right="395"/>
              <w:spacing w:after="0"/>
              <w:rPr>
                <w:sz w:val="20"/>
                <w:szCs w:val="20"/>
                <w:color w:val="auto"/>
              </w:rPr>
            </w:pPr>
            <w:r>
              <w:rPr>
                <w:rFonts w:ascii="Times New Roman" w:cs="Times New Roman" w:eastAsia="Times New Roman" w:hAnsi="Times New Roman"/>
                <w:sz w:val="4"/>
                <w:szCs w:val="4"/>
                <w:color w:val="auto"/>
              </w:rPr>
              <w:t>​</w:t>
            </w:r>
          </w:p>
        </w:tc>
        <w:tc>
          <w:tcPr>
            <w:tcW w:w="460" w:type="dxa"/>
            <w:vAlign w:val="bottom"/>
          </w:tcPr>
          <w:p>
            <w:pPr>
              <w:ind w:left="4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90"/>
        </w:trPr>
        <w:tc>
          <w:tcPr>
            <w:tcW w:w="1780" w:type="dxa"/>
            <w:vAlign w:val="bottom"/>
          </w:tcPr>
          <w:p>
            <w:pPr>
              <w:ind w:left="180"/>
              <w:spacing w:after="0"/>
              <w:rPr>
                <w:sz w:val="20"/>
                <w:szCs w:val="20"/>
                <w:color w:val="auto"/>
              </w:rPr>
            </w:pPr>
            <w:r>
              <w:rPr>
                <w:rFonts w:ascii="Arial" w:cs="Arial" w:eastAsia="Arial" w:hAnsi="Arial"/>
                <w:sz w:val="14"/>
                <w:szCs w:val="14"/>
                <w:color w:val="auto"/>
              </w:rPr>
              <w:t>service cost</w:t>
            </w:r>
          </w:p>
        </w:tc>
        <w:tc>
          <w:tcPr>
            <w:tcW w:w="44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560" w:type="dxa"/>
            <w:vAlign w:val="bottom"/>
          </w:tcPr>
          <w:p>
            <w:pPr>
              <w:jc w:val="right"/>
              <w:ind w:right="215"/>
              <w:spacing w:after="0"/>
              <w:rPr>
                <w:sz w:val="20"/>
                <w:szCs w:val="20"/>
                <w:color w:val="auto"/>
              </w:rPr>
            </w:pPr>
            <w:r>
              <w:rPr>
                <w:rFonts w:ascii="Arial" w:cs="Arial" w:eastAsia="Arial" w:hAnsi="Arial"/>
                <w:sz w:val="14"/>
                <w:szCs w:val="14"/>
                <w:color w:val="auto"/>
              </w:rPr>
              <w:t>$</w:t>
            </w:r>
          </w:p>
        </w:tc>
        <w:tc>
          <w:tcPr>
            <w:tcW w:w="420" w:type="dxa"/>
            <w:vAlign w:val="bottom"/>
            <w:vMerge w:val="continue"/>
          </w:tcPr>
          <w:p>
            <w:pPr>
              <w:spacing w:after="0"/>
              <w:rPr>
                <w:sz w:val="16"/>
                <w:szCs w:val="16"/>
                <w:color w:val="auto"/>
              </w:rPr>
            </w:pPr>
          </w:p>
        </w:tc>
        <w:tc>
          <w:tcPr>
            <w:tcW w:w="600" w:type="dxa"/>
            <w:vAlign w:val="bottom"/>
          </w:tcPr>
          <w:p>
            <w:pPr>
              <w:jc w:val="right"/>
              <w:ind w:right="253"/>
              <w:spacing w:after="0"/>
              <w:rPr>
                <w:sz w:val="20"/>
                <w:szCs w:val="20"/>
                <w:color w:val="auto"/>
              </w:rPr>
            </w:pPr>
            <w:r>
              <w:rPr>
                <w:rFonts w:ascii="Arial" w:cs="Arial" w:eastAsia="Arial" w:hAnsi="Arial"/>
                <w:sz w:val="14"/>
                <w:szCs w:val="14"/>
                <w:color w:val="auto"/>
              </w:rPr>
              <w:t>$</w:t>
            </w:r>
          </w:p>
        </w:tc>
        <w:tc>
          <w:tcPr>
            <w:tcW w:w="440" w:type="dxa"/>
            <w:vAlign w:val="bottom"/>
            <w:vMerge w:val="continue"/>
          </w:tcPr>
          <w:p>
            <w:pPr>
              <w:spacing w:after="0"/>
              <w:rPr>
                <w:sz w:val="16"/>
                <w:szCs w:val="16"/>
                <w:color w:val="auto"/>
              </w:rPr>
            </w:pPr>
          </w:p>
        </w:tc>
        <w:tc>
          <w:tcPr>
            <w:tcW w:w="580" w:type="dxa"/>
            <w:vAlign w:val="bottom"/>
          </w:tcPr>
          <w:p>
            <w:pPr>
              <w:jc w:val="right"/>
              <w:ind w:right="233"/>
              <w:spacing w:after="0"/>
              <w:rPr>
                <w:sz w:val="20"/>
                <w:szCs w:val="20"/>
                <w:color w:val="auto"/>
              </w:rPr>
            </w:pPr>
            <w:r>
              <w:rPr>
                <w:rFonts w:ascii="Arial" w:cs="Arial" w:eastAsia="Arial" w:hAnsi="Arial"/>
                <w:sz w:val="14"/>
                <w:szCs w:val="14"/>
                <w:color w:val="auto"/>
              </w:rPr>
              <w:t>$</w:t>
            </w:r>
          </w:p>
        </w:tc>
        <w:tc>
          <w:tcPr>
            <w:tcW w:w="400" w:type="dxa"/>
            <w:vAlign w:val="bottom"/>
            <w:vMerge w:val="continue"/>
          </w:tcPr>
          <w:p>
            <w:pPr>
              <w:spacing w:after="0"/>
              <w:rPr>
                <w:sz w:val="16"/>
                <w:szCs w:val="16"/>
                <w:color w:val="auto"/>
              </w:rPr>
            </w:pPr>
          </w:p>
        </w:tc>
        <w:tc>
          <w:tcPr>
            <w:tcW w:w="600" w:type="dxa"/>
            <w:vAlign w:val="bottom"/>
          </w:tcPr>
          <w:p>
            <w:pPr>
              <w:jc w:val="right"/>
              <w:ind w:right="233"/>
              <w:spacing w:after="0"/>
              <w:rPr>
                <w:sz w:val="20"/>
                <w:szCs w:val="20"/>
                <w:color w:val="auto"/>
              </w:rPr>
            </w:pPr>
            <w:r>
              <w:rPr>
                <w:rFonts w:ascii="Arial" w:cs="Arial" w:eastAsia="Arial" w:hAnsi="Arial"/>
                <w:sz w:val="14"/>
                <w:szCs w:val="14"/>
                <w:color w:val="auto"/>
              </w:rPr>
              <w:t>$</w:t>
            </w:r>
          </w:p>
        </w:tc>
        <w:tc>
          <w:tcPr>
            <w:tcW w:w="540" w:type="dxa"/>
            <w:vAlign w:val="bottom"/>
          </w:tcPr>
          <w:p>
            <w:pPr>
              <w:ind w:left="28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95"/>
              <w:spacing w:after="0"/>
              <w:rPr>
                <w:sz w:val="20"/>
                <w:szCs w:val="20"/>
                <w:color w:val="auto"/>
              </w:rPr>
            </w:pPr>
            <w:r>
              <w:rPr>
                <w:rFonts w:ascii="Arial" w:cs="Arial" w:eastAsia="Arial" w:hAnsi="Arial"/>
                <w:sz w:val="14"/>
                <w:szCs w:val="14"/>
                <w:color w:val="auto"/>
              </w:rPr>
              <w:t>$</w:t>
            </w:r>
          </w:p>
        </w:tc>
        <w:tc>
          <w:tcPr>
            <w:tcW w:w="460" w:type="dxa"/>
            <w:vAlign w:val="bottom"/>
          </w:tcPr>
          <w:p>
            <w:pPr>
              <w:ind w:lef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33655</wp:posOffset>
            </wp:positionV>
            <wp:extent cx="5366385" cy="3086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366385" cy="308610"/>
                    </a:xfrm>
                    <a:prstGeom prst="rect">
                      <a:avLst/>
                    </a:prstGeom>
                    <a:noFill/>
                  </pic:spPr>
                </pic:pic>
              </a:graphicData>
            </a:graphic>
          </wp:anchor>
        </w:drawing>
      </w:r>
    </w:p>
    <w:p>
      <w:pPr>
        <w:sectPr>
          <w:pgSz w:w="11900" w:h="16838" w:orient="portrait"/>
          <w:cols w:equalWidth="0" w:num="1">
            <w:col w:w="10220"/>
          </w:cols>
          <w:pgMar w:left="320" w:top="122" w:right="1359" w:bottom="1440" w:gutter="0" w:footer="0" w:header="0"/>
          <w:type w:val="continuous"/>
        </w:sectPr>
      </w:pPr>
    </w:p>
    <w:p>
      <w:pPr>
        <w:spacing w:after="0" w:line="53" w:lineRule="exact"/>
        <w:rPr>
          <w:sz w:val="20"/>
          <w:szCs w:val="20"/>
          <w:color w:val="auto"/>
        </w:rPr>
      </w:pPr>
    </w:p>
    <w:tbl>
      <w:tblPr>
        <w:tblLayout w:type="fixed"/>
        <w:tblInd w:w="1400" w:type="dxa"/>
        <w:tblCellMar>
          <w:top w:w="0" w:type="dxa"/>
          <w:left w:w="0" w:type="dxa"/>
          <w:bottom w:w="0" w:type="dxa"/>
          <w:right w:w="0" w:type="dxa"/>
        </w:tblCellMar>
      </w:tblPr>
      <w:tr>
        <w:trPr>
          <w:trHeight w:val="243"/>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0" w:type="dxa"/>
            <w:vAlign w:val="bottom"/>
          </w:tcPr>
          <w:p>
            <w:pPr>
              <w:ind w:left="200"/>
              <w:spacing w:after="0"/>
              <w:rPr>
                <w:sz w:val="20"/>
                <w:szCs w:val="20"/>
                <w:color w:val="auto"/>
              </w:rPr>
            </w:pPr>
            <w:r>
              <w:rPr>
                <w:rFonts w:ascii="Arial" w:cs="Arial" w:eastAsia="Arial" w:hAnsi="Arial"/>
                <w:sz w:val="14"/>
                <w:szCs w:val="14"/>
                <w:color w:val="auto"/>
              </w:rPr>
              <w:t>Amount added for prior service</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spacing w:after="0"/>
              <w:rPr>
                <w:sz w:val="21"/>
                <w:szCs w:val="21"/>
                <w:color w:val="auto"/>
              </w:rPr>
            </w:pPr>
          </w:p>
        </w:tc>
        <w:tc>
          <w:tcPr>
            <w:tcW w:w="12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spacing w:after="0"/>
              <w:rPr>
                <w:sz w:val="21"/>
                <w:szCs w:val="21"/>
                <w:color w:val="auto"/>
              </w:rPr>
            </w:pP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spacing w:after="0"/>
              <w:rPr>
                <w:sz w:val="21"/>
                <w:szCs w:val="21"/>
                <w:color w:val="auto"/>
              </w:rPr>
            </w:pP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Pr>
          <w:p>
            <w:pPr>
              <w:spacing w:after="0"/>
              <w:rPr>
                <w:sz w:val="21"/>
                <w:szCs w:val="21"/>
                <w:color w:val="auto"/>
              </w:rPr>
            </w:pP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spacing w:after="0"/>
              <w:rPr>
                <w:sz w:val="21"/>
                <w:szCs w:val="21"/>
                <w:color w:val="auto"/>
              </w:rPr>
            </w:pP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Pr>
          <w:p>
            <w:pPr>
              <w:spacing w:after="0"/>
              <w:rPr>
                <w:sz w:val="21"/>
                <w:szCs w:val="21"/>
                <w:color w:val="auto"/>
              </w:rPr>
            </w:pPr>
          </w:p>
        </w:tc>
        <w:tc>
          <w:tcPr>
            <w:tcW w:w="12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r>
      <w:tr>
        <w:trPr>
          <w:trHeight w:val="162"/>
        </w:trPr>
        <w:tc>
          <w:tcPr>
            <w:tcW w:w="40" w:type="dxa"/>
            <w:vAlign w:val="bottom"/>
          </w:tcPr>
          <w:p>
            <w:pPr>
              <w:spacing w:after="0"/>
              <w:rPr>
                <w:sz w:val="14"/>
                <w:szCs w:val="14"/>
                <w:color w:val="auto"/>
              </w:rPr>
            </w:pPr>
          </w:p>
        </w:tc>
        <w:tc>
          <w:tcPr>
            <w:tcW w:w="2200" w:type="dxa"/>
            <w:vAlign w:val="bottom"/>
          </w:tcPr>
          <w:p>
            <w:pPr>
              <w:ind w:left="380"/>
              <w:spacing w:after="0"/>
              <w:rPr>
                <w:sz w:val="20"/>
                <w:szCs w:val="20"/>
                <w:color w:val="auto"/>
              </w:rPr>
            </w:pPr>
            <w:r>
              <w:rPr>
                <w:rFonts w:ascii="Arial" w:cs="Arial" w:eastAsia="Arial" w:hAnsi="Arial"/>
                <w:sz w:val="14"/>
                <w:szCs w:val="14"/>
                <w:color w:val="auto"/>
              </w:rPr>
              <w:t>cost impacting current year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102"/>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02"/>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2"/>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02"/>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2"/>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82"/>
              <w:spacing w:after="0"/>
              <w:rPr>
                <w:sz w:val="20"/>
                <w:szCs w:val="20"/>
                <w:color w:val="auto"/>
              </w:rPr>
            </w:pPr>
            <w:r>
              <w:rPr>
                <w:rFonts w:ascii="Arial" w:cs="Arial" w:eastAsia="Arial" w:hAnsi="Arial"/>
                <w:sz w:val="14"/>
                <w:szCs w:val="14"/>
                <w:color w:val="auto"/>
              </w:rPr>
              <w:t>—</w:t>
            </w:r>
          </w:p>
        </w:tc>
      </w:tr>
      <w:tr>
        <w:trPr>
          <w:trHeight w:val="20"/>
        </w:trPr>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5"/>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0" w:type="dxa"/>
            <w:vAlign w:val="bottom"/>
          </w:tcPr>
          <w:p>
            <w:pPr>
              <w:ind w:left="20"/>
              <w:spacing w:after="0"/>
              <w:rPr>
                <w:sz w:val="20"/>
                <w:szCs w:val="20"/>
                <w:color w:val="auto"/>
              </w:rPr>
            </w:pPr>
            <w:r>
              <w:rPr>
                <w:rFonts w:ascii="Arial" w:cs="Arial" w:eastAsia="Arial" w:hAnsi="Arial"/>
                <w:sz w:val="14"/>
                <w:szCs w:val="14"/>
                <w:b w:val="1"/>
                <w:bCs w:val="1"/>
                <w:color w:val="auto"/>
              </w:rPr>
              <w:t>Total Adjustments for Pension</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w w:val="73"/>
              </w:rPr>
              <w:t>​</w:t>
            </w:r>
            <w:r>
              <w:rPr>
                <w:rFonts w:ascii="Arial" w:cs="Arial" w:eastAsia="Arial" w:hAnsi="Arial"/>
                <w:sz w:val="29"/>
                <w:szCs w:val="29"/>
                <w:b w:val="1"/>
                <w:bCs w:val="1"/>
                <w:color w:val="auto"/>
                <w:w w:val="73"/>
                <w:vertAlign w:val="subscript"/>
              </w:rPr>
              <w:t>$</w:t>
            </w:r>
          </w:p>
        </w:tc>
        <w:tc>
          <w:tcPr>
            <w:tcW w:w="52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rPr>
              <w:t xml:space="preserve">— </w:t>
            </w:r>
            <w:r>
              <w:rPr>
                <w:rFonts w:ascii="Times New Roman" w:cs="Times New Roman" w:eastAsia="Times New Roman" w:hAnsi="Times New Roman"/>
                <w:sz w:val="3"/>
                <w:szCs w:val="3"/>
                <w:color w:val="auto"/>
              </w:rPr>
              <w:t>​</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w w:val="73"/>
              </w:rPr>
              <w:t>​</w:t>
            </w:r>
            <w:r>
              <w:rPr>
                <w:rFonts w:ascii="Arial" w:cs="Arial" w:eastAsia="Arial" w:hAnsi="Arial"/>
                <w:sz w:val="29"/>
                <w:szCs w:val="29"/>
                <w:b w:val="1"/>
                <w:bCs w:val="1"/>
                <w:color w:val="auto"/>
                <w:w w:val="73"/>
                <w:vertAlign w:val="subscript"/>
              </w:rPr>
              <w:t>$</w:t>
            </w:r>
          </w:p>
        </w:tc>
        <w:tc>
          <w:tcPr>
            <w:tcW w:w="52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 xml:space="preserve">— </w:t>
            </w:r>
            <w:r>
              <w:rPr>
                <w:rFonts w:ascii="Times New Roman" w:cs="Times New Roman" w:eastAsia="Times New Roman" w:hAnsi="Times New Roman"/>
                <w:sz w:val="3"/>
                <w:szCs w:val="3"/>
                <w:color w:val="auto"/>
              </w:rPr>
              <w:t>​</w:t>
            </w: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w w:val="73"/>
              </w:rPr>
              <w:t>​</w:t>
            </w:r>
            <w:r>
              <w:rPr>
                <w:rFonts w:ascii="Arial" w:cs="Arial" w:eastAsia="Arial" w:hAnsi="Arial"/>
                <w:sz w:val="29"/>
                <w:szCs w:val="29"/>
                <w:b w:val="1"/>
                <w:bCs w:val="1"/>
                <w:color w:val="auto"/>
                <w:w w:val="73"/>
                <w:vertAlign w:val="subscript"/>
              </w:rPr>
              <w:t>$</w:t>
            </w:r>
          </w:p>
        </w:tc>
        <w:tc>
          <w:tcPr>
            <w:tcW w:w="54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 xml:space="preserve">— </w:t>
            </w:r>
            <w:r>
              <w:rPr>
                <w:rFonts w:ascii="Times New Roman" w:cs="Times New Roman" w:eastAsia="Times New Roman" w:hAnsi="Times New Roman"/>
                <w:sz w:val="3"/>
                <w:szCs w:val="3"/>
                <w:color w:val="auto"/>
              </w:rPr>
              <w:t>​</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w w:val="73"/>
              </w:rPr>
              <w:t>​</w:t>
            </w:r>
            <w:r>
              <w:rPr>
                <w:rFonts w:ascii="Arial" w:cs="Arial" w:eastAsia="Arial" w:hAnsi="Arial"/>
                <w:sz w:val="29"/>
                <w:szCs w:val="29"/>
                <w:b w:val="1"/>
                <w:bCs w:val="1"/>
                <w:color w:val="auto"/>
                <w:w w:val="73"/>
                <w:vertAlign w:val="subscript"/>
              </w:rPr>
              <w:t>$</w:t>
            </w:r>
          </w:p>
        </w:tc>
        <w:tc>
          <w:tcPr>
            <w:tcW w:w="50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 xml:space="preserve">— </w:t>
            </w:r>
            <w:r>
              <w:rPr>
                <w:rFonts w:ascii="Times New Roman" w:cs="Times New Roman" w:eastAsia="Times New Roman" w:hAnsi="Times New Roman"/>
                <w:sz w:val="3"/>
                <w:szCs w:val="3"/>
                <w:color w:val="auto"/>
              </w:rPr>
              <w:t>​</w:t>
            </w: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w w:val="73"/>
              </w:rPr>
              <w:t>​</w:t>
            </w:r>
            <w:r>
              <w:rPr>
                <w:rFonts w:ascii="Arial" w:cs="Arial" w:eastAsia="Arial" w:hAnsi="Arial"/>
                <w:sz w:val="29"/>
                <w:szCs w:val="29"/>
                <w:b w:val="1"/>
                <w:bCs w:val="1"/>
                <w:color w:val="auto"/>
                <w:w w:val="73"/>
                <w:vertAlign w:val="subscript"/>
              </w:rPr>
              <w:t>$</w:t>
            </w:r>
          </w:p>
        </w:tc>
        <w:tc>
          <w:tcPr>
            <w:tcW w:w="54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 xml:space="preserve">— </w:t>
            </w:r>
            <w:r>
              <w:rPr>
                <w:rFonts w:ascii="Times New Roman" w:cs="Times New Roman" w:eastAsia="Times New Roman" w:hAnsi="Times New Roman"/>
                <w:sz w:val="3"/>
                <w:szCs w:val="3"/>
                <w:color w:val="auto"/>
              </w:rPr>
              <w:t>​</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w w:val="73"/>
              </w:rPr>
              <w:t>​</w:t>
            </w:r>
            <w:r>
              <w:rPr>
                <w:rFonts w:ascii="Arial" w:cs="Arial" w:eastAsia="Arial" w:hAnsi="Arial"/>
                <w:sz w:val="29"/>
                <w:szCs w:val="29"/>
                <w:b w:val="1"/>
                <w:bCs w:val="1"/>
                <w:color w:val="auto"/>
                <w:w w:val="73"/>
                <w:vertAlign w:val="subscript"/>
              </w:rPr>
              <w:t>$</w:t>
            </w:r>
          </w:p>
        </w:tc>
        <w:tc>
          <w:tcPr>
            <w:tcW w:w="50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rPr>
              <w:t xml:space="preserve">— </w:t>
            </w:r>
            <w:r>
              <w:rPr>
                <w:rFonts w:ascii="Times New Roman" w:cs="Times New Roman" w:eastAsia="Times New Roman" w:hAnsi="Times New Roman"/>
                <w:sz w:val="3"/>
                <w:szCs w:val="3"/>
                <w:color w:val="auto"/>
              </w:rPr>
              <w:t>​</w:t>
            </w:r>
          </w:p>
        </w:tc>
      </w:tr>
      <w:tr>
        <w:trPr>
          <w:trHeight w:val="268"/>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00" w:type="dxa"/>
            <w:vAlign w:val="bottom"/>
          </w:tcPr>
          <w:p>
            <w:pPr>
              <w:ind w:left="20"/>
              <w:spacing w:after="0"/>
              <w:rPr>
                <w:sz w:val="20"/>
                <w:szCs w:val="20"/>
                <w:color w:val="auto"/>
              </w:rPr>
            </w:pPr>
            <w:r>
              <w:rPr>
                <w:rFonts w:ascii="Arial" w:cs="Arial" w:eastAsia="Arial" w:hAnsi="Arial"/>
                <w:sz w:val="14"/>
                <w:szCs w:val="14"/>
                <w:b w:val="1"/>
                <w:bCs w:val="1"/>
                <w:color w:val="auto"/>
              </w:rPr>
              <w:t>Adjustments for Equity Awards</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spacing w:after="0"/>
              <w:rPr>
                <w:sz w:val="23"/>
                <w:szCs w:val="23"/>
                <w:color w:val="auto"/>
              </w:rPr>
            </w:pPr>
          </w:p>
        </w:tc>
        <w:tc>
          <w:tcPr>
            <w:tcW w:w="12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spacing w:after="0"/>
              <w:rPr>
                <w:sz w:val="23"/>
                <w:szCs w:val="23"/>
                <w:color w:val="auto"/>
              </w:rPr>
            </w:pP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spacing w:after="0"/>
              <w:rPr>
                <w:sz w:val="23"/>
                <w:szCs w:val="23"/>
                <w:color w:val="auto"/>
              </w:rPr>
            </w:pP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Pr>
          <w:p>
            <w:pPr>
              <w:spacing w:after="0"/>
              <w:rPr>
                <w:sz w:val="23"/>
                <w:szCs w:val="23"/>
                <w:color w:val="auto"/>
              </w:rPr>
            </w:pP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spacing w:after="0"/>
              <w:rPr>
                <w:sz w:val="23"/>
                <w:szCs w:val="23"/>
                <w:color w:val="auto"/>
              </w:rPr>
            </w:pP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Pr>
          <w:p>
            <w:pPr>
              <w:spacing w:after="0"/>
              <w:rPr>
                <w:sz w:val="23"/>
                <w:szCs w:val="23"/>
                <w:color w:val="auto"/>
              </w:rPr>
            </w:pPr>
          </w:p>
        </w:tc>
        <w:tc>
          <w:tcPr>
            <w:tcW w:w="12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-169545</wp:posOffset>
            </wp:positionV>
            <wp:extent cx="5366385" cy="2057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366385" cy="205740"/>
                    </a:xfrm>
                    <a:prstGeom prst="rect">
                      <a:avLst/>
                    </a:prstGeom>
                    <a:noFill/>
                  </pic:spPr>
                </pic:pic>
              </a:graphicData>
            </a:graphic>
          </wp:anchor>
        </w:drawing>
      </w:r>
    </w:p>
    <w:p>
      <w:pPr>
        <w:sectPr>
          <w:pgSz w:w="11900" w:h="16838" w:orient="portrait"/>
          <w:cols w:equalWidth="0" w:num="1">
            <w:col w:w="10220"/>
          </w:cols>
          <w:pgMar w:left="320" w:top="122" w:right="1359" w:bottom="1440" w:gutter="0" w:footer="0" w:header="0"/>
          <w:type w:val="continuous"/>
        </w:sectPr>
      </w:pPr>
    </w:p>
    <w:p>
      <w:pPr>
        <w:spacing w:after="0" w:line="128" w:lineRule="exact"/>
        <w:rPr>
          <w:sz w:val="20"/>
          <w:szCs w:val="20"/>
          <w:color w:val="auto"/>
        </w:rPr>
      </w:pPr>
    </w:p>
    <w:p>
      <w:pPr>
        <w:jc w:val="both"/>
        <w:ind w:left="1820" w:right="340" w:hanging="179"/>
        <w:spacing w:after="0" w:line="263" w:lineRule="auto"/>
        <w:rPr>
          <w:sz w:val="20"/>
          <w:szCs w:val="20"/>
          <w:color w:val="auto"/>
        </w:rPr>
      </w:pPr>
      <w:r>
        <w:rPr>
          <w:rFonts w:ascii="Arial" w:cs="Arial" w:eastAsia="Arial" w:hAnsi="Arial"/>
          <w:sz w:val="14"/>
          <w:szCs w:val="14"/>
          <w:color w:val="auto"/>
        </w:rPr>
        <w:t>Adjustment for grant date values in the Summary Compensation Table</w:t>
      </w:r>
    </w:p>
    <w:p>
      <w:pPr>
        <w:spacing w:after="0" w:line="119" w:lineRule="exact"/>
        <w:rPr>
          <w:sz w:val="20"/>
          <w:szCs w:val="20"/>
          <w:color w:val="auto"/>
        </w:rPr>
      </w:pPr>
    </w:p>
    <w:p>
      <w:pPr>
        <w:ind w:left="1820" w:hanging="179"/>
        <w:spacing w:after="0" w:line="263" w:lineRule="auto"/>
        <w:rPr>
          <w:sz w:val="20"/>
          <w:szCs w:val="20"/>
          <w:color w:val="auto"/>
        </w:rPr>
      </w:pPr>
      <w:r>
        <w:rPr>
          <w:rFonts w:ascii="Arial" w:cs="Arial" w:eastAsia="Arial" w:hAnsi="Arial"/>
          <w:sz w:val="14"/>
          <w:szCs w:val="14"/>
          <w:color w:val="auto"/>
        </w:rPr>
        <w:t>Year-end fair value of unvested awards granted in the current year</w:t>
      </w:r>
    </w:p>
    <w:p>
      <w:pPr>
        <w:spacing w:after="0" w:line="119" w:lineRule="exact"/>
        <w:rPr>
          <w:sz w:val="20"/>
          <w:szCs w:val="20"/>
          <w:color w:val="auto"/>
        </w:rPr>
      </w:pPr>
    </w:p>
    <w:p>
      <w:pPr>
        <w:ind w:left="1820" w:right="40" w:hanging="179"/>
        <w:spacing w:after="0" w:line="256" w:lineRule="auto"/>
        <w:rPr>
          <w:sz w:val="20"/>
          <w:szCs w:val="20"/>
          <w:color w:val="auto"/>
        </w:rPr>
      </w:pPr>
      <w:r>
        <w:rPr>
          <w:rFonts w:ascii="Arial" w:cs="Arial" w:eastAsia="Arial" w:hAnsi="Arial"/>
          <w:sz w:val="14"/>
          <w:szCs w:val="14"/>
          <w:color w:val="auto"/>
        </w:rPr>
        <w:t>Year-over-year difference of year-end fair values for unvested awards granted in prior years</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6"/>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spacing w:after="0"/>
              <w:rPr>
                <w:sz w:val="3"/>
                <w:szCs w:val="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jc w:val="right"/>
              <w:ind w:right="175"/>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spacing w:after="0"/>
              <w:rPr>
                <w:sz w:val="3"/>
                <w:szCs w:val="3"/>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jc w:val="right"/>
              <w:ind w:right="155"/>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spacing w:after="0"/>
              <w:rPr>
                <w:sz w:val="3"/>
                <w:szCs w:val="3"/>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spacing w:after="0"/>
              <w:rPr>
                <w:sz w:val="3"/>
                <w:szCs w:val="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jc w:val="right"/>
              <w:ind w:right="175"/>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ind w:left="680"/>
              <w:spacing w:after="0"/>
              <w:rPr>
                <w:sz w:val="20"/>
                <w:szCs w:val="20"/>
                <w:color w:val="auto"/>
              </w:rPr>
            </w:pPr>
            <w:r>
              <w:rPr>
                <w:rFonts w:ascii="Times New Roman" w:cs="Times New Roman" w:eastAsia="Times New Roman" w:hAnsi="Times New Roman"/>
                <w:sz w:val="4"/>
                <w:szCs w:val="4"/>
                <w:color w:val="auto"/>
              </w:rPr>
              <w:t>​</w:t>
            </w:r>
          </w:p>
        </w:tc>
      </w:tr>
      <w:tr>
        <w:trPr>
          <w:trHeight w:val="252"/>
        </w:trPr>
        <w:tc>
          <w:tcPr>
            <w:tcW w:w="60" w:type="dxa"/>
            <w:vAlign w:val="bottom"/>
          </w:tcPr>
          <w:p>
            <w:pPr>
              <w:spacing w:after="0"/>
              <w:rPr>
                <w:sz w:val="21"/>
                <w:szCs w:val="21"/>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color w:val="auto"/>
              </w:rPr>
              <w:t>$(3,059,156)</w:t>
            </w:r>
          </w:p>
        </w:tc>
        <w:tc>
          <w:tcPr>
            <w:tcW w:w="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(709,055)</w:t>
            </w:r>
          </w:p>
        </w:tc>
        <w:tc>
          <w:tcPr>
            <w:tcW w:w="60" w:type="dxa"/>
            <w:vAlign w:val="bottom"/>
          </w:tcPr>
          <w:p>
            <w:pPr>
              <w:spacing w:after="0"/>
              <w:rPr>
                <w:sz w:val="21"/>
                <w:szCs w:val="21"/>
                <w:color w:val="auto"/>
              </w:rPr>
            </w:pPr>
          </w:p>
        </w:tc>
        <w:tc>
          <w:tcPr>
            <w:tcW w:w="960" w:type="dxa"/>
            <w:vAlign w:val="bottom"/>
          </w:tcPr>
          <w:p>
            <w:pPr>
              <w:ind w:left="140"/>
              <w:spacing w:after="0"/>
              <w:rPr>
                <w:sz w:val="20"/>
                <w:szCs w:val="20"/>
                <w:color w:val="auto"/>
              </w:rPr>
            </w:pPr>
            <w:r>
              <w:rPr>
                <w:rFonts w:ascii="Arial" w:cs="Arial" w:eastAsia="Arial" w:hAnsi="Arial"/>
                <w:sz w:val="14"/>
                <w:szCs w:val="14"/>
                <w:color w:val="auto"/>
              </w:rPr>
              <w:t>$(2,877,281)</w:t>
            </w:r>
          </w:p>
        </w:tc>
        <w:tc>
          <w:tcPr>
            <w:tcW w:w="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(961,141)</w:t>
            </w:r>
          </w:p>
        </w:tc>
        <w:tc>
          <w:tcPr>
            <w:tcW w:w="60" w:type="dxa"/>
            <w:vAlign w:val="bottom"/>
          </w:tcPr>
          <w:p>
            <w:pPr>
              <w:spacing w:after="0"/>
              <w:rPr>
                <w:sz w:val="21"/>
                <w:szCs w:val="21"/>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color w:val="auto"/>
              </w:rPr>
              <w:t>$(2,825,379)</w:t>
            </w:r>
          </w:p>
        </w:tc>
        <w:tc>
          <w:tcPr>
            <w:tcW w:w="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center"/>
              <w:spacing w:after="0"/>
              <w:rPr>
                <w:sz w:val="20"/>
                <w:szCs w:val="20"/>
                <w:color w:val="auto"/>
              </w:rPr>
            </w:pPr>
            <w:r>
              <w:rPr>
                <w:rFonts w:ascii="Arial" w:cs="Arial" w:eastAsia="Arial" w:hAnsi="Arial"/>
                <w:sz w:val="14"/>
                <w:szCs w:val="14"/>
                <w:color w:val="auto"/>
              </w:rPr>
              <w:t>(829,675)</w:t>
            </w:r>
          </w:p>
        </w:tc>
      </w:tr>
      <w:tr>
        <w:trPr>
          <w:trHeight w:val="396"/>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jc w:val="right"/>
              <w:ind w:right="175"/>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spacing w:after="0"/>
              <w:rPr>
                <w:sz w:val="24"/>
                <w:szCs w:val="24"/>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jc w:val="right"/>
              <w:ind w:right="155"/>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spacing w:after="0"/>
              <w:rPr>
                <w:sz w:val="24"/>
                <w:szCs w:val="24"/>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jc w:val="right"/>
              <w:ind w:right="175"/>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ind w:left="680"/>
              <w:spacing w:after="0"/>
              <w:rPr>
                <w:sz w:val="20"/>
                <w:szCs w:val="20"/>
                <w:color w:val="auto"/>
              </w:rPr>
            </w:pPr>
            <w:r>
              <w:rPr>
                <w:rFonts w:ascii="Times New Roman" w:cs="Times New Roman" w:eastAsia="Times New Roman" w:hAnsi="Times New Roman"/>
                <w:sz w:val="4"/>
                <w:szCs w:val="4"/>
                <w:color w:val="auto"/>
              </w:rPr>
              <w:t>​</w:t>
            </w:r>
          </w:p>
        </w:tc>
      </w:tr>
      <w:tr>
        <w:trPr>
          <w:trHeight w:val="252"/>
        </w:trPr>
        <w:tc>
          <w:tcPr>
            <w:tcW w:w="60" w:type="dxa"/>
            <w:vAlign w:val="bottom"/>
          </w:tcPr>
          <w:p>
            <w:pPr>
              <w:spacing w:after="0"/>
              <w:rPr>
                <w:sz w:val="21"/>
                <w:szCs w:val="21"/>
                <w:color w:val="auto"/>
              </w:rPr>
            </w:pPr>
          </w:p>
        </w:tc>
        <w:tc>
          <w:tcPr>
            <w:tcW w:w="280" w:type="dxa"/>
            <w:vAlign w:val="bottom"/>
          </w:tcPr>
          <w:p>
            <w:pPr>
              <w:ind w:left="1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3,211,801</w:t>
            </w:r>
          </w:p>
        </w:tc>
        <w:tc>
          <w:tcPr>
            <w:tcW w:w="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681,699</w:t>
            </w:r>
          </w:p>
        </w:tc>
        <w:tc>
          <w:tcPr>
            <w:tcW w:w="60" w:type="dxa"/>
            <w:vAlign w:val="bottom"/>
          </w:tcPr>
          <w:p>
            <w:pPr>
              <w:spacing w:after="0"/>
              <w:rPr>
                <w:sz w:val="21"/>
                <w:szCs w:val="21"/>
                <w:color w:val="auto"/>
              </w:rPr>
            </w:pPr>
          </w:p>
        </w:tc>
        <w:tc>
          <w:tcPr>
            <w:tcW w:w="960" w:type="dxa"/>
            <w:vAlign w:val="bottom"/>
          </w:tcPr>
          <w:p>
            <w:pPr>
              <w:ind w:left="140"/>
              <w:spacing w:after="0"/>
              <w:rPr>
                <w:sz w:val="20"/>
                <w:szCs w:val="20"/>
                <w:color w:val="auto"/>
              </w:rPr>
            </w:pPr>
            <w:r>
              <w:rPr>
                <w:rFonts w:ascii="Arial" w:cs="Arial" w:eastAsia="Arial" w:hAnsi="Arial"/>
                <w:sz w:val="14"/>
                <w:szCs w:val="14"/>
                <w:color w:val="auto"/>
              </w:rPr>
              <w:t>$ 1,951,279</w:t>
            </w:r>
          </w:p>
        </w:tc>
        <w:tc>
          <w:tcPr>
            <w:tcW w:w="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637,750</w:t>
            </w:r>
          </w:p>
        </w:tc>
        <w:tc>
          <w:tcPr>
            <w:tcW w:w="60" w:type="dxa"/>
            <w:vAlign w:val="bottom"/>
          </w:tcPr>
          <w:p>
            <w:pPr>
              <w:spacing w:after="0"/>
              <w:rPr>
                <w:sz w:val="21"/>
                <w:szCs w:val="21"/>
                <w:color w:val="auto"/>
              </w:rPr>
            </w:pPr>
          </w:p>
        </w:tc>
        <w:tc>
          <w:tcPr>
            <w:tcW w:w="260" w:type="dxa"/>
            <w:vAlign w:val="bottom"/>
          </w:tcPr>
          <w:p>
            <w:pPr>
              <w:ind w:left="1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2,708,224</w:t>
            </w:r>
          </w:p>
        </w:tc>
        <w:tc>
          <w:tcPr>
            <w:tcW w:w="6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center"/>
              <w:spacing w:after="0"/>
              <w:rPr>
                <w:sz w:val="20"/>
                <w:szCs w:val="20"/>
                <w:color w:val="auto"/>
              </w:rPr>
            </w:pPr>
            <w:r>
              <w:rPr>
                <w:rFonts w:ascii="Arial" w:cs="Arial" w:eastAsia="Arial" w:hAnsi="Arial"/>
                <w:sz w:val="14"/>
                <w:szCs w:val="14"/>
                <w:color w:val="auto"/>
              </w:rPr>
              <w:t>711,796</w:t>
            </w:r>
          </w:p>
        </w:tc>
      </w:tr>
      <w:tr>
        <w:trPr>
          <w:trHeight w:val="477"/>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jc w:val="right"/>
              <w:ind w:right="175"/>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spacing w:after="0"/>
              <w:rPr>
                <w:sz w:val="24"/>
                <w:szCs w:val="24"/>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jc w:val="right"/>
              <w:ind w:right="155"/>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spacing w:after="0"/>
              <w:rPr>
                <w:sz w:val="24"/>
                <w:szCs w:val="24"/>
                <w:color w:val="auto"/>
              </w:rPr>
            </w:pPr>
          </w:p>
        </w:tc>
        <w:tc>
          <w:tcPr>
            <w:tcW w:w="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jc w:val="right"/>
              <w:ind w:right="175"/>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ind w:left="680"/>
              <w:spacing w:after="0"/>
              <w:rPr>
                <w:sz w:val="20"/>
                <w:szCs w:val="20"/>
                <w:color w:val="auto"/>
              </w:rPr>
            </w:pPr>
            <w:r>
              <w:rPr>
                <w:rFonts w:ascii="Times New Roman" w:cs="Times New Roman" w:eastAsia="Times New Roman" w:hAnsi="Times New Roman"/>
                <w:sz w:val="4"/>
                <w:szCs w:val="4"/>
                <w:color w:val="auto"/>
              </w:rPr>
              <w:t>​</w:t>
            </w:r>
          </w:p>
        </w:tc>
      </w:tr>
      <w:tr>
        <w:trPr>
          <w:trHeight w:val="333"/>
        </w:trPr>
        <w:tc>
          <w:tcPr>
            <w:tcW w:w="60" w:type="dxa"/>
            <w:vAlign w:val="bottom"/>
          </w:tcPr>
          <w:p>
            <w:pPr>
              <w:spacing w:after="0"/>
              <w:rPr>
                <w:sz w:val="24"/>
                <w:szCs w:val="24"/>
                <w:color w:val="auto"/>
              </w:rPr>
            </w:pPr>
          </w:p>
        </w:tc>
        <w:tc>
          <w:tcPr>
            <w:tcW w:w="280" w:type="dxa"/>
            <w:vAlign w:val="bottom"/>
          </w:tcPr>
          <w:p>
            <w:pPr>
              <w:ind w:left="1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(754,079)</w:t>
            </w:r>
          </w:p>
        </w:tc>
        <w:tc>
          <w:tcPr>
            <w:tcW w:w="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(204,887)</w:t>
            </w:r>
          </w:p>
        </w:tc>
        <w:tc>
          <w:tcPr>
            <w:tcW w:w="60" w:type="dxa"/>
            <w:vAlign w:val="bottom"/>
          </w:tcPr>
          <w:p>
            <w:pPr>
              <w:spacing w:after="0"/>
              <w:rPr>
                <w:sz w:val="24"/>
                <w:szCs w:val="24"/>
                <w:color w:val="auto"/>
              </w:rPr>
            </w:pPr>
          </w:p>
        </w:tc>
        <w:tc>
          <w:tcPr>
            <w:tcW w:w="960" w:type="dxa"/>
            <w:vAlign w:val="bottom"/>
          </w:tcPr>
          <w:p>
            <w:pPr>
              <w:ind w:left="140"/>
              <w:spacing w:after="0"/>
              <w:rPr>
                <w:sz w:val="20"/>
                <w:szCs w:val="20"/>
                <w:color w:val="auto"/>
              </w:rPr>
            </w:pPr>
            <w:r>
              <w:rPr>
                <w:rFonts w:ascii="Arial" w:cs="Arial" w:eastAsia="Arial" w:hAnsi="Arial"/>
                <w:sz w:val="14"/>
                <w:szCs w:val="14"/>
                <w:color w:val="auto"/>
              </w:rPr>
              <w:t>$(1,539,019)</w:t>
            </w:r>
          </w:p>
        </w:tc>
        <w:tc>
          <w:tcPr>
            <w:tcW w:w="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(283,938)</w:t>
            </w:r>
          </w:p>
        </w:tc>
        <w:tc>
          <w:tcPr>
            <w:tcW w:w="60" w:type="dxa"/>
            <w:vAlign w:val="bottom"/>
          </w:tcPr>
          <w:p>
            <w:pPr>
              <w:spacing w:after="0"/>
              <w:rPr>
                <w:sz w:val="24"/>
                <w:szCs w:val="24"/>
                <w:color w:val="auto"/>
              </w:rPr>
            </w:pPr>
          </w:p>
        </w:tc>
        <w:tc>
          <w:tcPr>
            <w:tcW w:w="260" w:type="dxa"/>
            <w:vAlign w:val="bottom"/>
          </w:tcPr>
          <w:p>
            <w:pPr>
              <w:ind w:left="1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528,745</w:t>
            </w:r>
          </w:p>
        </w:tc>
        <w:tc>
          <w:tcPr>
            <w:tcW w:w="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center"/>
              <w:spacing w:after="0"/>
              <w:rPr>
                <w:sz w:val="20"/>
                <w:szCs w:val="20"/>
                <w:color w:val="auto"/>
              </w:rPr>
            </w:pPr>
            <w:r>
              <w:rPr>
                <w:rFonts w:ascii="Arial" w:cs="Arial" w:eastAsia="Arial" w:hAnsi="Arial"/>
                <w:sz w:val="14"/>
                <w:szCs w:val="14"/>
                <w:color w:val="auto"/>
              </w:rPr>
              <w:t>(105,992)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-1448435</wp:posOffset>
            </wp:positionH>
            <wp:positionV relativeFrom="paragraph">
              <wp:posOffset>-885825</wp:posOffset>
            </wp:positionV>
            <wp:extent cx="5366385" cy="4114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366385" cy="411480"/>
                    </a:xfrm>
                    <a:prstGeom prst="rect">
                      <a:avLst/>
                    </a:prstGeom>
                    <a:noFill/>
                  </pic:spPr>
                </pic:pic>
              </a:graphicData>
            </a:graphic>
          </wp:anchor>
        </w:drawing>
        <w:drawing>
          <wp:anchor simplePos="0" relativeHeight="251657728" behindDoc="1" locked="0" layoutInCell="0" allowOverlap="1">
            <wp:simplePos x="0" y="0"/>
            <wp:positionH relativeFrom="column">
              <wp:posOffset>-1448435</wp:posOffset>
            </wp:positionH>
            <wp:positionV relativeFrom="paragraph">
              <wp:posOffset>39370</wp:posOffset>
            </wp:positionV>
            <wp:extent cx="5366385" cy="4114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366385" cy="411480"/>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3620" w:space="60"/>
            <w:col w:w="6540"/>
          </w:cols>
          <w:pgMar w:left="320" w:top="122" w:right="1359" w:bottom="1440" w:gutter="0" w:footer="0" w:header="0"/>
          <w:type w:val="continuous"/>
        </w:sectPr>
      </w:pPr>
    </w:p>
    <w:tbl>
      <w:tblPr>
        <w:tblLayout w:type="fixed"/>
        <w:tblInd w:w="140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Arial" w:cs="Arial" w:eastAsia="Arial" w:hAnsi="Arial"/>
                <w:sz w:val="14"/>
                <w:szCs w:val="14"/>
                <w:color w:val="auto"/>
              </w:rPr>
              <w:t>Fair values at vest date for</w:t>
            </w:r>
          </w:p>
        </w:tc>
        <w:tc>
          <w:tcPr>
            <w:tcW w:w="360" w:type="dxa"/>
            <w:vAlign w:val="bottom"/>
          </w:tcPr>
          <w:p>
            <w:pPr>
              <w:spacing w:after="0"/>
              <w:rPr>
                <w:sz w:val="14"/>
                <w:szCs w:val="14"/>
                <w:color w:val="auto"/>
              </w:rPr>
            </w:pPr>
          </w:p>
        </w:tc>
      </w:tr>
      <w:tr>
        <w:trPr>
          <w:trHeight w:val="162"/>
        </w:trPr>
        <w:tc>
          <w:tcPr>
            <w:tcW w:w="1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100" w:type="dxa"/>
            <w:vAlign w:val="bottom"/>
          </w:tcPr>
          <w:p>
            <w:pPr>
              <w:ind w:left="300"/>
              <w:spacing w:after="0"/>
              <w:rPr>
                <w:sz w:val="20"/>
                <w:szCs w:val="20"/>
                <w:color w:val="auto"/>
              </w:rPr>
            </w:pPr>
            <w:r>
              <w:rPr>
                <w:rFonts w:ascii="Arial" w:cs="Arial" w:eastAsia="Arial" w:hAnsi="Arial"/>
                <w:sz w:val="14"/>
                <w:szCs w:val="14"/>
                <w:color w:val="auto"/>
              </w:rPr>
              <w:t>awards granted and vested</w:t>
            </w:r>
          </w:p>
        </w:tc>
        <w:tc>
          <w:tcPr>
            <w:tcW w:w="360" w:type="dxa"/>
            <w:vAlign w:val="bottom"/>
          </w:tcPr>
          <w:p>
            <w:pPr>
              <w:jc w:val="right"/>
              <w:ind w:right="155"/>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r>
      <w:tr>
        <w:trPr>
          <w:trHeight w:val="190"/>
        </w:trPr>
        <w:tc>
          <w:tcPr>
            <w:tcW w:w="120" w:type="dxa"/>
            <w:vAlign w:val="bottom"/>
          </w:tcPr>
          <w:p>
            <w:pPr>
              <w:spacing w:after="0"/>
              <w:rPr>
                <w:sz w:val="16"/>
                <w:szCs w:val="16"/>
                <w:color w:val="auto"/>
              </w:rPr>
            </w:pPr>
          </w:p>
        </w:tc>
        <w:tc>
          <w:tcPr>
            <w:tcW w:w="2100" w:type="dxa"/>
            <w:vAlign w:val="bottom"/>
          </w:tcPr>
          <w:p>
            <w:pPr>
              <w:ind w:left="300"/>
              <w:spacing w:after="0"/>
              <w:rPr>
                <w:sz w:val="20"/>
                <w:szCs w:val="20"/>
                <w:color w:val="auto"/>
              </w:rPr>
            </w:pPr>
            <w:r>
              <w:rPr>
                <w:rFonts w:ascii="Arial" w:cs="Arial" w:eastAsia="Arial" w:hAnsi="Arial"/>
                <w:sz w:val="14"/>
                <w:szCs w:val="14"/>
                <w:color w:val="auto"/>
              </w:rPr>
              <w:t>in current year</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200"/>
        <w:spacing w:after="0"/>
        <w:tabs>
          <w:tab w:leader="none" w:pos="300" w:val="left"/>
          <w:tab w:leader="none" w:pos="1180" w:val="left"/>
          <w:tab w:leader="none" w:pos="1280" w:val="left"/>
          <w:tab w:leader="none" w:pos="2220" w:val="left"/>
          <w:tab w:leader="none" w:pos="2320" w:val="left"/>
          <w:tab w:leader="none" w:pos="3200" w:val="left"/>
          <w:tab w:leader="none" w:pos="3300" w:val="left"/>
          <w:tab w:leader="none" w:pos="4240" w:val="left"/>
          <w:tab w:leader="none" w:pos="4360" w:val="left"/>
          <w:tab w:leader="none" w:pos="526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62" w:lineRule="exact"/>
        <w:rPr>
          <w:sz w:val="20"/>
          <w:szCs w:val="20"/>
          <w:color w:val="auto"/>
        </w:rPr>
      </w:pPr>
    </w:p>
    <w:p>
      <w:pPr>
        <w:spacing w:after="0"/>
        <w:tabs>
          <w:tab w:leader="none" w:pos="400" w:val="left"/>
          <w:tab w:leader="none" w:pos="980" w:val="left"/>
          <w:tab w:leader="none" w:pos="1380" w:val="left"/>
          <w:tab w:leader="none" w:pos="2000" w:val="left"/>
          <w:tab w:leader="none" w:pos="2420" w:val="left"/>
          <w:tab w:leader="none" w:pos="3000" w:val="left"/>
          <w:tab w:leader="none" w:pos="3420" w:val="left"/>
          <w:tab w:leader="none" w:pos="4040" w:val="left"/>
          <w:tab w:leader="none" w:pos="4480" w:val="left"/>
          <w:tab w:leader="none" w:pos="50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163" w:lineRule="exact"/>
        <w:rPr>
          <w:sz w:val="20"/>
          <w:szCs w:val="20"/>
          <w:color w:val="auto"/>
        </w:rPr>
      </w:pPr>
    </w:p>
    <w:p>
      <w:pPr>
        <w:sectPr>
          <w:pgSz w:w="11900" w:h="16838" w:orient="portrait"/>
          <w:cols w:equalWidth="0" w:num="2">
            <w:col w:w="3980" w:space="540"/>
            <w:col w:w="5700"/>
          </w:cols>
          <w:pgMar w:left="320" w:top="122" w:right="1359" w:bottom="1440" w:gutter="0" w:footer="0" w:header="0"/>
          <w:type w:val="continuous"/>
        </w:sectPr>
      </w:pPr>
    </w:p>
    <w:p>
      <w:pPr>
        <w:ind w:left="1640"/>
        <w:spacing w:after="0"/>
        <w:rPr>
          <w:sz w:val="20"/>
          <w:szCs w:val="20"/>
          <w:color w:val="auto"/>
        </w:rPr>
      </w:pPr>
      <w:r>
        <w:rPr>
          <w:rFonts w:ascii="Arial" w:cs="Arial" w:eastAsia="Arial" w:hAnsi="Arial"/>
          <w:sz w:val="14"/>
          <w:szCs w:val="14"/>
          <w:color w:val="auto"/>
        </w:rPr>
        <w:t>Difference in fair values</w:t>
      </w:r>
    </w:p>
    <w:p>
      <w:pPr>
        <w:spacing w:after="0" w:line="2" w:lineRule="exact"/>
        <w:rPr>
          <w:sz w:val="20"/>
          <w:szCs w:val="20"/>
          <w:color w:val="auto"/>
        </w:rPr>
      </w:pPr>
    </w:p>
    <w:tbl>
      <w:tblPr>
        <w:tblLayout w:type="fixed"/>
        <w:tblInd w:w="140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2040" w:type="dxa"/>
            <w:vAlign w:val="bottom"/>
          </w:tcPr>
          <w:p>
            <w:pPr>
              <w:ind w:left="200"/>
              <w:spacing w:after="0"/>
              <w:rPr>
                <w:sz w:val="20"/>
                <w:szCs w:val="20"/>
                <w:color w:val="auto"/>
              </w:rPr>
            </w:pPr>
            <w:r>
              <w:rPr>
                <w:rFonts w:ascii="Arial" w:cs="Arial" w:eastAsia="Arial" w:hAnsi="Arial"/>
                <w:sz w:val="14"/>
                <w:szCs w:val="14"/>
                <w:color w:val="auto"/>
              </w:rPr>
              <w:t>between prior year-end fair</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00"/>
        </w:trPr>
        <w:tc>
          <w:tcPr>
            <w:tcW w:w="2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040" w:type="dxa"/>
            <w:vAlign w:val="bottom"/>
          </w:tcPr>
          <w:p>
            <w:pPr>
              <w:ind w:left="200"/>
              <w:spacing w:after="0" w:line="91" w:lineRule="exact"/>
              <w:rPr>
                <w:sz w:val="20"/>
                <w:szCs w:val="20"/>
                <w:color w:val="auto"/>
              </w:rPr>
            </w:pPr>
            <w:r>
              <w:rPr>
                <w:rFonts w:ascii="Arial" w:cs="Arial" w:eastAsia="Arial" w:hAnsi="Arial"/>
                <w:sz w:val="10"/>
                <w:szCs w:val="10"/>
                <w:color w:val="auto"/>
              </w:rPr>
              <w:t>values and vest date fair</w:t>
            </w:r>
          </w:p>
        </w:tc>
        <w:tc>
          <w:tcPr>
            <w:tcW w:w="1060" w:type="dxa"/>
            <w:vAlign w:val="bottom"/>
          </w:tcPr>
          <w:p>
            <w:pPr>
              <w:jc w:val="right"/>
              <w:ind w:right="895"/>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00" w:type="dxa"/>
            <w:vAlign w:val="bottom"/>
          </w:tcPr>
          <w:p>
            <w:pPr>
              <w:jc w:val="right"/>
              <w:ind w:right="855"/>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20" w:type="dxa"/>
            <w:vAlign w:val="bottom"/>
          </w:tcPr>
          <w:p>
            <w:pPr>
              <w:jc w:val="right"/>
              <w:ind w:right="873"/>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Pr>
          <w:p>
            <w:pPr>
              <w:jc w:val="right"/>
              <w:ind w:right="833"/>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tcPr>
          <w:p>
            <w:pPr>
              <w:jc w:val="right"/>
              <w:ind w:right="873"/>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jc w:val="right"/>
              <w:ind w:right="235"/>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r>
      <w:tr>
        <w:trPr>
          <w:trHeight w:val="224"/>
        </w:trPr>
        <w:tc>
          <w:tcPr>
            <w:tcW w:w="220" w:type="dxa"/>
            <w:vAlign w:val="bottom"/>
          </w:tcPr>
          <w:p>
            <w:pPr>
              <w:spacing w:after="0"/>
              <w:rPr>
                <w:sz w:val="19"/>
                <w:szCs w:val="19"/>
                <w:color w:val="auto"/>
              </w:rPr>
            </w:pPr>
          </w:p>
        </w:tc>
        <w:tc>
          <w:tcPr>
            <w:tcW w:w="2040" w:type="dxa"/>
            <w:vAlign w:val="bottom"/>
          </w:tcPr>
          <w:p>
            <w:pPr>
              <w:ind w:left="200"/>
              <w:spacing w:after="0"/>
              <w:rPr>
                <w:sz w:val="20"/>
                <w:szCs w:val="20"/>
                <w:color w:val="auto"/>
              </w:rPr>
            </w:pPr>
            <w:r>
              <w:rPr>
                <w:rFonts w:ascii="Arial" w:cs="Arial" w:eastAsia="Arial" w:hAnsi="Arial"/>
                <w:sz w:val="14"/>
                <w:szCs w:val="14"/>
                <w:color w:val="auto"/>
              </w:rPr>
              <w:t>values for awards granted in</w:t>
            </w:r>
          </w:p>
        </w:tc>
        <w:tc>
          <w:tcPr>
            <w:tcW w:w="1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190"/>
        </w:trPr>
        <w:tc>
          <w:tcPr>
            <w:tcW w:w="220" w:type="dxa"/>
            <w:vAlign w:val="bottom"/>
          </w:tcPr>
          <w:p>
            <w:pPr>
              <w:spacing w:after="0"/>
              <w:rPr>
                <w:sz w:val="16"/>
                <w:szCs w:val="16"/>
                <w:color w:val="auto"/>
              </w:rPr>
            </w:pPr>
          </w:p>
        </w:tc>
        <w:tc>
          <w:tcPr>
            <w:tcW w:w="2040" w:type="dxa"/>
            <w:vAlign w:val="bottom"/>
          </w:tcPr>
          <w:p>
            <w:pPr>
              <w:ind w:left="200"/>
              <w:spacing w:after="0"/>
              <w:rPr>
                <w:sz w:val="20"/>
                <w:szCs w:val="20"/>
                <w:color w:val="auto"/>
              </w:rPr>
            </w:pPr>
            <w:r>
              <w:rPr>
                <w:rFonts w:ascii="Arial" w:cs="Arial" w:eastAsia="Arial" w:hAnsi="Arial"/>
                <w:sz w:val="14"/>
                <w:szCs w:val="14"/>
                <w:color w:val="auto"/>
              </w:rPr>
              <w:t>prior years</w:t>
            </w:r>
          </w:p>
        </w:tc>
        <w:tc>
          <w:tcPr>
            <w:tcW w:w="1060" w:type="dxa"/>
            <w:vAlign w:val="bottom"/>
          </w:tcPr>
          <w:p>
            <w:pPr>
              <w:jc w:val="right"/>
              <w:spacing w:after="0"/>
              <w:rPr>
                <w:sz w:val="20"/>
                <w:szCs w:val="20"/>
                <w:color w:val="auto"/>
              </w:rPr>
            </w:pPr>
            <w:r>
              <w:rPr>
                <w:rFonts w:ascii="Arial" w:cs="Arial" w:eastAsia="Arial" w:hAnsi="Arial"/>
                <w:sz w:val="14"/>
                <w:szCs w:val="14"/>
                <w:color w:val="auto"/>
              </w:rPr>
              <w:t>$(1,051,004)</w:t>
            </w:r>
          </w:p>
        </w:tc>
        <w:tc>
          <w:tcPr>
            <w:tcW w:w="1000" w:type="dxa"/>
            <w:vAlign w:val="bottom"/>
          </w:tcPr>
          <w:p>
            <w:pPr>
              <w:jc w:val="right"/>
              <w:spacing w:after="0"/>
              <w:rPr>
                <w:sz w:val="20"/>
                <w:szCs w:val="20"/>
                <w:color w:val="auto"/>
              </w:rPr>
            </w:pPr>
            <w:r>
              <w:rPr>
                <w:rFonts w:ascii="Arial" w:cs="Arial" w:eastAsia="Arial" w:hAnsi="Arial"/>
                <w:sz w:val="14"/>
                <w:szCs w:val="14"/>
                <w:color w:val="auto"/>
              </w:rPr>
              <w:t>$ (190,609)</w:t>
            </w:r>
          </w:p>
        </w:tc>
        <w:tc>
          <w:tcPr>
            <w:tcW w:w="1020" w:type="dxa"/>
            <w:vAlign w:val="bottom"/>
          </w:tcPr>
          <w:p>
            <w:pPr>
              <w:jc w:val="right"/>
              <w:spacing w:after="0"/>
              <w:rPr>
                <w:sz w:val="20"/>
                <w:szCs w:val="20"/>
                <w:color w:val="auto"/>
              </w:rPr>
            </w:pPr>
            <w:r>
              <w:rPr>
                <w:rFonts w:ascii="Arial" w:cs="Arial" w:eastAsia="Arial" w:hAnsi="Arial"/>
                <w:sz w:val="14"/>
                <w:szCs w:val="14"/>
                <w:color w:val="auto"/>
              </w:rPr>
              <w:t>$  (453,294)</w:t>
            </w:r>
          </w:p>
        </w:tc>
        <w:tc>
          <w:tcPr>
            <w:tcW w:w="1000" w:type="dxa"/>
            <w:vAlign w:val="bottom"/>
          </w:tcPr>
          <w:p>
            <w:pPr>
              <w:jc w:val="right"/>
              <w:spacing w:after="0"/>
              <w:rPr>
                <w:sz w:val="20"/>
                <w:szCs w:val="20"/>
                <w:color w:val="auto"/>
              </w:rPr>
            </w:pPr>
            <w:r>
              <w:rPr>
                <w:rFonts w:ascii="Arial" w:cs="Arial" w:eastAsia="Arial" w:hAnsi="Arial"/>
                <w:sz w:val="14"/>
                <w:szCs w:val="14"/>
                <w:color w:val="auto"/>
              </w:rPr>
              <w:t>$  (78,778)</w:t>
            </w:r>
          </w:p>
        </w:tc>
        <w:tc>
          <w:tcPr>
            <w:tcW w:w="1020" w:type="dxa"/>
            <w:vAlign w:val="bottom"/>
          </w:tcPr>
          <w:p>
            <w:pPr>
              <w:jc w:val="right"/>
              <w:spacing w:after="0"/>
              <w:rPr>
                <w:sz w:val="20"/>
                <w:szCs w:val="20"/>
                <w:color w:val="auto"/>
              </w:rPr>
            </w:pPr>
            <w:r>
              <w:rPr>
                <w:rFonts w:ascii="Arial" w:cs="Arial" w:eastAsia="Arial" w:hAnsi="Arial"/>
                <w:sz w:val="14"/>
                <w:szCs w:val="14"/>
                <w:color w:val="auto"/>
              </w:rPr>
              <w:t>$  (474,260)</w:t>
            </w:r>
          </w:p>
        </w:tc>
        <w:tc>
          <w:tcPr>
            <w:tcW w:w="400" w:type="dxa"/>
            <w:vAlign w:val="bottom"/>
          </w:tcPr>
          <w:p>
            <w:pPr>
              <w:jc w:val="right"/>
              <w:ind w:right="35"/>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(76,652)</w:t>
            </w:r>
          </w:p>
        </w:tc>
      </w:tr>
    </w:tbl>
    <w:p>
      <w:pPr>
        <w:spacing w:after="0" w:line="200" w:lineRule="exact"/>
        <w:rPr>
          <w:sz w:val="20"/>
          <w:szCs w:val="20"/>
          <w:color w:val="auto"/>
        </w:rPr>
      </w:pPr>
    </w:p>
    <w:p>
      <w:pPr>
        <w:sectPr>
          <w:pgSz w:w="11900" w:h="16838" w:orient="portrait"/>
          <w:cols w:equalWidth="0" w:num="1">
            <w:col w:w="10220"/>
          </w:cols>
          <w:pgMar w:left="320" w:top="122" w:right="1359" w:bottom="1440" w:gutter="0" w:footer="0" w:header="0"/>
          <w:type w:val="continuous"/>
        </w:sectPr>
      </w:pPr>
    </w:p>
    <w:p>
      <w:pPr>
        <w:spacing w:after="0" w:line="113" w:lineRule="exact"/>
        <w:rPr>
          <w:sz w:val="20"/>
          <w:szCs w:val="20"/>
          <w:color w:val="auto"/>
        </w:rPr>
      </w:pPr>
    </w:p>
    <w:p>
      <w:pPr>
        <w:ind w:left="1040"/>
        <w:spacing w:after="0"/>
        <w:tabs>
          <w:tab w:leader="none" w:pos="5460" w:val="left"/>
        </w:tabs>
        <w:rPr>
          <w:sz w:val="20"/>
          <w:szCs w:val="20"/>
          <w:color w:val="auto"/>
        </w:rPr>
      </w:pPr>
      <w:r>
        <w:rPr>
          <w:rFonts w:ascii="Arial" w:cs="Arial" w:eastAsia="Arial" w:hAnsi="Arial"/>
          <w:sz w:val="12"/>
          <w:szCs w:val="12"/>
          <w:color w:val="auto"/>
        </w:rPr>
        <w:t> </w:t>
      </w:r>
      <w:r>
        <w:rPr>
          <w:sz w:val="20"/>
          <w:szCs w:val="20"/>
          <w:color w:val="auto"/>
        </w:rPr>
        <w:tab/>
      </w: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316230</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220"/>
          </w:cols>
          <w:pgMar w:left="320" w:top="122" w:right="1359" w:bottom="1440" w:gutter="0" w:footer="0" w:header="0"/>
          <w:type w:val="continuous"/>
        </w:sectPr>
      </w:pPr>
    </w:p>
    <w:bookmarkStart w:id="57" w:name="page58"/>
    <w:bookmarkEnd w:id="57"/>
    <w:tbl>
      <w:tblPr>
        <w:tblLayout w:type="fixed"/>
        <w:tblInd w:w="92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73"/>
        </w:trPr>
        <w:tc>
          <w:tcPr>
            <w:tcW w:w="2080" w:type="dxa"/>
            <w:vAlign w:val="bottom"/>
            <w:gridSpan w:val="2"/>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ind w:left="5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4"/>
                <w:szCs w:val="4"/>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7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r>
      <w:tr>
        <w:trPr>
          <w:trHeight w:val="152"/>
        </w:trPr>
        <w:tc>
          <w:tcPr>
            <w:tcW w:w="1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r>
      <w:tr>
        <w:trPr>
          <w:trHeight w:val="227"/>
        </w:trPr>
        <w:tc>
          <w:tcPr>
            <w:tcW w:w="1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Average</w:t>
            </w:r>
          </w:p>
        </w:tc>
        <w:tc>
          <w:tcPr>
            <w:tcW w:w="110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Average</w:t>
            </w:r>
          </w:p>
        </w:tc>
        <w:tc>
          <w:tcPr>
            <w:tcW w:w="1080" w:type="dxa"/>
            <w:vAlign w:val="bottom"/>
          </w:tcPr>
          <w:p>
            <w:pPr>
              <w:spacing w:after="0"/>
              <w:rPr>
                <w:sz w:val="19"/>
                <w:szCs w:val="19"/>
                <w:color w:val="auto"/>
              </w:rPr>
            </w:pPr>
          </w:p>
        </w:tc>
        <w:tc>
          <w:tcPr>
            <w:tcW w:w="740" w:type="dxa"/>
            <w:vAlign w:val="bottom"/>
          </w:tcPr>
          <w:p>
            <w:pPr>
              <w:jc w:val="right"/>
              <w:ind w:right="82"/>
              <w:spacing w:after="0"/>
              <w:rPr>
                <w:sz w:val="20"/>
                <w:szCs w:val="20"/>
                <w:color w:val="auto"/>
              </w:rPr>
            </w:pPr>
            <w:r>
              <w:rPr>
                <w:rFonts w:ascii="Arial" w:cs="Arial" w:eastAsia="Arial" w:hAnsi="Arial"/>
                <w:sz w:val="14"/>
                <w:szCs w:val="14"/>
                <w:b w:val="1"/>
                <w:bCs w:val="1"/>
                <w:color w:val="auto"/>
              </w:rPr>
              <w:t>Average</w:t>
            </w:r>
          </w:p>
        </w:tc>
      </w:tr>
      <w:tr>
        <w:trPr>
          <w:trHeight w:val="162"/>
        </w:trPr>
        <w:tc>
          <w:tcPr>
            <w:tcW w:w="2080" w:type="dxa"/>
            <w:vAlign w:val="bottom"/>
            <w:gridSpan w:val="2"/>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ind w:left="56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auto"/>
              </w:rPr>
              <w:t xml:space="preserve">Thomas L. </w:t>
            </w:r>
            <w:r>
              <w:rPr>
                <w:rFonts w:ascii="Times New Roman" w:cs="Times New Roman" w:eastAsia="Times New Roman" w:hAnsi="Times New Roman"/>
                <w:sz w:val="3"/>
                <w:szCs w:val="3"/>
                <w:color w:val="auto"/>
              </w:rPr>
              <w:t>​      ​</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 xml:space="preserve">Non-CEO </w:t>
            </w:r>
            <w:r>
              <w:rPr>
                <w:rFonts w:ascii="Times New Roman" w:cs="Times New Roman" w:eastAsia="Times New Roman" w:hAnsi="Times New Roman"/>
                <w:sz w:val="3"/>
                <w:szCs w:val="3"/>
                <w:color w:val="auto"/>
              </w:rPr>
              <w:t>​      ​</w:t>
            </w: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 xml:space="preserve">Thomas L. </w:t>
            </w:r>
            <w:r>
              <w:rPr>
                <w:rFonts w:ascii="Times New Roman" w:cs="Times New Roman" w:eastAsia="Times New Roman" w:hAnsi="Times New Roman"/>
                <w:sz w:val="3"/>
                <w:szCs w:val="3"/>
                <w:color w:val="auto"/>
              </w:rPr>
              <w:t>​      ​</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 xml:space="preserve">Non-CEO </w:t>
            </w:r>
            <w:r>
              <w:rPr>
                <w:rFonts w:ascii="Times New Roman" w:cs="Times New Roman" w:eastAsia="Times New Roman" w:hAnsi="Times New Roman"/>
                <w:sz w:val="3"/>
                <w:szCs w:val="3"/>
                <w:color w:val="auto"/>
              </w:rPr>
              <w:t>​      ​</w:t>
            </w:r>
          </w:p>
        </w:tc>
        <w:tc>
          <w:tcPr>
            <w:tcW w:w="1080" w:type="dxa"/>
            <w:vAlign w:val="bottom"/>
          </w:tcPr>
          <w:p>
            <w:pPr>
              <w:jc w:val="right"/>
              <w:ind w:right="88"/>
              <w:spacing w:after="0"/>
              <w:rPr>
                <w:sz w:val="20"/>
                <w:szCs w:val="20"/>
                <w:color w:val="auto"/>
              </w:rPr>
            </w:pPr>
            <w:r>
              <w:rPr>
                <w:rFonts w:ascii="Arial" w:cs="Arial" w:eastAsia="Arial" w:hAnsi="Arial"/>
                <w:sz w:val="14"/>
                <w:szCs w:val="14"/>
                <w:b w:val="1"/>
                <w:bCs w:val="1"/>
                <w:color w:val="auto"/>
              </w:rPr>
              <w:t xml:space="preserve">Thomas L. </w:t>
            </w:r>
            <w:r>
              <w:rPr>
                <w:rFonts w:ascii="Times New Roman" w:cs="Times New Roman" w:eastAsia="Times New Roman" w:hAnsi="Times New Roman"/>
                <w:sz w:val="3"/>
                <w:szCs w:val="3"/>
                <w:color w:val="auto"/>
              </w:rPr>
              <w:t>​      ​</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 xml:space="preserve">Non-CEO </w:t>
            </w:r>
            <w:r>
              <w:rPr>
                <w:rFonts w:ascii="Times New Roman" w:cs="Times New Roman" w:eastAsia="Times New Roman" w:hAnsi="Times New Roman"/>
                <w:sz w:val="3"/>
                <w:szCs w:val="3"/>
                <w:color w:val="auto"/>
              </w:rPr>
              <w:t>​</w:t>
            </w:r>
          </w:p>
        </w:tc>
      </w:tr>
      <w:tr>
        <w:trPr>
          <w:trHeight w:val="196"/>
        </w:trPr>
        <w:tc>
          <w:tcPr>
            <w:tcW w:w="1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308"/>
              <w:spacing w:after="0"/>
              <w:rPr>
                <w:sz w:val="20"/>
                <w:szCs w:val="20"/>
                <w:color w:val="auto"/>
              </w:rPr>
            </w:pPr>
            <w:r>
              <w:rPr>
                <w:rFonts w:ascii="Arial" w:cs="Arial" w:eastAsia="Arial" w:hAnsi="Arial"/>
                <w:sz w:val="14"/>
                <w:szCs w:val="14"/>
                <w:b w:val="1"/>
                <w:bCs w:val="1"/>
                <w:color w:val="auto"/>
              </w:rPr>
              <w:t>Deitrich</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NEOs</w:t>
            </w:r>
          </w:p>
        </w:tc>
        <w:tc>
          <w:tcPr>
            <w:tcW w:w="1100" w:type="dxa"/>
            <w:vAlign w:val="bottom"/>
          </w:tcPr>
          <w:p>
            <w:pPr>
              <w:jc w:val="right"/>
              <w:ind w:right="348"/>
              <w:spacing w:after="0"/>
              <w:rPr>
                <w:sz w:val="20"/>
                <w:szCs w:val="20"/>
                <w:color w:val="auto"/>
              </w:rPr>
            </w:pPr>
            <w:r>
              <w:rPr>
                <w:rFonts w:ascii="Arial" w:cs="Arial" w:eastAsia="Arial" w:hAnsi="Arial"/>
                <w:sz w:val="14"/>
                <w:szCs w:val="14"/>
                <w:b w:val="1"/>
                <w:bCs w:val="1"/>
                <w:color w:val="auto"/>
              </w:rPr>
              <w:t>Deitrich</w:t>
            </w: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NEOs</w:t>
            </w:r>
          </w:p>
        </w:tc>
        <w:tc>
          <w:tcPr>
            <w:tcW w:w="1080" w:type="dxa"/>
            <w:vAlign w:val="bottom"/>
          </w:tcPr>
          <w:p>
            <w:pPr>
              <w:jc w:val="right"/>
              <w:ind w:right="348"/>
              <w:spacing w:after="0"/>
              <w:rPr>
                <w:sz w:val="20"/>
                <w:szCs w:val="20"/>
                <w:color w:val="auto"/>
              </w:rPr>
            </w:pPr>
            <w:r>
              <w:rPr>
                <w:rFonts w:ascii="Arial" w:cs="Arial" w:eastAsia="Arial" w:hAnsi="Arial"/>
                <w:sz w:val="14"/>
                <w:szCs w:val="14"/>
                <w:b w:val="1"/>
                <w:bCs w:val="1"/>
                <w:color w:val="auto"/>
              </w:rPr>
              <w:t>Deitrich</w:t>
            </w:r>
          </w:p>
        </w:tc>
        <w:tc>
          <w:tcPr>
            <w:tcW w:w="740" w:type="dxa"/>
            <w:vAlign w:val="bottom"/>
          </w:tcPr>
          <w:p>
            <w:pPr>
              <w:jc w:val="right"/>
              <w:ind w:right="142"/>
              <w:spacing w:after="0"/>
              <w:rPr>
                <w:sz w:val="20"/>
                <w:szCs w:val="20"/>
                <w:color w:val="auto"/>
              </w:rPr>
            </w:pPr>
            <w:r>
              <w:rPr>
                <w:rFonts w:ascii="Arial" w:cs="Arial" w:eastAsia="Arial" w:hAnsi="Arial"/>
                <w:sz w:val="14"/>
                <w:szCs w:val="14"/>
                <w:b w:val="1"/>
                <w:bCs w:val="1"/>
                <w:color w:val="auto"/>
              </w:rPr>
              <w:t>NEOs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35560</wp:posOffset>
            </wp:positionV>
            <wp:extent cx="5366385" cy="4114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366385" cy="411480"/>
                    </a:xfrm>
                    <a:prstGeom prst="rect">
                      <a:avLst/>
                    </a:prstGeom>
                    <a:noFill/>
                  </pic:spPr>
                </pic:pic>
              </a:graphicData>
            </a:graphic>
          </wp:anchor>
        </w:drawing>
      </w:r>
    </w:p>
    <w:p>
      <w:pPr>
        <w:sectPr>
          <w:pgSz w:w="11900" w:h="16838" w:orient="portrait"/>
          <w:cols w:equalWidth="0" w:num="1">
            <w:col w:w="11020"/>
          </w:cols>
          <w:pgMar w:left="440" w:top="262" w:right="439" w:bottom="1440" w:gutter="0" w:footer="0" w:header="0"/>
        </w:sectPr>
      </w:pPr>
    </w:p>
    <w:p>
      <w:pPr>
        <w:spacing w:after="0" w:line="128" w:lineRule="exact"/>
        <w:rPr>
          <w:sz w:val="20"/>
          <w:szCs w:val="20"/>
          <w:color w:val="auto"/>
        </w:rPr>
      </w:pPr>
    </w:p>
    <w:p>
      <w:pPr>
        <w:jc w:val="both"/>
        <w:ind w:left="1700" w:hanging="179"/>
        <w:spacing w:after="0" w:line="263" w:lineRule="auto"/>
        <w:rPr>
          <w:sz w:val="20"/>
          <w:szCs w:val="20"/>
          <w:color w:val="auto"/>
        </w:rPr>
      </w:pPr>
      <w:r>
        <w:rPr>
          <w:rFonts w:ascii="Arial" w:cs="Arial" w:eastAsia="Arial" w:hAnsi="Arial"/>
          <w:sz w:val="14"/>
          <w:szCs w:val="14"/>
          <w:color w:val="auto"/>
        </w:rPr>
        <w:t>Forfeitures during current year equal to prior year-end fair value</w:t>
      </w:r>
    </w:p>
    <w:p>
      <w:pPr>
        <w:spacing w:after="0" w:line="119" w:lineRule="exact"/>
        <w:rPr>
          <w:sz w:val="20"/>
          <w:szCs w:val="20"/>
          <w:color w:val="auto"/>
        </w:rPr>
      </w:pPr>
    </w:p>
    <w:p>
      <w:pPr>
        <w:ind w:left="1700" w:right="140" w:hanging="179"/>
        <w:spacing w:after="0" w:line="256" w:lineRule="auto"/>
        <w:rPr>
          <w:sz w:val="20"/>
          <w:szCs w:val="20"/>
          <w:color w:val="auto"/>
        </w:rPr>
      </w:pPr>
      <w:r>
        <w:rPr>
          <w:rFonts w:ascii="Arial" w:cs="Arial" w:eastAsia="Arial" w:hAnsi="Arial"/>
          <w:sz w:val="14"/>
          <w:szCs w:val="14"/>
          <w:color w:val="auto"/>
        </w:rPr>
        <w:t>Dividends or dividend equivalents not otherwise included in total compensation</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94"/>
        </w:trPr>
        <w:tc>
          <w:tcPr>
            <w:tcW w:w="560" w:type="dxa"/>
            <w:vAlign w:val="bottom"/>
            <w:gridSpan w:val="2"/>
          </w:tcPr>
          <w:p>
            <w:pPr>
              <w:jc w:val="right"/>
              <w:ind w:right="440"/>
              <w:spacing w:after="0"/>
              <w:rPr>
                <w:sz w:val="20"/>
                <w:szCs w:val="20"/>
                <w:color w:val="auto"/>
              </w:rPr>
            </w:pPr>
            <w:r>
              <w:rPr>
                <w:rFonts w:ascii="Times New Roman" w:cs="Times New Roman" w:eastAsia="Times New Roman" w:hAnsi="Times New Roman"/>
                <w:sz w:val="7"/>
                <w:szCs w:val="7"/>
                <w:color w:val="auto"/>
                <w:vertAlign w:val="superscript"/>
              </w:rPr>
              <w:t>​</w:t>
            </w:r>
            <w:r>
              <w:rPr>
                <w:rFonts w:ascii="Times New Roman" w:cs="Times New Roman" w:eastAsia="Times New Roman" w:hAnsi="Times New Roman"/>
                <w:sz w:val="4"/>
                <w:szCs w:val="4"/>
                <w:color w:val="auto"/>
              </w:rPr>
              <w:t>​</w:t>
            </w:r>
          </w:p>
        </w:tc>
        <w:tc>
          <w:tcPr>
            <w:tcW w:w="420" w:type="dxa"/>
            <w:vAlign w:val="bottom"/>
          </w:tcPr>
          <w:p>
            <w:pPr>
              <w:spacing w:after="0"/>
              <w:rPr>
                <w:sz w:val="8"/>
                <w:szCs w:val="8"/>
                <w:color w:val="auto"/>
              </w:rPr>
            </w:pPr>
          </w:p>
        </w:tc>
        <w:tc>
          <w:tcPr>
            <w:tcW w:w="600" w:type="dxa"/>
            <w:vAlign w:val="bottom"/>
            <w:gridSpan w:val="2"/>
          </w:tcPr>
          <w:p>
            <w:pPr>
              <w:jc w:val="right"/>
              <w:ind w:right="420"/>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spacing w:after="0"/>
              <w:rPr>
                <w:sz w:val="8"/>
                <w:szCs w:val="8"/>
                <w:color w:val="auto"/>
              </w:rPr>
            </w:pPr>
          </w:p>
        </w:tc>
        <w:tc>
          <w:tcPr>
            <w:tcW w:w="640" w:type="dxa"/>
            <w:vAlign w:val="bottom"/>
            <w:gridSpan w:val="2"/>
          </w:tcPr>
          <w:p>
            <w:pPr>
              <w:jc w:val="right"/>
              <w:ind w:right="46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gridSpan w:val="2"/>
          </w:tcPr>
          <w:p>
            <w:pPr>
              <w:jc w:val="right"/>
              <w:ind w:right="4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gridSpan w:val="2"/>
          </w:tcPr>
          <w:p>
            <w:pPr>
              <w:jc w:val="right"/>
              <w:ind w:right="46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spacing w:after="0"/>
              <w:rPr>
                <w:sz w:val="8"/>
                <w:szCs w:val="8"/>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gridSpan w:val="2"/>
          </w:tcPr>
          <w:p>
            <w:pPr>
              <w:jc w:val="right"/>
              <w:ind w:right="4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Pr>
          <w:p>
            <w:pPr>
              <w:spacing w:after="0"/>
              <w:rPr>
                <w:sz w:val="8"/>
                <w:szCs w:val="8"/>
                <w:color w:val="auto"/>
              </w:rPr>
            </w:pPr>
          </w:p>
        </w:tc>
        <w:tc>
          <w:tcPr>
            <w:tcW w:w="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r>
      <w:tr>
        <w:trPr>
          <w:trHeight w:val="204"/>
        </w:trPr>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ind w:left="280"/>
              <w:spacing w:after="0"/>
              <w:rPr>
                <w:sz w:val="20"/>
                <w:szCs w:val="20"/>
                <w:color w:val="auto"/>
              </w:rPr>
            </w:pPr>
            <w:r>
              <w:rPr>
                <w:rFonts w:ascii="Arial" w:cs="Arial" w:eastAsia="Arial" w:hAnsi="Arial"/>
                <w:sz w:val="14"/>
                <w:szCs w:val="14"/>
                <w:color w:val="auto"/>
                <w:w w:val="85"/>
              </w:rPr>
              <w:t>—</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ind w:left="200"/>
              <w:spacing w:after="0"/>
              <w:rPr>
                <w:sz w:val="20"/>
                <w:szCs w:val="20"/>
                <w:color w:val="auto"/>
              </w:rPr>
            </w:pPr>
            <w:r>
              <w:rPr>
                <w:rFonts w:ascii="Arial" w:cs="Arial" w:eastAsia="Arial" w:hAnsi="Arial"/>
                <w:sz w:val="14"/>
                <w:szCs w:val="14"/>
                <w:color w:val="auto"/>
                <w:w w:val="99"/>
              </w:rPr>
              <w:t>—</w:t>
            </w:r>
          </w:p>
        </w:tc>
        <w:tc>
          <w:tcPr>
            <w:tcW w:w="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24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ind w:left="26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7"/>
                <w:szCs w:val="17"/>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240"/>
              <w:spacing w:after="0"/>
              <w:rPr>
                <w:sz w:val="20"/>
                <w:szCs w:val="20"/>
                <w:color w:val="auto"/>
              </w:rPr>
            </w:pPr>
            <w:r>
              <w:rPr>
                <w:rFonts w:ascii="Arial" w:cs="Arial" w:eastAsia="Arial" w:hAnsi="Arial"/>
                <w:sz w:val="14"/>
                <w:szCs w:val="14"/>
                <w:color w:val="auto"/>
              </w:rPr>
              <w:t>—</w:t>
            </w:r>
          </w:p>
        </w:tc>
      </w:tr>
      <w:tr>
        <w:trPr>
          <w:trHeight w:val="477"/>
        </w:trPr>
        <w:tc>
          <w:tcPr>
            <w:tcW w:w="560" w:type="dxa"/>
            <w:vAlign w:val="bottom"/>
            <w:gridSpan w:val="2"/>
          </w:tcPr>
          <w:p>
            <w:pPr>
              <w:jc w:val="right"/>
              <w:ind w:right="44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spacing w:after="0"/>
              <w:rPr>
                <w:sz w:val="24"/>
                <w:szCs w:val="24"/>
                <w:color w:val="auto"/>
              </w:rPr>
            </w:pPr>
          </w:p>
        </w:tc>
        <w:tc>
          <w:tcPr>
            <w:tcW w:w="600" w:type="dxa"/>
            <w:vAlign w:val="bottom"/>
            <w:gridSpan w:val="2"/>
          </w:tcPr>
          <w:p>
            <w:pPr>
              <w:jc w:val="right"/>
              <w:ind w:right="420"/>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spacing w:after="0"/>
              <w:rPr>
                <w:sz w:val="24"/>
                <w:szCs w:val="24"/>
                <w:color w:val="auto"/>
              </w:rPr>
            </w:pPr>
          </w:p>
        </w:tc>
        <w:tc>
          <w:tcPr>
            <w:tcW w:w="640" w:type="dxa"/>
            <w:vAlign w:val="bottom"/>
            <w:gridSpan w:val="2"/>
          </w:tcPr>
          <w:p>
            <w:pPr>
              <w:jc w:val="right"/>
              <w:ind w:right="46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gridSpan w:val="2"/>
          </w:tcPr>
          <w:p>
            <w:pPr>
              <w:jc w:val="right"/>
              <w:ind w:right="4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gridSpan w:val="2"/>
          </w:tcPr>
          <w:p>
            <w:pPr>
              <w:jc w:val="right"/>
              <w:ind w:right="460"/>
              <w:spacing w:after="0"/>
              <w:rPr>
                <w:sz w:val="20"/>
                <w:szCs w:val="20"/>
                <w:color w:val="auto"/>
              </w:rPr>
            </w:pPr>
            <w:r>
              <w:rPr>
                <w:rFonts w:ascii="Times New Roman" w:cs="Times New Roman" w:eastAsia="Times New Roman" w:hAnsi="Times New Roman"/>
                <w:sz w:val="4"/>
                <w:szCs w:val="4"/>
                <w:color w:val="auto"/>
              </w:rPr>
              <w:t>​</w:t>
            </w:r>
          </w:p>
        </w:tc>
        <w:tc>
          <w:tcPr>
            <w:tcW w:w="400" w:type="dxa"/>
            <w:vAlign w:val="bottom"/>
          </w:tcPr>
          <w:p>
            <w:pPr>
              <w:spacing w:after="0"/>
              <w:rPr>
                <w:sz w:val="24"/>
                <w:szCs w:val="24"/>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gridSpan w:val="2"/>
          </w:tcPr>
          <w:p>
            <w:pPr>
              <w:jc w:val="right"/>
              <w:ind w:right="4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Pr>
          <w:p>
            <w:pPr>
              <w:spacing w:after="0"/>
              <w:rPr>
                <w:sz w:val="24"/>
                <w:szCs w:val="24"/>
                <w:color w:val="auto"/>
              </w:rPr>
            </w:pPr>
          </w:p>
        </w:tc>
        <w:tc>
          <w:tcPr>
            <w:tcW w:w="8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r>
      <w:tr>
        <w:trPr>
          <w:trHeight w:val="328"/>
        </w:trPr>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ind w:left="280"/>
              <w:spacing w:after="0"/>
              <w:rPr>
                <w:sz w:val="20"/>
                <w:szCs w:val="20"/>
                <w:color w:val="auto"/>
              </w:rPr>
            </w:pPr>
            <w:r>
              <w:rPr>
                <w:rFonts w:ascii="Arial" w:cs="Arial" w:eastAsia="Arial" w:hAnsi="Arial"/>
                <w:sz w:val="14"/>
                <w:szCs w:val="14"/>
                <w:color w:val="auto"/>
                <w:w w:val="85"/>
              </w:rPr>
              <w:t>—</w:t>
            </w: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ind w:left="200"/>
              <w:spacing w:after="0"/>
              <w:rPr>
                <w:sz w:val="20"/>
                <w:szCs w:val="20"/>
                <w:color w:val="auto"/>
              </w:rPr>
            </w:pPr>
            <w:r>
              <w:rPr>
                <w:rFonts w:ascii="Arial" w:cs="Arial" w:eastAsia="Arial" w:hAnsi="Arial"/>
                <w:sz w:val="14"/>
                <w:szCs w:val="14"/>
                <w:color w:val="auto"/>
                <w:w w:val="99"/>
              </w:rPr>
              <w:t>—</w:t>
            </w:r>
          </w:p>
        </w:tc>
        <w:tc>
          <w:tcPr>
            <w:tcW w:w="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240"/>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ind w:left="26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24"/>
                <w:szCs w:val="24"/>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gridSpan w:val="2"/>
          </w:tcPr>
          <w:p>
            <w:pPr>
              <w:ind w:left="240"/>
              <w:spacing w:after="0"/>
              <w:rPr>
                <w:sz w:val="20"/>
                <w:szCs w:val="20"/>
                <w:color w:val="auto"/>
              </w:rPr>
            </w:pPr>
            <w:r>
              <w:rPr>
                <w:rFonts w:ascii="Arial" w:cs="Arial" w:eastAsia="Arial" w:hAnsi="Arial"/>
                <w:sz w:val="14"/>
                <w:szCs w:val="14"/>
                <w:color w:val="auto"/>
              </w:rPr>
              <w:t>—</w:t>
            </w:r>
          </w:p>
        </w:tc>
      </w:tr>
      <w:tr>
        <w:trPr>
          <w:trHeight w:val="20"/>
        </w:trPr>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-1448435</wp:posOffset>
            </wp:positionH>
            <wp:positionV relativeFrom="paragraph">
              <wp:posOffset>34290</wp:posOffset>
            </wp:positionV>
            <wp:extent cx="5366385" cy="3086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366385" cy="308610"/>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3460" w:space="100"/>
            <w:col w:w="7460"/>
          </w:cols>
          <w:pgMar w:left="440" w:top="262" w:right="439" w:bottom="1440" w:gutter="0" w:footer="0" w:header="0"/>
          <w:type w:val="continuous"/>
        </w:sectPr>
      </w:pPr>
    </w:p>
    <w:tbl>
      <w:tblPr>
        <w:tblLayout w:type="fixed"/>
        <w:tblInd w:w="1280" w:type="dxa"/>
        <w:tblCellMar>
          <w:top w:w="0" w:type="dxa"/>
          <w:left w:w="0" w:type="dxa"/>
          <w:bottom w:w="0" w:type="dxa"/>
          <w:right w:w="0" w:type="dxa"/>
        </w:tblCellMar>
      </w:tblPr>
      <w:tr>
        <w:trPr>
          <w:trHeight w:val="297"/>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1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Adjustments for Equity</w:t>
            </w:r>
          </w:p>
        </w:tc>
        <w:tc>
          <w:tcPr>
            <w:tcW w:w="20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gridSpan w:val="4"/>
          </w:tcPr>
          <w:p>
            <w:pPr>
              <w:ind w:left="6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(1,652,437)</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gridSpan w:val="3"/>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(422,852)</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gridSpan w:val="4"/>
          </w:tcPr>
          <w:p>
            <w:pPr>
              <w:ind w:left="6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(2,918,315)</w:t>
            </w:r>
            <w:r>
              <w:rPr>
                <w:rFonts w:ascii="Times New Roman" w:cs="Times New Roman" w:eastAsia="Times New Roman" w:hAnsi="Times New Roman"/>
                <w:sz w:val="3"/>
                <w:szCs w:val="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4"/>
          </w:tcPr>
          <w:p>
            <w:pPr>
              <w:ind w:left="40"/>
              <w:spacing w:after="0"/>
              <w:rPr>
                <w:sz w:val="20"/>
                <w:szCs w:val="20"/>
                <w:color w:val="auto"/>
              </w:rPr>
            </w:pPr>
            <w:r>
              <w:rPr>
                <w:rFonts w:ascii="Arial" w:cs="Arial" w:eastAsia="Arial" w:hAnsi="Arial"/>
                <w:sz w:val="14"/>
                <w:szCs w:val="14"/>
                <w:b w:val="1"/>
                <w:bCs w:val="1"/>
                <w:color w:val="auto"/>
              </w:rPr>
              <w:t>$ (686,108)</w:t>
            </w:r>
            <w:r>
              <w:rPr>
                <w:rFonts w:ascii="Times New Roman" w:cs="Times New Roman" w:eastAsia="Times New Roman" w:hAnsi="Times New Roman"/>
                <w:sz w:val="3"/>
                <w:szCs w:val="3"/>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6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(62,670)</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4"/>
          </w:tcPr>
          <w:p>
            <w:pPr>
              <w:ind w:left="60"/>
              <w:spacing w:after="0"/>
              <w:rPr>
                <w:sz w:val="20"/>
                <w:szCs w:val="20"/>
                <w:color w:val="auto"/>
              </w:rPr>
            </w:pPr>
            <w:r>
              <w:rPr>
                <w:rFonts w:ascii="Arial" w:cs="Arial" w:eastAsia="Arial" w:hAnsi="Arial"/>
                <w:sz w:val="14"/>
                <w:szCs w:val="14"/>
                <w:b w:val="1"/>
                <w:bCs w:val="1"/>
                <w:color w:val="auto"/>
              </w:rPr>
              <w:t xml:space="preserve">$ (300,523)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Awards</w:t>
            </w: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tcPr>
          <w:p>
            <w:pPr>
              <w:ind w:left="20"/>
              <w:spacing w:after="0"/>
              <w:rPr>
                <w:sz w:val="20"/>
                <w:szCs w:val="20"/>
                <w:color w:val="auto"/>
              </w:rPr>
            </w:pPr>
            <w:r>
              <w:rPr>
                <w:rFonts w:ascii="Arial" w:cs="Arial" w:eastAsia="Arial" w:hAnsi="Arial"/>
                <w:sz w:val="14"/>
                <w:szCs w:val="14"/>
                <w:b w:val="1"/>
                <w:bCs w:val="1"/>
                <w:color w:val="auto"/>
              </w:rPr>
              <w:t>Compensation​</w:t>
            </w:r>
          </w:p>
        </w:tc>
        <w:tc>
          <w:tcPr>
            <w:tcW w:w="1060" w:type="dxa"/>
            <w:vAlign w:val="bottom"/>
          </w:tcPr>
          <w:p>
            <w:pPr>
              <w:ind w:left="20"/>
              <w:spacing w:after="0"/>
              <w:rPr>
                <w:sz w:val="20"/>
                <w:szCs w:val="20"/>
                <w:color w:val="auto"/>
              </w:rPr>
            </w:pPr>
            <w:r>
              <w:rPr>
                <w:rFonts w:ascii="Arial" w:cs="Arial" w:eastAsia="Arial" w:hAnsi="Arial"/>
                <w:sz w:val="14"/>
                <w:szCs w:val="14"/>
                <w:b w:val="1"/>
                <w:bCs w:val="1"/>
                <w:color w:val="auto"/>
              </w:rPr>
              <w:t>Actually Paid</w:t>
            </w:r>
          </w:p>
        </w:tc>
        <w:tc>
          <w:tcPr>
            <w:tcW w:w="20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gridSpan w:val="4"/>
          </w:tcPr>
          <w:p>
            <w:pPr>
              <w:ind w:left="60"/>
              <w:spacing w:after="0"/>
              <w:rPr>
                <w:sz w:val="20"/>
                <w:szCs w:val="20"/>
                <w:color w:val="auto"/>
              </w:rPr>
            </w:pPr>
            <w:r>
              <w:rPr>
                <w:rFonts w:ascii="Arial" w:cs="Arial" w:eastAsia="Arial" w:hAnsi="Arial"/>
                <w:sz w:val="14"/>
                <w:szCs w:val="14"/>
                <w:b w:val="1"/>
                <w:bCs w:val="1"/>
                <w:color w:val="auto"/>
              </w:rPr>
              <w:t xml:space="preserve">$ 2,250,444 </w:t>
            </w:r>
            <w:r>
              <w:rPr>
                <w:rFonts w:ascii="Times New Roman" w:cs="Times New Roman" w:eastAsia="Times New Roman" w:hAnsi="Times New Roman"/>
                <w:sz w:val="3"/>
                <w:szCs w:val="3"/>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$ 745,460 </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gridSpan w:val="4"/>
          </w:tcPr>
          <w:p>
            <w:pPr>
              <w:ind w:left="60"/>
              <w:spacing w:after="0"/>
              <w:rPr>
                <w:sz w:val="20"/>
                <w:szCs w:val="20"/>
                <w:color w:val="auto"/>
              </w:rPr>
            </w:pPr>
            <w:r>
              <w:rPr>
                <w:rFonts w:ascii="Arial" w:cs="Arial" w:eastAsia="Arial" w:hAnsi="Arial"/>
                <w:sz w:val="14"/>
                <w:szCs w:val="14"/>
                <w:b w:val="1"/>
                <w:bCs w:val="1"/>
                <w:color w:val="auto"/>
              </w:rPr>
              <w:t xml:space="preserve">$ 1,622,016 </w:t>
            </w:r>
            <w:r>
              <w:rPr>
                <w:rFonts w:ascii="Times New Roman" w:cs="Times New Roman" w:eastAsia="Times New Roman" w:hAnsi="Times New Roman"/>
                <w:sz w:val="3"/>
                <w:szCs w:val="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4"/>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xml:space="preserve">1,026,630 </w:t>
            </w:r>
            <w:r>
              <w:rPr>
                <w:rFonts w:ascii="Times New Roman" w:cs="Times New Roman" w:eastAsia="Times New Roman" w:hAnsi="Times New Roman"/>
                <w:sz w:val="3"/>
                <w:szCs w:val="3"/>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gridSpan w:val="4"/>
          </w:tcPr>
          <w:p>
            <w:pPr>
              <w:jc w:val="right"/>
              <w:ind w:right="6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xml:space="preserve">3,575,534 </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4"/>
          </w:tcPr>
          <w:p>
            <w:pPr>
              <w:ind w:left="6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xml:space="preserve">1,011,247 </w:t>
            </w: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21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(as calculated)</w:t>
            </w: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1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1260" w:right="1100" w:hanging="346"/>
        <w:spacing w:after="0" w:line="285" w:lineRule="auto"/>
        <w:tabs>
          <w:tab w:leader="none" w:pos="12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Non-CEO NEOs reflect the average Summary Compensation Table total compensation and average Compensation Actually Paid for the following executives by year:</w:t>
      </w:r>
    </w:p>
    <w:p>
      <w:pPr>
        <w:spacing w:after="0" w:line="36" w:lineRule="exact"/>
        <w:rPr>
          <w:rFonts w:ascii="Arial" w:cs="Arial" w:eastAsia="Arial" w:hAnsi="Arial"/>
          <w:sz w:val="14"/>
          <w:szCs w:val="14"/>
          <w:color w:val="auto"/>
        </w:rPr>
      </w:pPr>
    </w:p>
    <w:p>
      <w:pPr>
        <w:ind w:left="1280"/>
        <w:spacing w:after="0"/>
        <w:rPr>
          <w:rFonts w:ascii="Arial" w:cs="Arial" w:eastAsia="Arial" w:hAnsi="Arial"/>
          <w:sz w:val="14"/>
          <w:szCs w:val="14"/>
          <w:color w:val="auto"/>
        </w:rPr>
      </w:pPr>
      <w:r>
        <w:rPr>
          <w:rFonts w:ascii="Arial" w:cs="Arial" w:eastAsia="Arial" w:hAnsi="Arial"/>
          <w:sz w:val="14"/>
          <w:szCs w:val="14"/>
          <w:color w:val="auto"/>
        </w:rPr>
        <w:t>2022: Hooper, Joan S.; Cadieux, Michel C.; Reeves, Donald L.; Marcolini, John F.</w:t>
      </w:r>
    </w:p>
    <w:p>
      <w:pPr>
        <w:spacing w:after="0" w:line="95" w:lineRule="exact"/>
        <w:rPr>
          <w:rFonts w:ascii="Arial" w:cs="Arial" w:eastAsia="Arial" w:hAnsi="Arial"/>
          <w:sz w:val="14"/>
          <w:szCs w:val="14"/>
          <w:color w:val="auto"/>
        </w:rPr>
      </w:pPr>
    </w:p>
    <w:p>
      <w:pPr>
        <w:ind w:left="1280"/>
        <w:spacing w:after="0"/>
        <w:rPr>
          <w:rFonts w:ascii="Arial" w:cs="Arial" w:eastAsia="Arial" w:hAnsi="Arial"/>
          <w:sz w:val="14"/>
          <w:szCs w:val="14"/>
          <w:color w:val="auto"/>
        </w:rPr>
      </w:pPr>
      <w:r>
        <w:rPr>
          <w:rFonts w:ascii="Arial" w:cs="Arial" w:eastAsia="Arial" w:hAnsi="Arial"/>
          <w:sz w:val="14"/>
          <w:szCs w:val="14"/>
          <w:color w:val="auto"/>
        </w:rPr>
        <w:t>2021: Hooper, Joan S.; Cadieux, Michel C.; Reeves, Donald L.; Hlavinka, Sarah</w:t>
      </w:r>
    </w:p>
    <w:p>
      <w:pPr>
        <w:spacing w:after="0" w:line="82" w:lineRule="exact"/>
        <w:rPr>
          <w:rFonts w:ascii="Arial" w:cs="Arial" w:eastAsia="Arial" w:hAnsi="Arial"/>
          <w:sz w:val="14"/>
          <w:szCs w:val="14"/>
          <w:color w:val="auto"/>
        </w:rPr>
      </w:pPr>
    </w:p>
    <w:p>
      <w:pPr>
        <w:ind w:left="1280"/>
        <w:spacing w:after="0"/>
        <w:rPr>
          <w:rFonts w:ascii="Arial" w:cs="Arial" w:eastAsia="Arial" w:hAnsi="Arial"/>
          <w:sz w:val="14"/>
          <w:szCs w:val="14"/>
          <w:color w:val="auto"/>
        </w:rPr>
      </w:pPr>
      <w:r>
        <w:rPr>
          <w:rFonts w:ascii="Arial" w:cs="Arial" w:eastAsia="Arial" w:hAnsi="Arial"/>
          <w:sz w:val="14"/>
          <w:szCs w:val="14"/>
          <w:color w:val="auto"/>
        </w:rPr>
        <w:t>2020: Hooper, Joan S.; Cadieux, Michel C.; Reeves, Donald L.; Hlavinka, Sarah</w:t>
      </w:r>
    </w:p>
    <w:p>
      <w:pPr>
        <w:spacing w:after="0" w:line="82" w:lineRule="exact"/>
        <w:rPr>
          <w:rFonts w:ascii="Arial" w:cs="Arial" w:eastAsia="Arial" w:hAnsi="Arial"/>
          <w:sz w:val="14"/>
          <w:szCs w:val="14"/>
          <w:color w:val="auto"/>
        </w:rPr>
      </w:pPr>
    </w:p>
    <w:p>
      <w:pPr>
        <w:ind w:left="1260" w:right="960" w:hanging="346"/>
        <w:spacing w:after="0" w:line="285" w:lineRule="auto"/>
        <w:tabs>
          <w:tab w:leader="none" w:pos="12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Pursuant to SEC guidance, year 2022 reflects the 2022 peer group as disclosed in our 2022 Form 10-K, and years 2021 &amp; 2020 reflect the prior peer group as disclosed in the 2021 and 2020 Form 10-Ks.</w:t>
      </w:r>
    </w:p>
    <w:p>
      <w:pPr>
        <w:spacing w:after="0" w:line="22" w:lineRule="exact"/>
        <w:rPr>
          <w:rFonts w:ascii="Arial" w:cs="Arial" w:eastAsia="Arial" w:hAnsi="Arial"/>
          <w:sz w:val="14"/>
          <w:szCs w:val="14"/>
          <w:color w:val="auto"/>
        </w:rPr>
      </w:pPr>
    </w:p>
    <w:p>
      <w:pPr>
        <w:ind w:left="1280"/>
        <w:spacing w:after="0"/>
        <w:rPr>
          <w:rFonts w:ascii="Arial" w:cs="Arial" w:eastAsia="Arial" w:hAnsi="Arial"/>
          <w:sz w:val="14"/>
          <w:szCs w:val="14"/>
          <w:color w:val="auto"/>
        </w:rPr>
      </w:pPr>
      <w:r>
        <w:rPr>
          <w:rFonts w:ascii="Arial" w:cs="Arial" w:eastAsia="Arial" w:hAnsi="Arial"/>
          <w:sz w:val="14"/>
          <w:szCs w:val="14"/>
          <w:color w:val="auto"/>
        </w:rPr>
        <w:t>2022: LM Ericsson Telephone Company; Xylem Inc.; Landis+Gyr Group AG; Mueller Water Products, Inc.</w:t>
      </w:r>
    </w:p>
    <w:p>
      <w:pPr>
        <w:spacing w:after="0" w:line="95" w:lineRule="exact"/>
        <w:rPr>
          <w:rFonts w:ascii="Arial" w:cs="Arial" w:eastAsia="Arial" w:hAnsi="Arial"/>
          <w:sz w:val="14"/>
          <w:szCs w:val="14"/>
          <w:color w:val="auto"/>
        </w:rPr>
      </w:pPr>
    </w:p>
    <w:p>
      <w:pPr>
        <w:ind w:left="1280"/>
        <w:spacing w:after="0"/>
        <w:rPr>
          <w:rFonts w:ascii="Arial" w:cs="Arial" w:eastAsia="Arial" w:hAnsi="Arial"/>
          <w:sz w:val="14"/>
          <w:szCs w:val="14"/>
          <w:color w:val="auto"/>
        </w:rPr>
      </w:pPr>
      <w:r>
        <w:rPr>
          <w:rFonts w:ascii="Arial" w:cs="Arial" w:eastAsia="Arial" w:hAnsi="Arial"/>
          <w:sz w:val="14"/>
          <w:szCs w:val="14"/>
          <w:color w:val="auto"/>
        </w:rPr>
        <w:t>2021: Xylem Inc.; Landis+Gyr Group AG; Mueller Water Products, Inc.; Badger Meter, Inc.</w:t>
      </w:r>
    </w:p>
    <w:p>
      <w:pPr>
        <w:spacing w:after="0" w:line="95" w:lineRule="exact"/>
        <w:rPr>
          <w:rFonts w:ascii="Arial" w:cs="Arial" w:eastAsia="Arial" w:hAnsi="Arial"/>
          <w:sz w:val="14"/>
          <w:szCs w:val="14"/>
          <w:color w:val="auto"/>
        </w:rPr>
      </w:pPr>
    </w:p>
    <w:p>
      <w:pPr>
        <w:ind w:left="1280"/>
        <w:spacing w:after="0"/>
        <w:rPr>
          <w:rFonts w:ascii="Arial" w:cs="Arial" w:eastAsia="Arial" w:hAnsi="Arial"/>
          <w:sz w:val="14"/>
          <w:szCs w:val="14"/>
          <w:color w:val="auto"/>
        </w:rPr>
      </w:pPr>
      <w:r>
        <w:rPr>
          <w:rFonts w:ascii="Arial" w:cs="Arial" w:eastAsia="Arial" w:hAnsi="Arial"/>
          <w:sz w:val="14"/>
          <w:szCs w:val="14"/>
          <w:color w:val="auto"/>
        </w:rPr>
        <w:t>2020: Xylem Inc.; Landis+Gyr Group AG; Mueller Water Products, Inc.; Badger Meter, Inc.</w:t>
      </w:r>
    </w:p>
    <w:p>
      <w:pPr>
        <w:spacing w:after="0" w:line="68" w:lineRule="exact"/>
        <w:rPr>
          <w:rFonts w:ascii="Arial" w:cs="Arial" w:eastAsia="Arial" w:hAnsi="Arial"/>
          <w:sz w:val="14"/>
          <w:szCs w:val="14"/>
          <w:color w:val="auto"/>
        </w:rPr>
      </w:pPr>
    </w:p>
    <w:p>
      <w:pPr>
        <w:ind w:left="1280" w:right="1000"/>
        <w:spacing w:after="0" w:line="256" w:lineRule="auto"/>
        <w:rPr>
          <w:rFonts w:ascii="Arial" w:cs="Arial" w:eastAsia="Arial" w:hAnsi="Arial"/>
          <w:sz w:val="14"/>
          <w:szCs w:val="14"/>
          <w:color w:val="auto"/>
        </w:rPr>
      </w:pPr>
      <w:r>
        <w:rPr>
          <w:rFonts w:ascii="Arial" w:cs="Arial" w:eastAsia="Arial" w:hAnsi="Arial"/>
          <w:sz w:val="14"/>
          <w:szCs w:val="14"/>
          <w:color w:val="auto"/>
        </w:rPr>
        <w:t>We changed our 10-K peer group in 2022 to better reflect our global footprint and focus on networking equipment. If the Company continued to use the same peer group as it did in 2020 and 2021, the peer group's cumulative TSR for 2022 would have been $133.03. Peer group TSR represents the weighted peer group TSR, weighted according to respective companies’ stock market capitalization at the beginning of each period for which a return is indicated.</w:t>
      </w:r>
    </w:p>
    <w:p>
      <w:pPr>
        <w:spacing w:after="0" w:line="28" w:lineRule="exact"/>
        <w:rPr>
          <w:rFonts w:ascii="Arial" w:cs="Arial" w:eastAsia="Arial" w:hAnsi="Arial"/>
          <w:sz w:val="14"/>
          <w:szCs w:val="14"/>
          <w:color w:val="auto"/>
        </w:rPr>
      </w:pPr>
    </w:p>
    <w:p>
      <w:pPr>
        <w:ind w:left="1260" w:right="940" w:hanging="346"/>
        <w:spacing w:after="0" w:line="285" w:lineRule="auto"/>
        <w:tabs>
          <w:tab w:leader="none" w:pos="12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Assumptions used in the valuation of equity awards for purposes of calculating Compensation Actually Paid were materially the same as at grant date, except for adjusting for expected performance of PRSUs at each measurement date.</w:t>
      </w:r>
    </w:p>
    <w:p>
      <w:pPr>
        <w:spacing w:after="0" w:line="22" w:lineRule="exact"/>
        <w:rPr>
          <w:rFonts w:ascii="Arial" w:cs="Arial" w:eastAsia="Arial" w:hAnsi="Arial"/>
          <w:sz w:val="14"/>
          <w:szCs w:val="14"/>
          <w:color w:val="auto"/>
        </w:rPr>
      </w:pPr>
    </w:p>
    <w:p>
      <w:pPr>
        <w:ind w:left="1260" w:hanging="346"/>
        <w:spacing w:after="0"/>
        <w:tabs>
          <w:tab w:leader="none" w:pos="12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Amounts represent net income reflected in the Company’s audited financial statements for the applicable year.</w:t>
      </w:r>
    </w:p>
    <w:p>
      <w:pPr>
        <w:spacing w:after="0" w:line="68" w:lineRule="exact"/>
        <w:rPr>
          <w:rFonts w:ascii="Arial" w:cs="Arial" w:eastAsia="Arial" w:hAnsi="Arial"/>
          <w:sz w:val="14"/>
          <w:szCs w:val="14"/>
          <w:color w:val="auto"/>
        </w:rPr>
      </w:pPr>
    </w:p>
    <w:p>
      <w:pPr>
        <w:ind w:left="1260" w:right="940" w:hanging="346"/>
        <w:spacing w:after="0" w:line="250" w:lineRule="auto"/>
        <w:tabs>
          <w:tab w:leader="none" w:pos="12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 the Company’s assessment, Adjusted EBITDA represents the most important financial performance measure (not otherwise required to be disclosed in the table) used by the Company to link Compensation Actually Paid to the NEOs to Company performance for the most recently completed fiscal year. We define Adjusted EBITDA as net income (loss) (a) minus interest income, (b) plus interest expense, debt extinguishment, depreciation and amortization, restructuring, loss on sale of businesses, strategic initiative expenses, software project impairment, Russian currency translation write-off, goodwill impairment, acquisition, and integration, and (c) excluding income tax provision or benefit.</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Most Important Performance Measures</w:t>
      </w:r>
    </w:p>
    <w:p>
      <w:pPr>
        <w:spacing w:after="0" w:line="171" w:lineRule="exact"/>
        <w:rPr>
          <w:sz w:val="20"/>
          <w:szCs w:val="20"/>
          <w:color w:val="auto"/>
        </w:rPr>
      </w:pPr>
    </w:p>
    <w:p>
      <w:pPr>
        <w:ind w:left="920" w:right="1000"/>
        <w:spacing w:after="0" w:line="253" w:lineRule="auto"/>
        <w:rPr>
          <w:sz w:val="20"/>
          <w:szCs w:val="20"/>
          <w:color w:val="auto"/>
        </w:rPr>
      </w:pPr>
      <w:r>
        <w:rPr>
          <w:rFonts w:ascii="Arial" w:cs="Arial" w:eastAsia="Arial" w:hAnsi="Arial"/>
          <w:sz w:val="18"/>
          <w:szCs w:val="18"/>
          <w:color w:val="auto"/>
        </w:rPr>
        <w:t>In our assessment, the most important performance measures used to link CAP to Company performance are listed in the table below, not ranked in order of importance. The role of each of these performance measures in our executive compensation program is discussed in the CD&amp;A.</w:t>
      </w:r>
    </w:p>
    <w:p>
      <w:pPr>
        <w:spacing w:after="0" w:line="74"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Performance Measures</w:t>
      </w:r>
    </w:p>
    <w:p>
      <w:pPr>
        <w:spacing w:after="0" w:line="15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Adjusted EBITDA</w:t>
      </w:r>
    </w:p>
    <w:p>
      <w:pPr>
        <w:spacing w:after="0" w:line="15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Revenue</w:t>
      </w:r>
    </w:p>
    <w:p>
      <w:pPr>
        <w:spacing w:after="0" w:line="15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Free Cash Flow</w:t>
      </w:r>
    </w:p>
    <w:p>
      <w:pPr>
        <w:spacing w:after="0" w:line="15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Non-GAAP diluted EPS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-54-</w:t>
            </w:r>
          </w:p>
        </w:tc>
      </w:tr>
      <w:tr>
        <w:trPr>
          <w:trHeight w:val="233"/>
        </w:trPr>
        <w:tc>
          <w:tcPr>
            <w:tcW w:w="3160" w:type="dxa"/>
            <w:vAlign w:val="bottom"/>
            <w:tcBorders>
              <w:bottom w:val="single" w:sz="8" w:color="auto"/>
            </w:tcBorders>
          </w:tcPr>
          <w:p>
            <w:pPr>
              <w:spacing w:after="0"/>
              <w:rPr>
                <w:sz w:val="20"/>
                <w:szCs w:val="20"/>
                <w:color w:val="auto"/>
              </w:rPr>
            </w:pPr>
          </w:p>
        </w:tc>
        <w:tc>
          <w:tcPr>
            <w:tcW w:w="786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262" w:right="439" w:bottom="1440" w:gutter="0" w:footer="0" w:header="0"/>
          <w:type w:val="continuous"/>
        </w:sectPr>
      </w:pPr>
    </w:p>
    <w:bookmarkStart w:id="58" w:name="page59"/>
    <w:bookmarkEnd w:id="58"/>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right="3320"/>
        <w:spacing w:after="0" w:line="453" w:lineRule="auto"/>
        <w:rPr>
          <w:sz w:val="20"/>
          <w:szCs w:val="20"/>
          <w:color w:val="auto"/>
        </w:rPr>
      </w:pPr>
      <w:r>
        <w:rPr>
          <w:rFonts w:ascii="Arial" w:cs="Arial" w:eastAsia="Arial" w:hAnsi="Arial"/>
          <w:sz w:val="18"/>
          <w:szCs w:val="18"/>
          <w:b w:val="1"/>
          <w:bCs w:val="1"/>
          <w:u w:val="single" w:color="auto"/>
          <w:color w:val="auto"/>
        </w:rPr>
        <w:t xml:space="preserve">Descriptions of the Information Presented in the Pay Versus Performance Table </w:t>
      </w:r>
      <w:r>
        <w:rPr>
          <w:rFonts w:ascii="Arial" w:cs="Arial" w:eastAsia="Arial" w:hAnsi="Arial"/>
          <w:sz w:val="18"/>
          <w:szCs w:val="18"/>
          <w:color w:val="auto"/>
        </w:rPr>
        <w:t>The illustrations below compare CAP and the following measures:</w:t>
      </w:r>
    </w:p>
    <w:p>
      <w:pPr>
        <w:spacing w:after="0" w:line="2" w:lineRule="exact"/>
        <w:rPr>
          <w:sz w:val="20"/>
          <w:szCs w:val="20"/>
          <w:color w:val="auto"/>
        </w:rPr>
      </w:pPr>
    </w:p>
    <w:p>
      <w:pPr>
        <w:ind w:left="1620" w:hanging="346"/>
        <w:spacing w:after="0"/>
        <w:tabs>
          <w:tab w:leader="none" w:pos="1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Company’s cumulative TSR and the peer group’s cumulative TSR;</w:t>
      </w:r>
    </w:p>
    <w:p>
      <w:pPr>
        <w:spacing w:after="0" w:line="184" w:lineRule="exact"/>
        <w:rPr>
          <w:rFonts w:ascii="Arial" w:cs="Arial" w:eastAsia="Arial" w:hAnsi="Arial"/>
          <w:sz w:val="18"/>
          <w:szCs w:val="18"/>
          <w:color w:val="auto"/>
        </w:rPr>
      </w:pPr>
    </w:p>
    <w:p>
      <w:pPr>
        <w:ind w:left="1620" w:hanging="346"/>
        <w:spacing w:after="0"/>
        <w:tabs>
          <w:tab w:leader="none" w:pos="1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Company’s Net Income; and</w:t>
      </w:r>
    </w:p>
    <w:p>
      <w:pPr>
        <w:spacing w:after="0" w:line="171" w:lineRule="exact"/>
        <w:rPr>
          <w:rFonts w:ascii="Arial" w:cs="Arial" w:eastAsia="Arial" w:hAnsi="Arial"/>
          <w:sz w:val="18"/>
          <w:szCs w:val="18"/>
          <w:color w:val="auto"/>
        </w:rPr>
      </w:pPr>
    </w:p>
    <w:p>
      <w:pPr>
        <w:ind w:left="1620" w:hanging="346"/>
        <w:spacing w:after="0"/>
        <w:tabs>
          <w:tab w:leader="none" w:pos="16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Company’s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1523365</wp:posOffset>
            </wp:positionH>
            <wp:positionV relativeFrom="paragraph">
              <wp:posOffset>223520</wp:posOffset>
            </wp:positionV>
            <wp:extent cx="3943350" cy="2049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943350" cy="204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1523365</wp:posOffset>
            </wp:positionH>
            <wp:positionV relativeFrom="paragraph">
              <wp:posOffset>377825</wp:posOffset>
            </wp:positionV>
            <wp:extent cx="3943350" cy="20313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943350"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1523365</wp:posOffset>
            </wp:positionH>
            <wp:positionV relativeFrom="paragraph">
              <wp:posOffset>223520</wp:posOffset>
            </wp:positionV>
            <wp:extent cx="3943350" cy="20313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943350"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-55-</w:t>
            </w:r>
          </w:p>
        </w:tc>
      </w:tr>
      <w:tr>
        <w:trPr>
          <w:trHeight w:val="219"/>
        </w:trPr>
        <w:tc>
          <w:tcPr>
            <w:tcW w:w="316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59" w:name="page60"/>
    <w:bookmarkEnd w:id="59"/>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p>
      <w:pPr>
        <w:ind w:left="920" w:right="1880"/>
        <w:spacing w:after="0" w:line="281" w:lineRule="auto"/>
        <w:rPr>
          <w:sz w:val="20"/>
          <w:szCs w:val="20"/>
          <w:color w:val="auto"/>
        </w:rPr>
      </w:pPr>
      <w:r>
        <w:rPr>
          <w:rFonts w:ascii="Arial" w:cs="Arial" w:eastAsia="Arial" w:hAnsi="Arial"/>
          <w:sz w:val="18"/>
          <w:szCs w:val="18"/>
          <w:b w:val="1"/>
          <w:bCs w:val="1"/>
          <w:color w:val="auto"/>
        </w:rPr>
        <w:t>PROPOSAL 4 – APPROVAL OF THE AMENDMENT OF THE ITRON, INC. 2012 EMPLOYEE STOCK PURCHASE PLAN</w:t>
      </w:r>
    </w:p>
    <w:p>
      <w:pPr>
        <w:spacing w:after="0" w:line="5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Introduction</w:t>
      </w:r>
    </w:p>
    <w:p>
      <w:pPr>
        <w:spacing w:after="0" w:line="171" w:lineRule="exact"/>
        <w:rPr>
          <w:sz w:val="20"/>
          <w:szCs w:val="20"/>
          <w:color w:val="auto"/>
        </w:rPr>
      </w:pPr>
    </w:p>
    <w:p>
      <w:pPr>
        <w:ind w:left="920" w:right="980"/>
        <w:spacing w:after="0" w:line="244" w:lineRule="auto"/>
        <w:rPr>
          <w:sz w:val="20"/>
          <w:szCs w:val="20"/>
          <w:color w:val="auto"/>
        </w:rPr>
      </w:pPr>
      <w:r>
        <w:rPr>
          <w:rFonts w:ascii="Arial" w:cs="Arial" w:eastAsia="Arial" w:hAnsi="Arial"/>
          <w:sz w:val="18"/>
          <w:szCs w:val="18"/>
          <w:color w:val="auto"/>
        </w:rPr>
        <w:t>The Board has approved, and seeks approval by our shareholders of, the amendment of the 2012 Employee Stock Purchase Plan (“2012 ESPP”) to increase the number of shares available for issuance under the 2012 ESPP by five hundred thousand (500,000) additional shares without seeking an increase to newly authorized shares (as further described below), and to modify certain 2012 ESPP provisions to conform to changes in law and the Company’s governance practices, and to facilitate administration of the Plan.</w:t>
      </w:r>
    </w:p>
    <w:p>
      <w:pPr>
        <w:spacing w:after="0" w:line="1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Explanation</w:t>
      </w:r>
    </w:p>
    <w:p>
      <w:pPr>
        <w:spacing w:after="0" w:line="171" w:lineRule="exact"/>
        <w:rPr>
          <w:sz w:val="20"/>
          <w:szCs w:val="20"/>
          <w:color w:val="auto"/>
        </w:rPr>
      </w:pPr>
    </w:p>
    <w:p>
      <w:pPr>
        <w:ind w:left="920" w:right="940"/>
        <w:spacing w:after="0" w:line="238" w:lineRule="auto"/>
        <w:rPr>
          <w:sz w:val="20"/>
          <w:szCs w:val="20"/>
          <w:color w:val="auto"/>
        </w:rPr>
      </w:pPr>
      <w:r>
        <w:rPr>
          <w:rFonts w:ascii="Arial" w:cs="Arial" w:eastAsia="Arial" w:hAnsi="Arial"/>
          <w:sz w:val="18"/>
          <w:szCs w:val="18"/>
          <w:color w:val="auto"/>
        </w:rPr>
        <w:t>The 2012 ESPP, a broad-based program which provides a means for our eligible employees and those of our subsidiaries and affiliates to purchase shares of our common stock at a discount through payroll deductions, is regarded as a valuable benefit by our employees and thereby aids in retaining our talent. We have not sought an increase to the share reserve under the 2012 ESPP since its adoption in 2012. As of December 31, 2022, we have 58,633 shares available for purchase under the 2012 ESPP. We estimate that this remaining pool will not be sufficient to allow us to continue to offer the 2012 ESPP beyond the next offering period commencing on July 1, 2023 in light of the expected levels of ongoing participation in the 2012 ESPP. Therefore, the Board has approved, subject to shareholder approval, an increase to the 2012 ESPP share reserve through the reallocation of shares from the share reserve currently available for the grant of new awards under the Company’s Second Amended and Restated 2010 Stock Incentive Plan (the “Stock Plan”) to the 2012 ESPP share reserve instead of seeking approval of additional newly authorized shares for issuance under the 2012 ESPP (the “Proposed Share Reserve Reallocation”).</w:t>
      </w:r>
    </w:p>
    <w:p>
      <w:pPr>
        <w:spacing w:after="0" w:line="156" w:lineRule="exact"/>
        <w:rPr>
          <w:sz w:val="20"/>
          <w:szCs w:val="20"/>
          <w:color w:val="auto"/>
        </w:rPr>
      </w:pPr>
    </w:p>
    <w:p>
      <w:pPr>
        <w:ind w:left="920" w:right="1180"/>
        <w:spacing w:after="0" w:line="261" w:lineRule="auto"/>
        <w:rPr>
          <w:sz w:val="20"/>
          <w:szCs w:val="20"/>
          <w:color w:val="auto"/>
        </w:rPr>
      </w:pPr>
      <w:r>
        <w:rPr>
          <w:rFonts w:ascii="Arial" w:cs="Arial" w:eastAsia="Arial" w:hAnsi="Arial"/>
          <w:sz w:val="17"/>
          <w:szCs w:val="17"/>
          <w:color w:val="auto"/>
        </w:rPr>
        <w:t>Through the Proposed Share Reserve Reallocation, the number of shares available for issuance to cover future purchases by employees under the 2012 ESPP will be increased by 500,000 shares and the number of shares available for issuance under the Stock Plan will be decreased by 500,000 shares, resulting in 10,375,000 shares available for issuance under the Stock Plan. After giving effect to the Proposed Share Reserve Reallocation, the maximum number of shares available for issuance under the 2012 ESPP would be 1,125,000 shares.</w:t>
      </w:r>
    </w:p>
    <w:p>
      <w:pPr>
        <w:spacing w:after="0" w:line="125" w:lineRule="exact"/>
        <w:rPr>
          <w:sz w:val="20"/>
          <w:szCs w:val="20"/>
          <w:color w:val="auto"/>
        </w:rPr>
      </w:pPr>
    </w:p>
    <w:p>
      <w:pPr>
        <w:ind w:left="920" w:right="940"/>
        <w:spacing w:after="0" w:line="242" w:lineRule="auto"/>
        <w:rPr>
          <w:sz w:val="20"/>
          <w:szCs w:val="20"/>
          <w:color w:val="auto"/>
        </w:rPr>
      </w:pPr>
      <w:r>
        <w:rPr>
          <w:rFonts w:ascii="Arial" w:cs="Arial" w:eastAsia="Arial" w:hAnsi="Arial"/>
          <w:sz w:val="18"/>
          <w:szCs w:val="18"/>
          <w:color w:val="auto"/>
        </w:rPr>
        <w:t>The Board believes that the Proposed Share Reallocation will advance the interests of Itron and its shareholders by continuing to offer employees the opportunity to acquire or increase their ownership interests in Itron, thereby attracting and retaining eligible employees, without unnecessarily creating shareholder dilution through the issuance of additional newly authorized shares, as the Stock Plan has a sufficient number of shares to meet the expected levels of ongoing participation in the Stock Plan, including after giving effect to a decrease in the number of shares available for issuance as contemplated under the Proposed Share Reserve Reallocation.</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Key and Material Changes to the 2012 ESPP</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summary highlights the proposed material changes to the 2012 ESPP.</w:t>
      </w:r>
    </w:p>
    <w:p>
      <w:pPr>
        <w:spacing w:after="0" w:line="171" w:lineRule="exact"/>
        <w:rPr>
          <w:sz w:val="20"/>
          <w:szCs w:val="20"/>
          <w:color w:val="auto"/>
        </w:rPr>
      </w:pPr>
    </w:p>
    <w:p>
      <w:pPr>
        <w:ind w:left="1620" w:right="980" w:hanging="346"/>
        <w:spacing w:after="0" w:line="244"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number of shares reserved for future issuance pursuant to options granted under the 2012 ESPP has been increased by 500,000 shares through the reallocation of shares from the share reserve currently available for the grant of new awards under the Stock Plan to the 2012 ESPP share reserve instead of seeking approval of additional newly authorized shares under the 2012 ESPP (as described in more detail above under the “Explanation” header).</w:t>
      </w:r>
    </w:p>
    <w:p>
      <w:pPr>
        <w:spacing w:after="0" w:line="149" w:lineRule="exact"/>
        <w:rPr>
          <w:rFonts w:ascii="Arial" w:cs="Arial" w:eastAsia="Arial" w:hAnsi="Arial"/>
          <w:sz w:val="18"/>
          <w:szCs w:val="18"/>
          <w:color w:val="auto"/>
        </w:rPr>
      </w:pPr>
    </w:p>
    <w:p>
      <w:pPr>
        <w:ind w:left="1620" w:right="1320" w:hanging="346"/>
        <w:spacing w:after="0" w:line="253"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Plan Administrator’s delegation authority has been expanded to permit the Board and the Compensation Committee to delegate more substantive authority to officers or other individuals to the extent permitted under applicable law.</w:t>
      </w:r>
    </w:p>
    <w:p>
      <w:pPr>
        <w:spacing w:after="0" w:line="128" w:lineRule="exact"/>
        <w:rPr>
          <w:rFonts w:ascii="Arial" w:cs="Arial" w:eastAsia="Arial" w:hAnsi="Arial"/>
          <w:sz w:val="18"/>
          <w:szCs w:val="18"/>
          <w:color w:val="auto"/>
        </w:rPr>
      </w:pPr>
    </w:p>
    <w:p>
      <w:pPr>
        <w:ind w:left="1620" w:right="1020" w:hanging="346"/>
        <w:spacing w:after="0" w:line="253" w:lineRule="auto"/>
        <w:tabs>
          <w:tab w:leader="none" w:pos="16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method used to calculate contributions under the 2012 ESPP has been adjusted to determine the contribution amount based on the compensation amount payable during the entire purchase period rather than applied to each payroll period.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-56-</w:t>
            </w:r>
          </w:p>
        </w:tc>
      </w:tr>
      <w:tr>
        <w:trPr>
          <w:trHeight w:val="219"/>
        </w:trPr>
        <w:tc>
          <w:tcPr>
            <w:tcW w:w="316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114" w:right="439" w:bottom="1440" w:gutter="0" w:footer="0" w:header="0"/>
        </w:sectPr>
      </w:pPr>
    </w:p>
    <w:bookmarkStart w:id="60" w:name="page61"/>
    <w:bookmarkEnd w:id="60"/>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1620" w:right="960" w:hanging="346"/>
        <w:spacing w:after="0" w:line="247" w:lineRule="auto"/>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change in control provision has been amended to provide the Plan Administrator with the discretion to determine whether to truncate the offering period in connection with a change in control to allow participants to exercise their options prior to the consummation of a transaction where the successor refuses to assume options in connection with a transaction.</w:t>
      </w:r>
    </w:p>
    <w:p>
      <w:pPr>
        <w:spacing w:after="0" w:line="146" w:lineRule="exact"/>
        <w:rPr>
          <w:rFonts w:ascii="Arial" w:cs="Arial" w:eastAsia="Arial" w:hAnsi="Arial"/>
          <w:sz w:val="18"/>
          <w:szCs w:val="18"/>
          <w:color w:val="auto"/>
        </w:rPr>
      </w:pPr>
    </w:p>
    <w:p>
      <w:pPr>
        <w:ind w:left="1620" w:right="940" w:hanging="346"/>
        <w:spacing w:after="0" w:line="253" w:lineRule="auto"/>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ability for a participant to designate a beneficiary to receive shares/cash under the 2012 ESPP upon a participant’s death has been eliminated in favor of having the participant’s shares/cash delivered to the participant’s estate.</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Description of the 2012 Employee Stock Purchase Plan (“ESPP”)</w:t>
      </w:r>
    </w:p>
    <w:p>
      <w:pPr>
        <w:spacing w:after="0" w:line="185" w:lineRule="exact"/>
        <w:rPr>
          <w:sz w:val="20"/>
          <w:szCs w:val="20"/>
          <w:color w:val="auto"/>
        </w:rPr>
      </w:pPr>
    </w:p>
    <w:p>
      <w:pPr>
        <w:ind w:left="920" w:right="1080"/>
        <w:spacing w:after="0" w:line="247" w:lineRule="auto"/>
        <w:rPr>
          <w:sz w:val="20"/>
          <w:szCs w:val="20"/>
          <w:color w:val="auto"/>
        </w:rPr>
      </w:pPr>
      <w:r>
        <w:rPr>
          <w:rFonts w:ascii="Arial" w:cs="Arial" w:eastAsia="Arial" w:hAnsi="Arial"/>
          <w:sz w:val="18"/>
          <w:szCs w:val="18"/>
          <w:color w:val="auto"/>
        </w:rPr>
        <w:t xml:space="preserve">A copy of the amended 2012 ESPP, as proposed and subject to shareholder approval, is attached to this proxy statement as </w:t>
      </w:r>
      <w:r>
        <w:rPr>
          <w:rFonts w:ascii="Arial" w:cs="Arial" w:eastAsia="Arial" w:hAnsi="Arial"/>
          <w:sz w:val="18"/>
          <w:szCs w:val="18"/>
          <w:b w:val="1"/>
          <w:bCs w:val="1"/>
          <w:color w:val="auto"/>
        </w:rPr>
        <w:t>Appendix A</w:t>
      </w:r>
      <w:r>
        <w:rPr>
          <w:rFonts w:ascii="Arial" w:cs="Arial" w:eastAsia="Arial" w:hAnsi="Arial"/>
          <w:sz w:val="18"/>
          <w:szCs w:val="18"/>
          <w:color w:val="auto"/>
        </w:rPr>
        <w:t xml:space="preserve">. The following description of the 2012 ESPP is a summary of its principal features, but the summary is qualified by reference to the full 2012 ESPP plan document. Please refer to </w:t>
      </w:r>
      <w:r>
        <w:rPr>
          <w:rFonts w:ascii="Arial" w:cs="Arial" w:eastAsia="Arial" w:hAnsi="Arial"/>
          <w:sz w:val="18"/>
          <w:szCs w:val="18"/>
          <w:b w:val="1"/>
          <w:bCs w:val="1"/>
          <w:color w:val="auto"/>
        </w:rPr>
        <w:t>Appendix A</w:t>
      </w:r>
      <w:r>
        <w:rPr>
          <w:rFonts w:ascii="Arial" w:cs="Arial" w:eastAsia="Arial" w:hAnsi="Arial"/>
          <w:sz w:val="18"/>
          <w:szCs w:val="18"/>
          <w:color w:val="auto"/>
        </w:rPr>
        <w:t xml:space="preserve"> for more detailed information.</w:t>
      </w:r>
    </w:p>
    <w:p>
      <w:pPr>
        <w:spacing w:after="0" w:line="133" w:lineRule="exact"/>
        <w:rPr>
          <w:sz w:val="20"/>
          <w:szCs w:val="20"/>
          <w:color w:val="auto"/>
        </w:rPr>
      </w:pPr>
    </w:p>
    <w:p>
      <w:pPr>
        <w:ind w:left="920" w:right="1000"/>
        <w:spacing w:after="0" w:line="239" w:lineRule="auto"/>
        <w:rPr>
          <w:sz w:val="20"/>
          <w:szCs w:val="20"/>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Under the ESPP, eligible employees may purchase shares of common stock through payroll deductions</w:t>
      </w:r>
      <w:r>
        <w:rPr>
          <w:rFonts w:ascii="Arial" w:cs="Arial" w:eastAsia="Arial" w:hAnsi="Arial"/>
          <w:sz w:val="18"/>
          <w:szCs w:val="18"/>
          <w:b w:val="1"/>
          <w:bCs w:val="1"/>
          <w:color w:val="auto"/>
        </w:rPr>
        <w:t xml:space="preserve"> </w:t>
      </w:r>
      <w:r>
        <w:rPr>
          <w:rFonts w:ascii="Arial" w:cs="Arial" w:eastAsia="Arial" w:hAnsi="Arial"/>
          <w:sz w:val="18"/>
          <w:szCs w:val="18"/>
          <w:color w:val="auto"/>
        </w:rPr>
        <w:t>at a discount from market price. The purpose of the ESPP is to assist our employees and those of our designated subsidiaries and affiliates in acquiring equity in Itron in a convenient manner, thereby enhancing their sense of participation in the affairs of the Company. The rights to purchase shares of common stock granted under the ESPP are intended to be treated as either (i) rights granted under an “employee stock purchase plan,” as that term is defined in Section 423(b) of the Internal Revenue Code (</w:t>
      </w:r>
      <w:r>
        <w:rPr>
          <w:rFonts w:ascii="Arial" w:cs="Arial" w:eastAsia="Arial" w:hAnsi="Arial"/>
          <w:sz w:val="18"/>
          <w:szCs w:val="18"/>
          <w:i w:val="1"/>
          <w:iCs w:val="1"/>
          <w:color w:val="auto"/>
        </w:rPr>
        <w:t>i.e.</w:t>
      </w:r>
      <w:r>
        <w:rPr>
          <w:rFonts w:ascii="Arial" w:cs="Arial" w:eastAsia="Arial" w:hAnsi="Arial"/>
          <w:sz w:val="18"/>
          <w:szCs w:val="18"/>
          <w:color w:val="auto"/>
        </w:rPr>
        <w:t>, the “423 Plan”), which provides for favorable tax treatment for U.S. participants, or (ii) rights granted under an employee stock purchase plan that is not subject to the terms and conditions of Section 423(b) of the Internal Revenue Code (</w:t>
      </w:r>
      <w:r>
        <w:rPr>
          <w:rFonts w:ascii="Arial" w:cs="Arial" w:eastAsia="Arial" w:hAnsi="Arial"/>
          <w:sz w:val="18"/>
          <w:szCs w:val="18"/>
          <w:i w:val="1"/>
          <w:iCs w:val="1"/>
          <w:color w:val="auto"/>
        </w:rPr>
        <w:t>i.e.</w:t>
      </w:r>
      <w:r>
        <w:rPr>
          <w:rFonts w:ascii="Arial" w:cs="Arial" w:eastAsia="Arial" w:hAnsi="Arial"/>
          <w:sz w:val="18"/>
          <w:szCs w:val="18"/>
          <w:color w:val="auto"/>
        </w:rPr>
        <w:t>, the “Non-423 Plan”), which provides flexibility for us in offering the ESPP in jurisdictions outside the U.S. Itron will retain the discretion to grant rights under either the 423 Plan or the Non-423 Plan of the ESPP.</w:t>
      </w:r>
    </w:p>
    <w:p>
      <w:pPr>
        <w:spacing w:after="0" w:line="139" w:lineRule="exact"/>
        <w:rPr>
          <w:sz w:val="20"/>
          <w:szCs w:val="20"/>
          <w:color w:val="auto"/>
        </w:rPr>
      </w:pPr>
    </w:p>
    <w:p>
      <w:pPr>
        <w:ind w:left="920" w:right="960"/>
        <w:spacing w:after="0" w:line="242" w:lineRule="auto"/>
        <w:rPr>
          <w:sz w:val="20"/>
          <w:szCs w:val="20"/>
          <w:color w:val="auto"/>
        </w:rPr>
      </w:pPr>
      <w:r>
        <w:rPr>
          <w:rFonts w:ascii="Arial" w:cs="Arial" w:eastAsia="Arial" w:hAnsi="Arial"/>
          <w:sz w:val="18"/>
          <w:szCs w:val="18"/>
          <w:b w:val="1"/>
          <w:bCs w:val="1"/>
          <w:color w:val="auto"/>
        </w:rPr>
        <w:t xml:space="preserve">Administration. </w:t>
      </w:r>
      <w:r>
        <w:rPr>
          <w:rFonts w:ascii="Arial" w:cs="Arial" w:eastAsia="Arial" w:hAnsi="Arial"/>
          <w:sz w:val="18"/>
          <w:szCs w:val="18"/>
          <w:color w:val="auto"/>
        </w:rPr>
        <w:t>Our Compensation Committee (the “Plan Administrator”) administers the ESPP, unless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itself determines to administer it or appoints another committee to administer the ESPP. The Plan Administrator is authorized to interpret the ESPP and to make such rules and regulations as it deems necessary to administer the ESPP, subject to the provisions of the ESPP. For purchase rights granted under a Section 423 Offering, the Committee is authorized to adopt such rules and regulations for administering the ESPP as it may deem necessary to comply with the requirements of Section 423 of the Code.</w:t>
      </w:r>
    </w:p>
    <w:p>
      <w:pPr>
        <w:spacing w:after="0" w:line="152" w:lineRule="exact"/>
        <w:rPr>
          <w:sz w:val="20"/>
          <w:szCs w:val="20"/>
          <w:color w:val="auto"/>
        </w:rPr>
      </w:pPr>
    </w:p>
    <w:p>
      <w:pPr>
        <w:ind w:left="920" w:right="1100"/>
        <w:spacing w:after="0" w:line="253" w:lineRule="auto"/>
        <w:rPr>
          <w:sz w:val="20"/>
          <w:szCs w:val="20"/>
          <w:color w:val="auto"/>
        </w:rPr>
      </w:pPr>
      <w:r>
        <w:rPr>
          <w:rFonts w:ascii="Arial" w:cs="Arial" w:eastAsia="Arial" w:hAnsi="Arial"/>
          <w:sz w:val="18"/>
          <w:szCs w:val="18"/>
          <w:b w:val="1"/>
          <w:bCs w:val="1"/>
          <w:color w:val="auto"/>
        </w:rPr>
        <w:t xml:space="preserve">Stock Subject to the ESPP and Adjustments Upon Changes in Capitalization. </w:t>
      </w:r>
      <w:r>
        <w:rPr>
          <w:rFonts w:ascii="Arial" w:cs="Arial" w:eastAsia="Arial" w:hAnsi="Arial"/>
          <w:sz w:val="18"/>
          <w:szCs w:val="18"/>
          <w:color w:val="auto"/>
        </w:rPr>
        <w:t>After giving effect to the share</w:t>
      </w:r>
      <w:r>
        <w:rPr>
          <w:rFonts w:ascii="Arial" w:cs="Arial" w:eastAsia="Arial" w:hAnsi="Arial"/>
          <w:sz w:val="18"/>
          <w:szCs w:val="18"/>
          <w:b w:val="1"/>
          <w:bCs w:val="1"/>
          <w:color w:val="auto"/>
        </w:rPr>
        <w:t xml:space="preserve"> </w:t>
      </w:r>
      <w:r>
        <w:rPr>
          <w:rFonts w:ascii="Arial" w:cs="Arial" w:eastAsia="Arial" w:hAnsi="Arial"/>
          <w:sz w:val="18"/>
          <w:szCs w:val="18"/>
          <w:color w:val="auto"/>
        </w:rPr>
        <w:t>reserve increase of 500,000 shares requested under this proposal, the ESPP would authorize for issuance an aggregate of 1,125,000 shares of our common stock.</w:t>
      </w:r>
    </w:p>
    <w:p>
      <w:pPr>
        <w:spacing w:after="0" w:line="128" w:lineRule="exact"/>
        <w:rPr>
          <w:sz w:val="20"/>
          <w:szCs w:val="20"/>
          <w:color w:val="auto"/>
        </w:rPr>
      </w:pPr>
    </w:p>
    <w:p>
      <w:pPr>
        <w:ind w:left="920" w:right="960"/>
        <w:spacing w:after="0" w:line="238" w:lineRule="auto"/>
        <w:rPr>
          <w:sz w:val="20"/>
          <w:szCs w:val="20"/>
          <w:color w:val="auto"/>
        </w:rPr>
      </w:pPr>
      <w:r>
        <w:rPr>
          <w:rFonts w:ascii="Arial" w:cs="Arial" w:eastAsia="Arial" w:hAnsi="Arial"/>
          <w:sz w:val="18"/>
          <w:szCs w:val="18"/>
          <w:color w:val="auto"/>
        </w:rPr>
        <w:t>In the event that, at any time or from time to time, a stock dividend, stock split, spin-off, combination or exchange of shares, recapitalization, merger, consolidation, distribution to shareholders other than a normal cash dividend, or other change in the Itron's corporate or capital structure results in (a) the outstanding shares, or any securities exchanged therefor or received in their place, being exchanged for a different number or class of securities of Itron or of any other corporation or (b) new, different or additional securities of Itron or of any other corporation being received by the holders of shares of common stock, then the Plan Administrator will make such equitable adjustments as it deems appropriate in the circumstances in (i) the maximum number and kind of securities subject to the ESPP, (ii) the maximum number and kind of securities that are subject to any outstanding option and the per share price of such securities and (iii) the maximum number and kind of securities that may be purchased by a participant in a purchase period. The determination by the Plan Administrator as to the terms of any of the foregoing adjustments will be conclusive and binding.</w:t>
      </w:r>
    </w:p>
    <w:p>
      <w:pPr>
        <w:spacing w:after="0" w:line="145" w:lineRule="exact"/>
        <w:rPr>
          <w:sz w:val="20"/>
          <w:szCs w:val="20"/>
          <w:color w:val="auto"/>
        </w:rPr>
      </w:pPr>
    </w:p>
    <w:p>
      <w:pPr>
        <w:ind w:left="920" w:right="1020"/>
        <w:spacing w:after="0" w:line="244" w:lineRule="auto"/>
        <w:rPr>
          <w:sz w:val="20"/>
          <w:szCs w:val="20"/>
          <w:color w:val="auto"/>
        </w:rPr>
      </w:pPr>
      <w:r>
        <w:rPr>
          <w:rFonts w:ascii="Arial" w:cs="Arial" w:eastAsia="Arial" w:hAnsi="Arial"/>
          <w:sz w:val="18"/>
          <w:szCs w:val="18"/>
          <w:b w:val="1"/>
          <w:bCs w:val="1"/>
          <w:color w:val="auto"/>
        </w:rPr>
        <w:t xml:space="preserve">Amount of Payroll Deductions. </w:t>
      </w:r>
      <w:r>
        <w:rPr>
          <w:rFonts w:ascii="Arial" w:cs="Arial" w:eastAsia="Arial" w:hAnsi="Arial"/>
          <w:sz w:val="18"/>
          <w:szCs w:val="18"/>
          <w:color w:val="auto"/>
        </w:rPr>
        <w:t>Participants may contribute between 1% and 10% of their compensation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payroll deductions during the offering period, subject to the limitations described below in the sections on Eligibility and Purchase of Shares. For participants whose eligible compensation is paid in a currency other than US Dollars, the accumulated payroll deductions and any other contributions specifically provided for in an offering will be converted into US Dollars at an exchange rate determined by the Board in its sole discretion.</w:t>
      </w:r>
    </w:p>
    <w:p>
      <w:pPr>
        <w:spacing w:after="0" w:line="149" w:lineRule="exact"/>
        <w:rPr>
          <w:sz w:val="20"/>
          <w:szCs w:val="20"/>
          <w:color w:val="auto"/>
        </w:rPr>
      </w:pPr>
    </w:p>
    <w:p>
      <w:pPr>
        <w:ind w:left="920" w:right="1100"/>
        <w:spacing w:after="0" w:line="301" w:lineRule="auto"/>
        <w:rPr>
          <w:sz w:val="20"/>
          <w:szCs w:val="20"/>
          <w:color w:val="auto"/>
        </w:rPr>
      </w:pPr>
      <w:r>
        <w:rPr>
          <w:rFonts w:ascii="Arial" w:cs="Arial" w:eastAsia="Arial" w:hAnsi="Arial"/>
          <w:sz w:val="17"/>
          <w:szCs w:val="17"/>
          <w:b w:val="1"/>
          <w:bCs w:val="1"/>
          <w:color w:val="auto"/>
        </w:rPr>
        <w:t xml:space="preserve">Eligibility. </w:t>
      </w:r>
      <w:r>
        <w:rPr>
          <w:rFonts w:ascii="Arial" w:cs="Arial" w:eastAsia="Arial" w:hAnsi="Arial"/>
          <w:sz w:val="17"/>
          <w:szCs w:val="17"/>
          <w:color w:val="auto"/>
        </w:rPr>
        <w:t>Generally, any person who is employed by Itron or by one of our designated subsidiaries or affiliates is</w:t>
      </w:r>
      <w:r>
        <w:rPr>
          <w:rFonts w:ascii="Arial" w:cs="Arial" w:eastAsia="Arial" w:hAnsi="Arial"/>
          <w:sz w:val="17"/>
          <w:szCs w:val="17"/>
          <w:b w:val="1"/>
          <w:bCs w:val="1"/>
          <w:color w:val="auto"/>
        </w:rPr>
        <w:t xml:space="preserve"> </w:t>
      </w:r>
      <w:r>
        <w:rPr>
          <w:rFonts w:ascii="Arial" w:cs="Arial" w:eastAsia="Arial" w:hAnsi="Arial"/>
          <w:sz w:val="17"/>
          <w:szCs w:val="17"/>
          <w:color w:val="auto"/>
        </w:rPr>
        <w:t>eligible to participate in the ESPP, provided that the Plan Administrator may exclude certain employees based 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-57-</w:t>
            </w:r>
          </w:p>
        </w:tc>
      </w:tr>
      <w:tr>
        <w:trPr>
          <w:trHeight w:val="219"/>
        </w:trPr>
        <w:tc>
          <w:tcPr>
            <w:tcW w:w="316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61" w:name="page62"/>
    <w:bookmarkEnd w:id="61"/>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right="1860"/>
        <w:spacing w:after="0" w:line="271" w:lineRule="auto"/>
        <w:rPr>
          <w:sz w:val="20"/>
          <w:szCs w:val="20"/>
          <w:color w:val="auto"/>
        </w:rPr>
      </w:pPr>
      <w:r>
        <w:rPr>
          <w:rFonts w:ascii="Arial" w:cs="Arial" w:eastAsia="Arial" w:hAnsi="Arial"/>
          <w:sz w:val="18"/>
          <w:szCs w:val="18"/>
          <w:color w:val="auto"/>
        </w:rPr>
        <w:t>minimum service requirements and other conditions as set forth in the 2012 ESPP. At February 1, 2023, approximately 2,500 employees were eligible to participate in the ESPP.</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participant is eligible for the grant of any options under the 2012 ESPP if, immediately after such grant, the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participant would own shares possessing 5% or more of the total combined voting power or value of all classes of</w:t>
      </w:r>
    </w:p>
    <w:p>
      <w:pPr>
        <w:ind w:left="920"/>
        <w:spacing w:after="0" w:line="234" w:lineRule="auto"/>
        <w:rPr>
          <w:sz w:val="20"/>
          <w:szCs w:val="20"/>
          <w:color w:val="auto"/>
        </w:rPr>
      </w:pPr>
      <w:r>
        <w:rPr>
          <w:rFonts w:ascii="Arial" w:cs="Arial" w:eastAsia="Arial" w:hAnsi="Arial"/>
          <w:sz w:val="18"/>
          <w:szCs w:val="18"/>
          <w:color w:val="auto"/>
        </w:rPr>
        <w:t>shares of the Company or of any subsidiary or parent of the Company (including any shares which such participant</w:t>
      </w:r>
    </w:p>
    <w:p>
      <w:pPr>
        <w:ind w:left="920"/>
        <w:spacing w:after="0" w:line="235" w:lineRule="auto"/>
        <w:rPr>
          <w:sz w:val="20"/>
          <w:szCs w:val="20"/>
          <w:color w:val="auto"/>
        </w:rPr>
      </w:pPr>
      <w:r>
        <w:rPr>
          <w:rFonts w:ascii="Arial" w:cs="Arial" w:eastAsia="Arial" w:hAnsi="Arial"/>
          <w:sz w:val="18"/>
          <w:szCs w:val="18"/>
          <w:color w:val="auto"/>
        </w:rPr>
        <w:t>may purchase under all outstanding options), nor will any participant be granted options to buy more than</w:t>
      </w:r>
    </w:p>
    <w:p>
      <w:pPr>
        <w:ind w:left="920"/>
        <w:spacing w:after="0" w:line="235" w:lineRule="auto"/>
        <w:rPr>
          <w:sz w:val="20"/>
          <w:szCs w:val="20"/>
          <w:color w:val="auto"/>
        </w:rPr>
      </w:pPr>
      <w:r>
        <w:rPr>
          <w:rFonts w:ascii="Arial" w:cs="Arial" w:eastAsia="Arial" w:hAnsi="Arial"/>
          <w:sz w:val="18"/>
          <w:szCs w:val="18"/>
          <w:color w:val="auto"/>
        </w:rPr>
        <w:t>$25,000 worth of shares (determined based on the fair market value of the shares on the date the options are</w:t>
      </w:r>
    </w:p>
    <w:p>
      <w:pPr>
        <w:ind w:left="920"/>
        <w:spacing w:after="0"/>
        <w:rPr>
          <w:sz w:val="20"/>
          <w:szCs w:val="20"/>
          <w:color w:val="auto"/>
        </w:rPr>
      </w:pPr>
      <w:r>
        <w:rPr>
          <w:rFonts w:ascii="Arial" w:cs="Arial" w:eastAsia="Arial" w:hAnsi="Arial"/>
          <w:sz w:val="18"/>
          <w:szCs w:val="18"/>
          <w:color w:val="auto"/>
        </w:rPr>
        <w:t>granted) under the 2012 ESPP in any calendar year such options are outstanding.</w:t>
      </w:r>
    </w:p>
    <w:p>
      <w:pPr>
        <w:spacing w:after="0" w:line="153" w:lineRule="exact"/>
        <w:rPr>
          <w:sz w:val="20"/>
          <w:szCs w:val="20"/>
          <w:color w:val="auto"/>
        </w:rPr>
      </w:pPr>
    </w:p>
    <w:p>
      <w:pPr>
        <w:ind w:left="920" w:right="960"/>
        <w:spacing w:after="0"/>
        <w:rPr>
          <w:sz w:val="20"/>
          <w:szCs w:val="20"/>
          <w:color w:val="auto"/>
        </w:rPr>
      </w:pPr>
      <w:r>
        <w:rPr>
          <w:rFonts w:ascii="Arial" w:cs="Arial" w:eastAsia="Arial" w:hAnsi="Arial"/>
          <w:sz w:val="18"/>
          <w:szCs w:val="18"/>
          <w:b w:val="1"/>
          <w:bCs w:val="1"/>
          <w:color w:val="auto"/>
        </w:rPr>
        <w:t xml:space="preserve">Offering Periods; Purchase Periods. </w:t>
      </w:r>
      <w:r>
        <w:rPr>
          <w:rFonts w:ascii="Arial" w:cs="Arial" w:eastAsia="Arial" w:hAnsi="Arial"/>
          <w:sz w:val="18"/>
          <w:szCs w:val="18"/>
          <w:color w:val="auto"/>
        </w:rPr>
        <w:t>Unless and until the Administrator determines otherwise in its discretion,</w:t>
      </w:r>
      <w:r>
        <w:rPr>
          <w:rFonts w:ascii="Arial" w:cs="Arial" w:eastAsia="Arial" w:hAnsi="Arial"/>
          <w:sz w:val="18"/>
          <w:szCs w:val="18"/>
          <w:b w:val="1"/>
          <w:bCs w:val="1"/>
          <w:color w:val="auto"/>
        </w:rPr>
        <w:t xml:space="preserve"> </w:t>
      </w:r>
      <w:r>
        <w:rPr>
          <w:rFonts w:ascii="Arial" w:cs="Arial" w:eastAsia="Arial" w:hAnsi="Arial"/>
          <w:sz w:val="18"/>
          <w:szCs w:val="18"/>
          <w:color w:val="auto"/>
        </w:rPr>
        <w:t>each offering will commence on January 1, April 1, July 1 and October 1 of each year and end on the next March 31, June 30, September 30 and December 31, respectively, occurring thereafter. Notwithstanding the foregoing, the Plan Administrator may establish (a) a different term for one or more future offerings and (b) different commencing and ending dates for such offerings; provided, however, that an offering may not exceed five years. Each offering will consist of one purchase period running concurrently with the corresponding offering period and having a purchase date that is that last day of the purchase period.</w:t>
      </w:r>
    </w:p>
    <w:p>
      <w:pPr>
        <w:spacing w:after="0" w:line="144" w:lineRule="exact"/>
        <w:rPr>
          <w:sz w:val="20"/>
          <w:szCs w:val="20"/>
          <w:color w:val="auto"/>
        </w:rPr>
      </w:pPr>
    </w:p>
    <w:p>
      <w:pPr>
        <w:ind w:left="920" w:right="1020"/>
        <w:spacing w:after="0"/>
        <w:rPr>
          <w:sz w:val="20"/>
          <w:szCs w:val="20"/>
          <w:color w:val="auto"/>
        </w:rPr>
      </w:pPr>
      <w:r>
        <w:rPr>
          <w:rFonts w:ascii="Arial" w:cs="Arial" w:eastAsia="Arial" w:hAnsi="Arial"/>
          <w:sz w:val="18"/>
          <w:szCs w:val="18"/>
          <w:b w:val="1"/>
          <w:bCs w:val="1"/>
          <w:color w:val="auto"/>
        </w:rPr>
        <w:t xml:space="preserve">Purchase Price. </w:t>
      </w:r>
      <w:r>
        <w:rPr>
          <w:rFonts w:ascii="Arial" w:cs="Arial" w:eastAsia="Arial" w:hAnsi="Arial"/>
          <w:sz w:val="18"/>
          <w:szCs w:val="18"/>
          <w:color w:val="auto"/>
        </w:rPr>
        <w:t>The purchase price at which shares of common stock may be acquired pursuant to the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of an option granted under the ESPP is equal to ninety-five percent (95%) of the fair market value of a share of the common stock on the purchase date; provided, however, that the Plan Administrator may establish a different purchase price for any offering which may not be less than 85% of the lower of: (a) the fair market value of a share of the common stock on the offering date, and (b) the fair market value of a share of the common stock on the purchase date. For this purpose, “fair market value” generally means the closing sales price of a share of the Company’s common stock on the trading day of the applicable date. As of March 7, 2023, the closing price of a share of the Company’s common stock on the Nasdaq was $53.69.</w:t>
      </w:r>
    </w:p>
    <w:p>
      <w:pPr>
        <w:spacing w:after="0" w:line="153" w:lineRule="exact"/>
        <w:rPr>
          <w:sz w:val="20"/>
          <w:szCs w:val="20"/>
          <w:color w:val="auto"/>
        </w:rPr>
      </w:pPr>
    </w:p>
    <w:p>
      <w:pPr>
        <w:ind w:left="920" w:right="1000"/>
        <w:spacing w:after="0"/>
        <w:rPr>
          <w:sz w:val="20"/>
          <w:szCs w:val="20"/>
          <w:color w:val="auto"/>
        </w:rPr>
      </w:pPr>
      <w:r>
        <w:rPr>
          <w:rFonts w:ascii="Arial" w:cs="Arial" w:eastAsia="Arial" w:hAnsi="Arial"/>
          <w:sz w:val="18"/>
          <w:szCs w:val="18"/>
          <w:b w:val="1"/>
          <w:bCs w:val="1"/>
          <w:color w:val="auto"/>
        </w:rPr>
        <w:t xml:space="preserve">Purchase of Shares. </w:t>
      </w:r>
      <w:r>
        <w:rPr>
          <w:rFonts w:ascii="Arial" w:cs="Arial" w:eastAsia="Arial" w:hAnsi="Arial"/>
          <w:sz w:val="18"/>
          <w:szCs w:val="18"/>
          <w:color w:val="auto"/>
        </w:rPr>
        <w:t>On each purchase date, each participant will acquire, pursuant to the automatic exercise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participant’s option, the number of whole shares of common stock arrived at by dividing the total amount of the participant’s accumulated payroll deductions or other contributions for the purchase period by the purchase price; provided, however, that in no event may the number of shares of common stock purchased by the participant exceed the number of shares of common stock subject to the participant’s option. The maximum number of shares purchasable per participant during any single offering period may not exceed 250 shares (or such other limit as may be imposed by the Plan Administrator), subject to adjustment in the event of certain changes in our capitalization.</w:t>
      </w:r>
    </w:p>
    <w:p>
      <w:pPr>
        <w:spacing w:after="0" w:line="140" w:lineRule="exact"/>
        <w:rPr>
          <w:sz w:val="20"/>
          <w:szCs w:val="20"/>
          <w:color w:val="auto"/>
        </w:rPr>
      </w:pPr>
    </w:p>
    <w:p>
      <w:pPr>
        <w:jc w:val="both"/>
        <w:ind w:left="920" w:right="1040"/>
        <w:spacing w:after="0" w:line="301" w:lineRule="auto"/>
        <w:rPr>
          <w:sz w:val="20"/>
          <w:szCs w:val="20"/>
          <w:color w:val="auto"/>
        </w:rPr>
      </w:pPr>
      <w:r>
        <w:rPr>
          <w:rFonts w:ascii="Arial" w:cs="Arial" w:eastAsia="Arial" w:hAnsi="Arial"/>
          <w:sz w:val="17"/>
          <w:szCs w:val="17"/>
          <w:b w:val="1"/>
          <w:bCs w:val="1"/>
          <w:color w:val="auto"/>
        </w:rPr>
        <w:t xml:space="preserve">Transferability. </w:t>
      </w:r>
      <w:r>
        <w:rPr>
          <w:rFonts w:ascii="Arial" w:cs="Arial" w:eastAsia="Arial" w:hAnsi="Arial"/>
          <w:sz w:val="17"/>
          <w:szCs w:val="17"/>
          <w:color w:val="auto"/>
        </w:rPr>
        <w:t>Purchase rights granted under the ESPP are not transferable by a participant other than by will or</w:t>
      </w:r>
      <w:r>
        <w:rPr>
          <w:rFonts w:ascii="Arial" w:cs="Arial" w:eastAsia="Arial" w:hAnsi="Arial"/>
          <w:sz w:val="17"/>
          <w:szCs w:val="17"/>
          <w:b w:val="1"/>
          <w:bCs w:val="1"/>
          <w:color w:val="auto"/>
        </w:rPr>
        <w:t xml:space="preserve"> </w:t>
      </w:r>
      <w:r>
        <w:rPr>
          <w:rFonts w:ascii="Arial" w:cs="Arial" w:eastAsia="Arial" w:hAnsi="Arial"/>
          <w:sz w:val="17"/>
          <w:szCs w:val="17"/>
          <w:color w:val="auto"/>
        </w:rPr>
        <w:t>by the laws of descent and distribution, and are exercisable during the participant’s lifetime only by the participant.</w:t>
      </w:r>
    </w:p>
    <w:p>
      <w:pPr>
        <w:spacing w:after="0" w:line="90" w:lineRule="exact"/>
        <w:rPr>
          <w:sz w:val="20"/>
          <w:szCs w:val="20"/>
          <w:color w:val="auto"/>
        </w:rPr>
      </w:pPr>
    </w:p>
    <w:p>
      <w:pPr>
        <w:ind w:left="920" w:right="940"/>
        <w:spacing w:after="0" w:line="247" w:lineRule="auto"/>
        <w:rPr>
          <w:sz w:val="20"/>
          <w:szCs w:val="20"/>
          <w:color w:val="auto"/>
        </w:rPr>
      </w:pPr>
      <w:r>
        <w:rPr>
          <w:rFonts w:ascii="Arial" w:cs="Arial" w:eastAsia="Arial" w:hAnsi="Arial"/>
          <w:sz w:val="18"/>
          <w:szCs w:val="18"/>
          <w:b w:val="1"/>
          <w:bCs w:val="1"/>
          <w:color w:val="auto"/>
        </w:rPr>
        <w:t xml:space="preserve">Withdrawals. </w:t>
      </w:r>
      <w:r>
        <w:rPr>
          <w:rFonts w:ascii="Arial" w:cs="Arial" w:eastAsia="Arial" w:hAnsi="Arial"/>
          <w:sz w:val="18"/>
          <w:szCs w:val="18"/>
          <w:color w:val="auto"/>
        </w:rPr>
        <w:t>A participant may withdraw from an offering by completing a notice of withdrawal and following any</w:t>
      </w:r>
      <w:r>
        <w:rPr>
          <w:rFonts w:ascii="Arial" w:cs="Arial" w:eastAsia="Arial" w:hAnsi="Arial"/>
          <w:sz w:val="18"/>
          <w:szCs w:val="18"/>
          <w:b w:val="1"/>
          <w:bCs w:val="1"/>
          <w:color w:val="auto"/>
        </w:rPr>
        <w:t xml:space="preserve"> </w:t>
      </w:r>
      <w:r>
        <w:rPr>
          <w:rFonts w:ascii="Arial" w:cs="Arial" w:eastAsia="Arial" w:hAnsi="Arial"/>
          <w:sz w:val="18"/>
          <w:szCs w:val="18"/>
          <w:color w:val="auto"/>
        </w:rPr>
        <w:t>procedures for withdrawal from an offering as may be established by the Plan Administrator from time to time. Such withdrawal may be elected generally at any time prior to the end of an offering A participant is prohibited from again participating in the same offering at any time after withdrawing from such offering.</w:t>
      </w:r>
    </w:p>
    <w:p>
      <w:pPr>
        <w:spacing w:after="0" w:line="147" w:lineRule="exact"/>
        <w:rPr>
          <w:sz w:val="20"/>
          <w:szCs w:val="20"/>
          <w:color w:val="auto"/>
        </w:rPr>
      </w:pPr>
    </w:p>
    <w:p>
      <w:pPr>
        <w:ind w:left="920" w:right="1060"/>
        <w:spacing w:after="0" w:line="259" w:lineRule="auto"/>
        <w:rPr>
          <w:sz w:val="20"/>
          <w:szCs w:val="20"/>
          <w:color w:val="auto"/>
        </w:rPr>
      </w:pPr>
      <w:r>
        <w:rPr>
          <w:rFonts w:ascii="Arial" w:cs="Arial" w:eastAsia="Arial" w:hAnsi="Arial"/>
          <w:sz w:val="17"/>
          <w:szCs w:val="17"/>
          <w:b w:val="1"/>
          <w:bCs w:val="1"/>
          <w:color w:val="auto"/>
        </w:rPr>
        <w:t xml:space="preserve">Termination of Employment. </w:t>
      </w:r>
      <w:r>
        <w:rPr>
          <w:rFonts w:ascii="Arial" w:cs="Arial" w:eastAsia="Arial" w:hAnsi="Arial"/>
          <w:sz w:val="17"/>
          <w:szCs w:val="17"/>
          <w:color w:val="auto"/>
        </w:rPr>
        <w:t>Termination of a participant’s employment with Itron or designated subsidiaries for</w:t>
      </w:r>
      <w:r>
        <w:rPr>
          <w:rFonts w:ascii="Arial" w:cs="Arial" w:eastAsia="Arial" w:hAnsi="Arial"/>
          <w:sz w:val="17"/>
          <w:szCs w:val="17"/>
          <w:b w:val="1"/>
          <w:bCs w:val="1"/>
          <w:color w:val="auto"/>
        </w:rPr>
        <w:t xml:space="preserve"> </w:t>
      </w:r>
      <w:r>
        <w:rPr>
          <w:rFonts w:ascii="Arial" w:cs="Arial" w:eastAsia="Arial" w:hAnsi="Arial"/>
          <w:sz w:val="17"/>
          <w:szCs w:val="17"/>
          <w:color w:val="auto"/>
        </w:rPr>
        <w:t>any reason (including retirement, death, the employer ceasing to remain a designated subsidiary) will immediately result in termination of the participant’s participation in the ESPP. In such event, the payroll deductions or contributions credited to the participant’s account since the last purchase date will, as soon as practical, be returned to the participant or, in the case of a participant’s death, to the participant’s legal representative, and all the participant’s rights under the ESPP will terminate. Interest will not be paid on sums returned to a participant.</w:t>
      </w:r>
    </w:p>
    <w:p>
      <w:pPr>
        <w:spacing w:after="0" w:line="125" w:lineRule="exact"/>
        <w:rPr>
          <w:sz w:val="20"/>
          <w:szCs w:val="20"/>
          <w:color w:val="auto"/>
        </w:rPr>
      </w:pPr>
    </w:p>
    <w:p>
      <w:pPr>
        <w:ind w:left="920" w:right="940"/>
        <w:spacing w:after="0" w:line="266" w:lineRule="auto"/>
        <w:rPr>
          <w:sz w:val="20"/>
          <w:szCs w:val="20"/>
          <w:color w:val="auto"/>
        </w:rPr>
      </w:pPr>
      <w:r>
        <w:rPr>
          <w:rFonts w:ascii="Arial" w:cs="Arial" w:eastAsia="Arial" w:hAnsi="Arial"/>
          <w:sz w:val="17"/>
          <w:szCs w:val="17"/>
          <w:b w:val="1"/>
          <w:bCs w:val="1"/>
          <w:color w:val="auto"/>
        </w:rPr>
        <w:t xml:space="preserve">Change in Control. </w:t>
      </w:r>
      <w:r>
        <w:rPr>
          <w:rFonts w:ascii="Arial" w:cs="Arial" w:eastAsia="Arial" w:hAnsi="Arial"/>
          <w:sz w:val="17"/>
          <w:szCs w:val="17"/>
          <w:color w:val="auto"/>
        </w:rPr>
        <w:t>The 2012 ESPP provides for the assumption of, or substitution by, the successor company or</w:t>
      </w:r>
      <w:r>
        <w:rPr>
          <w:rFonts w:ascii="Arial" w:cs="Arial" w:eastAsia="Arial" w:hAnsi="Arial"/>
          <w:sz w:val="17"/>
          <w:szCs w:val="17"/>
          <w:b w:val="1"/>
          <w:bCs w:val="1"/>
          <w:color w:val="auto"/>
        </w:rPr>
        <w:t xml:space="preserve"> </w:t>
      </w:r>
      <w:r>
        <w:rPr>
          <w:rFonts w:ascii="Arial" w:cs="Arial" w:eastAsia="Arial" w:hAnsi="Arial"/>
          <w:sz w:val="17"/>
          <w:szCs w:val="17"/>
          <w:color w:val="auto"/>
        </w:rPr>
        <w:t>parent thereof for each option that is then outstanding in the event of a proposed Change in Control Transaction (as defined in the ESPP). In the event that the successor corporation refuses to assume or substitute for the option, the Plan Administrator may, in its sole discretion, elect to shorten any offering then in progress by setting a new</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-58-</w:t>
            </w:r>
          </w:p>
        </w:tc>
      </w:tr>
      <w:tr>
        <w:trPr>
          <w:trHeight w:val="219"/>
        </w:trPr>
        <w:tc>
          <w:tcPr>
            <w:tcW w:w="316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62" w:name="page63"/>
    <w:bookmarkEnd w:id="62"/>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920" w:right="1040"/>
        <w:spacing w:after="0" w:line="253" w:lineRule="auto"/>
        <w:rPr>
          <w:sz w:val="20"/>
          <w:szCs w:val="20"/>
          <w:color w:val="auto"/>
        </w:rPr>
      </w:pPr>
      <w:r>
        <w:rPr>
          <w:rFonts w:ascii="Arial" w:cs="Arial" w:eastAsia="Arial" w:hAnsi="Arial"/>
          <w:sz w:val="18"/>
          <w:szCs w:val="18"/>
          <w:color w:val="auto"/>
        </w:rPr>
        <w:t>purchase date to occur before the date of the Change in Control Transaction, at which time the participant’s option will be exercised automatically on the new purchase date, unless prior to such date the participant has withdrawn from an offering then in progress or the ESPP.</w:t>
      </w:r>
    </w:p>
    <w:p>
      <w:pPr>
        <w:spacing w:after="0" w:line="196" w:lineRule="exact"/>
        <w:rPr>
          <w:sz w:val="20"/>
          <w:szCs w:val="20"/>
          <w:color w:val="auto"/>
        </w:rPr>
      </w:pPr>
    </w:p>
    <w:p>
      <w:pPr>
        <w:jc w:val="both"/>
        <w:ind w:left="920" w:right="1020"/>
        <w:spacing w:after="0" w:line="253" w:lineRule="auto"/>
        <w:rPr>
          <w:sz w:val="20"/>
          <w:szCs w:val="20"/>
          <w:color w:val="auto"/>
        </w:rPr>
      </w:pPr>
      <w:r>
        <w:rPr>
          <w:rFonts w:ascii="Arial" w:cs="Arial" w:eastAsia="Arial" w:hAnsi="Arial"/>
          <w:sz w:val="18"/>
          <w:szCs w:val="18"/>
          <w:b w:val="1"/>
          <w:bCs w:val="1"/>
          <w:color w:val="auto"/>
        </w:rPr>
        <w:t xml:space="preserve">Amendment and Termination of Plan. </w:t>
      </w:r>
      <w:r>
        <w:rPr>
          <w:rFonts w:ascii="Arial" w:cs="Arial" w:eastAsia="Arial" w:hAnsi="Arial"/>
          <w:sz w:val="18"/>
          <w:szCs w:val="18"/>
          <w:color w:val="auto"/>
        </w:rPr>
        <w:t>The ESPP continues in effect until the earlier to occur of (a)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ESPP by the Plan Administrator, and (b) issuance of all of the shares of stock reserved for issuance under the ESPP.</w:t>
      </w:r>
    </w:p>
    <w:p>
      <w:pPr>
        <w:spacing w:after="0" w:line="128" w:lineRule="exact"/>
        <w:rPr>
          <w:sz w:val="20"/>
          <w:szCs w:val="20"/>
          <w:color w:val="auto"/>
        </w:rPr>
      </w:pPr>
    </w:p>
    <w:p>
      <w:pPr>
        <w:ind w:left="920" w:right="1020"/>
        <w:spacing w:after="0" w:line="247" w:lineRule="auto"/>
        <w:rPr>
          <w:sz w:val="20"/>
          <w:szCs w:val="20"/>
          <w:color w:val="auto"/>
        </w:rPr>
      </w:pPr>
      <w:r>
        <w:rPr>
          <w:rFonts w:ascii="Arial" w:cs="Arial" w:eastAsia="Arial" w:hAnsi="Arial"/>
          <w:sz w:val="18"/>
          <w:szCs w:val="18"/>
          <w:color w:val="auto"/>
        </w:rPr>
        <w:t>The Plan Administrator may amend, modify, suspend or terminate the ESPP at any time, subject to shareholder approval of any amendment in such a manner and to such a degree as required by applicable law or government regulation, or the rules of the Nasdaq Stock Market or any stock exchange or national market system on which the shares of Stock may be listed or to comply with Section 423 of the Code.</w:t>
      </w:r>
    </w:p>
    <w:p>
      <w:pPr>
        <w:spacing w:after="0" w:line="133" w:lineRule="exact"/>
        <w:rPr>
          <w:sz w:val="20"/>
          <w:szCs w:val="20"/>
          <w:color w:val="auto"/>
        </w:rPr>
      </w:pPr>
    </w:p>
    <w:p>
      <w:pPr>
        <w:ind w:left="920" w:right="920"/>
        <w:spacing w:after="0" w:line="239" w:lineRule="auto"/>
        <w:rPr>
          <w:sz w:val="20"/>
          <w:szCs w:val="20"/>
          <w:color w:val="auto"/>
        </w:rPr>
      </w:pPr>
      <w:r>
        <w:rPr>
          <w:rFonts w:ascii="Arial" w:cs="Arial" w:eastAsia="Arial" w:hAnsi="Arial"/>
          <w:sz w:val="18"/>
          <w:szCs w:val="18"/>
          <w:b w:val="1"/>
          <w:bCs w:val="1"/>
          <w:color w:val="auto"/>
        </w:rPr>
        <w:t xml:space="preserve">U.S. Federal Income Tax Information. </w:t>
      </w:r>
      <w:r>
        <w:rPr>
          <w:rFonts w:ascii="Arial" w:cs="Arial" w:eastAsia="Arial" w:hAnsi="Arial"/>
          <w:sz w:val="18"/>
          <w:szCs w:val="18"/>
          <w:color w:val="auto"/>
        </w:rPr>
        <w:t>The following summary briefly describes the general U.S. federal income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tax consequences of purchase rights under the ESPP for participants who are tax resident in the United States, current as of March 7, 2023, but is not a detailed or complete description of all U.S. federal tax laws or regulations that may apply, and does not address any local, state or other country laws. </w:t>
      </w:r>
      <w:r>
        <w:rPr>
          <w:rFonts w:ascii="Arial" w:cs="Arial" w:eastAsia="Arial" w:hAnsi="Arial"/>
          <w:sz w:val="18"/>
          <w:szCs w:val="18"/>
          <w:b w:val="1"/>
          <w:bCs w:val="1"/>
          <w:color w:val="auto"/>
        </w:rPr>
        <w:t>Therefore, no one should rely on</w:t>
      </w:r>
      <w:r>
        <w:rPr>
          <w:rFonts w:ascii="Arial" w:cs="Arial" w:eastAsia="Arial" w:hAnsi="Arial"/>
          <w:sz w:val="18"/>
          <w:szCs w:val="18"/>
          <w:color w:val="auto"/>
        </w:rPr>
        <w:t xml:space="preserve"> </w:t>
      </w:r>
      <w:r>
        <w:rPr>
          <w:rFonts w:ascii="Arial" w:cs="Arial" w:eastAsia="Arial" w:hAnsi="Arial"/>
          <w:sz w:val="18"/>
          <w:szCs w:val="18"/>
          <w:b w:val="1"/>
          <w:bCs w:val="1"/>
          <w:color w:val="auto"/>
        </w:rPr>
        <w:t>this summary for individual tax compliance, planning or decisions. Participants in the ESPP should consult their own professional tax advisors regarding the taxation of purchase rights under the ESPP. The discussion below concerning tax deductions that may become available to Itron under U.S. federal tax law is not intended to imply that Itron will necessarily obtain a tax benefit or asset from those deductions. Taxation of equity-based payments in countries other than the United States does not generally correspond to U.S. federal tax laws, and is not covered by the summary below.</w:t>
      </w:r>
    </w:p>
    <w:p>
      <w:pPr>
        <w:spacing w:after="0" w:line="153" w:lineRule="exact"/>
        <w:rPr>
          <w:sz w:val="20"/>
          <w:szCs w:val="20"/>
          <w:color w:val="auto"/>
        </w:rPr>
      </w:pPr>
    </w:p>
    <w:p>
      <w:pPr>
        <w:ind w:left="920" w:right="960"/>
        <w:spacing w:after="0" w:line="238" w:lineRule="auto"/>
        <w:rPr>
          <w:sz w:val="20"/>
          <w:szCs w:val="20"/>
          <w:color w:val="auto"/>
        </w:rPr>
      </w:pPr>
      <w:r>
        <w:rPr>
          <w:rFonts w:ascii="Arial" w:cs="Arial" w:eastAsia="Arial" w:hAnsi="Arial"/>
          <w:sz w:val="18"/>
          <w:szCs w:val="18"/>
          <w:b w:val="1"/>
          <w:bCs w:val="1"/>
          <w:color w:val="auto"/>
        </w:rPr>
        <w:t xml:space="preserve">U.S. Federal Income Tax Information for Section 423 Offerings. </w:t>
      </w:r>
      <w:r>
        <w:rPr>
          <w:rFonts w:ascii="Arial" w:cs="Arial" w:eastAsia="Arial" w:hAnsi="Arial"/>
          <w:sz w:val="18"/>
          <w:szCs w:val="18"/>
          <w:color w:val="auto"/>
        </w:rPr>
        <w:t>Rights to purchase shares granted under a</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423 Offering are intended to qualify for favorable federal income tax treatment available to purchase rights granted under an employee stock purchase plan that qualifies under the provisions of Section 423(b) of the Code. Under these provisions, no income will be taxable to a participant until the shares purchased under the ESPP are sold or otherwise disposed of. If the shares are disposed of within two years from the purchase right grant date (</w:t>
      </w:r>
      <w:r>
        <w:rPr>
          <w:rFonts w:ascii="Arial" w:cs="Arial" w:eastAsia="Arial" w:hAnsi="Arial"/>
          <w:sz w:val="18"/>
          <w:szCs w:val="18"/>
          <w:i w:val="1"/>
          <w:iCs w:val="1"/>
          <w:color w:val="auto"/>
        </w:rPr>
        <w:t>i</w:t>
      </w:r>
      <w:r>
        <w:rPr>
          <w:rFonts w:ascii="Arial" w:cs="Arial" w:eastAsia="Arial" w:hAnsi="Arial"/>
          <w:sz w:val="18"/>
          <w:szCs w:val="18"/>
          <w:color w:val="auto"/>
        </w:rPr>
        <w:t>.</w:t>
      </w:r>
      <w:r>
        <w:rPr>
          <w:rFonts w:ascii="Arial" w:cs="Arial" w:eastAsia="Arial" w:hAnsi="Arial"/>
          <w:sz w:val="18"/>
          <w:szCs w:val="18"/>
          <w:i w:val="1"/>
          <w:iCs w:val="1"/>
          <w:color w:val="auto"/>
        </w:rPr>
        <w:t>e</w:t>
      </w:r>
      <w:r>
        <w:rPr>
          <w:rFonts w:ascii="Arial" w:cs="Arial" w:eastAsia="Arial" w:hAnsi="Arial"/>
          <w:sz w:val="18"/>
          <w:szCs w:val="18"/>
          <w:color w:val="auto"/>
        </w:rPr>
        <w:t>., the beginning of the offering period) or within one year from the purchase date of the shares, a transaction referred to as a “disqualifying disposition,” the participant will realize ordinary income in the year of such disposition equal to the difference between the fair market value of the shares on the purchase date and the purchase price. The amount of such ordinary income will be added to the participant’s basis in the shares, and any additional gain or resulting loss recognized on the disposition of the shares after such basis adjustment will be a capital gain or loss. A capital gain or loss will be long-term if the participant holds the shares for more than one year after the purchase date.</w:t>
      </w:r>
    </w:p>
    <w:p>
      <w:pPr>
        <w:spacing w:after="0" w:line="142" w:lineRule="exact"/>
        <w:rPr>
          <w:sz w:val="20"/>
          <w:szCs w:val="20"/>
          <w:color w:val="auto"/>
        </w:rPr>
      </w:pPr>
    </w:p>
    <w:p>
      <w:pPr>
        <w:ind w:left="920" w:right="940"/>
        <w:spacing w:after="0"/>
        <w:rPr>
          <w:sz w:val="20"/>
          <w:szCs w:val="20"/>
          <w:color w:val="auto"/>
        </w:rPr>
      </w:pPr>
      <w:r>
        <w:rPr>
          <w:rFonts w:ascii="Arial" w:cs="Arial" w:eastAsia="Arial" w:hAnsi="Arial"/>
          <w:sz w:val="18"/>
          <w:szCs w:val="18"/>
          <w:color w:val="auto"/>
        </w:rPr>
        <w:t>If the shares purchased under the ESPP are sold (or otherwise disposed of) more than two years after the purchase right grant date and more than one year after the shares are transferred to the participant, then the lesser of (i) the excess of the sale price of the shares at the time of disposition over the purchase price, and (ii) the excess of the fair market value of the shares as of the purchase right grant date over the purchase price (determined as of the first day of the offering period) will be treated as ordinary income. If the sale price is less than the purchase price, no ordinary income will be reported. The amount of any such ordinary income will be added to the participant’s basis in the shares, and any additional gain or resulting loss recognized on the disposition of the shares after such basis adjustment will be long-term capital gain or loss.</w:t>
      </w:r>
    </w:p>
    <w:p>
      <w:pPr>
        <w:spacing w:after="0" w:line="140" w:lineRule="exact"/>
        <w:rPr>
          <w:sz w:val="20"/>
          <w:szCs w:val="20"/>
          <w:color w:val="auto"/>
        </w:rPr>
      </w:pPr>
    </w:p>
    <w:p>
      <w:pPr>
        <w:ind w:left="920" w:right="1200"/>
        <w:spacing w:after="0" w:line="253" w:lineRule="auto"/>
        <w:rPr>
          <w:sz w:val="20"/>
          <w:szCs w:val="20"/>
          <w:color w:val="auto"/>
        </w:rPr>
      </w:pPr>
      <w:r>
        <w:rPr>
          <w:rFonts w:ascii="Arial" w:cs="Arial" w:eastAsia="Arial" w:hAnsi="Arial"/>
          <w:sz w:val="18"/>
          <w:szCs w:val="18"/>
          <w:color w:val="auto"/>
        </w:rPr>
        <w:t>Itron (or applicable designated subsidiaries) generally will be entitled to a deduction in the year of a disqualifying disposition equal to the amount of ordinary income realized by the participant as a result of such disposition, subject to any applicable limitations under the Code. In other cases, no deduction is allowed.</w:t>
      </w:r>
    </w:p>
    <w:p>
      <w:pPr>
        <w:spacing w:after="0" w:line="142" w:lineRule="exact"/>
        <w:rPr>
          <w:sz w:val="20"/>
          <w:szCs w:val="20"/>
          <w:color w:val="auto"/>
        </w:rPr>
      </w:pPr>
    </w:p>
    <w:p>
      <w:pPr>
        <w:ind w:left="920" w:right="1000"/>
        <w:spacing w:after="0"/>
        <w:rPr>
          <w:sz w:val="20"/>
          <w:szCs w:val="20"/>
          <w:color w:val="auto"/>
        </w:rPr>
      </w:pPr>
      <w:r>
        <w:rPr>
          <w:rFonts w:ascii="Arial" w:cs="Arial" w:eastAsia="Arial" w:hAnsi="Arial"/>
          <w:sz w:val="18"/>
          <w:szCs w:val="18"/>
          <w:b w:val="1"/>
          <w:bCs w:val="1"/>
          <w:color w:val="auto"/>
        </w:rPr>
        <w:t xml:space="preserve">U.S. Federal Income Tax Information for Non-423 Offerings. </w:t>
      </w:r>
      <w:r>
        <w:rPr>
          <w:rFonts w:ascii="Arial" w:cs="Arial" w:eastAsia="Arial" w:hAnsi="Arial"/>
          <w:sz w:val="18"/>
          <w:szCs w:val="18"/>
          <w:color w:val="auto"/>
        </w:rPr>
        <w:t>If the purchase right is granted under a Non-423</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then the amount equal to the difference between the fair market value of the shares on the purchase date and the purchase price will be treated as ordinary income at the time of such purchase. In such instances, the amount of such ordinary income will be added to the participant’s basis in the shares, and any additional gain or resulting loss recognized on the disposition of the shares after such basis adjustment will be a capital gain or loss. A capital gain or loss will be long-term if the participant holds the shares for more than one year after the purchase date.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-59-</w:t>
            </w:r>
          </w:p>
        </w:tc>
      </w:tr>
      <w:tr>
        <w:trPr>
          <w:trHeight w:val="219"/>
        </w:trPr>
        <w:tc>
          <w:tcPr>
            <w:tcW w:w="316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63" w:name="page64"/>
    <w:bookmarkEnd w:id="63"/>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right="1120"/>
        <w:spacing w:after="0" w:line="247" w:lineRule="auto"/>
        <w:rPr>
          <w:sz w:val="20"/>
          <w:szCs w:val="20"/>
          <w:color w:val="auto"/>
        </w:rPr>
      </w:pPr>
      <w:r>
        <w:rPr>
          <w:rFonts w:ascii="Arial" w:cs="Arial" w:eastAsia="Arial" w:hAnsi="Arial"/>
          <w:sz w:val="18"/>
          <w:szCs w:val="18"/>
          <w:color w:val="auto"/>
        </w:rPr>
        <w:t>Itron (or applicable designated subsidiaries) generally will be entitled to a deduction in the year of purchase equal to the amount of ordinary income recognized by the participant as a result of such disposition, subject to any applicable limitations under the Code. For U.S. participants, FICA/FUTA taxes will generally be due in relation to ordinary income earned as a result of participation in a Non-423 Offering.</w:t>
      </w:r>
    </w:p>
    <w:p>
      <w:pPr>
        <w:spacing w:after="0" w:line="17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New Plan Benefits</w:t>
      </w:r>
    </w:p>
    <w:p>
      <w:pPr>
        <w:spacing w:after="0" w:line="185" w:lineRule="exact"/>
        <w:rPr>
          <w:sz w:val="20"/>
          <w:szCs w:val="20"/>
          <w:color w:val="auto"/>
        </w:rPr>
      </w:pPr>
    </w:p>
    <w:p>
      <w:pPr>
        <w:ind w:left="920" w:right="1000"/>
        <w:spacing w:after="0" w:line="244" w:lineRule="auto"/>
        <w:rPr>
          <w:sz w:val="20"/>
          <w:szCs w:val="20"/>
          <w:color w:val="auto"/>
        </w:rPr>
      </w:pPr>
      <w:r>
        <w:rPr>
          <w:rFonts w:ascii="Arial" w:cs="Arial" w:eastAsia="Arial" w:hAnsi="Arial"/>
          <w:sz w:val="18"/>
          <w:szCs w:val="18"/>
          <w:color w:val="auto"/>
        </w:rPr>
        <w:t>The benefits to be received by those employees who are eligible to participate in the 2012 ESPP are not determinable, since the amounts of future purchases by participants are based on elective participant contributions and also depend on the value of Itron's shares of common stock. No options have been granted, and no shares of common stock have been issued, with respect to the share reserve increase for which shareholder approval is sought under this proposal.</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Past Participation in the 2012 ESPP</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table below sets forth the number of shares of common stock purchased by participating employees</w:t>
      </w:r>
    </w:p>
    <w:p>
      <w:pPr>
        <w:spacing w:after="0" w:line="14" w:lineRule="exact"/>
        <w:rPr>
          <w:sz w:val="20"/>
          <w:szCs w:val="20"/>
          <w:color w:val="auto"/>
        </w:rPr>
      </w:pPr>
    </w:p>
    <w:p>
      <w:pPr>
        <w:ind w:left="920" w:right="1060"/>
        <w:spacing w:after="0"/>
        <w:rPr>
          <w:sz w:val="20"/>
          <w:szCs w:val="20"/>
          <w:color w:val="auto"/>
        </w:rPr>
      </w:pPr>
      <w:r>
        <w:rPr>
          <w:rFonts w:ascii="Arial" w:cs="Arial" w:eastAsia="Arial" w:hAnsi="Arial"/>
          <w:sz w:val="18"/>
          <w:szCs w:val="18"/>
          <w:color w:val="auto"/>
        </w:rPr>
        <w:t>January 1, 2022 through December 31, 2022. Non-employee directors are not eligible for participation in the 2012 ESPP. No associate of a non-employee director, nominee for election as a director or executive officer has purchased shares under the 2012 ESPP and no participating employee has purchased five percent or more of the total amount of shares of common stock purchased under the 2012 ESPP.</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20" w:type="dxa"/>
            <w:vAlign w:val="bottom"/>
            <w:gridSpan w:val="2"/>
          </w:tcPr>
          <w:p>
            <w:pPr>
              <w:jc w:val="center"/>
              <w:ind w:right="1040"/>
              <w:spacing w:after="0"/>
              <w:rPr>
                <w:sz w:val="20"/>
                <w:szCs w:val="20"/>
                <w:color w:val="auto"/>
              </w:rPr>
            </w:pPr>
            <w:r>
              <w:rPr>
                <w:rFonts w:ascii="Arial" w:cs="Arial" w:eastAsia="Arial" w:hAnsi="Arial"/>
                <w:sz w:val="18"/>
                <w:szCs w:val="18"/>
                <w:b w:val="1"/>
                <w:bCs w:val="1"/>
                <w:color w:val="auto"/>
                <w:w w:val="99"/>
              </w:rPr>
              <w:t>Aggregate Number of</w:t>
            </w:r>
          </w:p>
        </w:tc>
        <w:tc>
          <w:tcPr>
            <w:tcW w:w="0" w:type="dxa"/>
            <w:vAlign w:val="bottom"/>
          </w:tcPr>
          <w:p>
            <w:pPr>
              <w:spacing w:after="0"/>
              <w:rPr>
                <w:sz w:val="1"/>
                <w:szCs w:val="1"/>
                <w:color w:val="auto"/>
              </w:rPr>
            </w:pPr>
          </w:p>
        </w:tc>
      </w:tr>
      <w:tr>
        <w:trPr>
          <w:trHeight w:val="247"/>
        </w:trPr>
        <w:tc>
          <w:tcPr>
            <w:tcW w:w="1000" w:type="dxa"/>
            <w:vAlign w:val="bottom"/>
          </w:tcPr>
          <w:p>
            <w:pPr>
              <w:spacing w:after="0"/>
              <w:rPr>
                <w:sz w:val="21"/>
                <w:szCs w:val="21"/>
                <w:color w:val="auto"/>
              </w:rPr>
            </w:pPr>
          </w:p>
        </w:tc>
        <w:tc>
          <w:tcPr>
            <w:tcW w:w="6900" w:type="dxa"/>
            <w:vAlign w:val="bottom"/>
            <w:gridSpan w:val="4"/>
          </w:tcPr>
          <w:p>
            <w:pPr>
              <w:ind w:left="40"/>
              <w:spacing w:after="0"/>
              <w:rPr>
                <w:sz w:val="20"/>
                <w:szCs w:val="20"/>
                <w:color w:val="auto"/>
              </w:rPr>
            </w:pPr>
            <w:r>
              <w:rPr>
                <w:rFonts w:ascii="Arial" w:cs="Arial" w:eastAsia="Arial" w:hAnsi="Arial"/>
                <w:sz w:val="18"/>
                <w:szCs w:val="18"/>
                <w:b w:val="1"/>
                <w:bCs w:val="1"/>
                <w:color w:val="auto"/>
              </w:rPr>
              <w:t>Name and Position</w:t>
            </w:r>
          </w:p>
        </w:tc>
        <w:tc>
          <w:tcPr>
            <w:tcW w:w="312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rPr>
              <w:t>Shares Purchased</w:t>
            </w:r>
          </w:p>
        </w:tc>
        <w:tc>
          <w:tcPr>
            <w:tcW w:w="0" w:type="dxa"/>
            <w:vAlign w:val="bottom"/>
          </w:tcPr>
          <w:p>
            <w:pPr>
              <w:spacing w:after="0"/>
              <w:rPr>
                <w:sz w:val="1"/>
                <w:szCs w:val="1"/>
                <w:color w:val="auto"/>
              </w:rPr>
            </w:pPr>
          </w:p>
        </w:tc>
      </w:tr>
      <w:tr>
        <w:trPr>
          <w:trHeight w:val="42"/>
        </w:trPr>
        <w:tc>
          <w:tcPr>
            <w:tcW w:w="1000" w:type="dxa"/>
            <w:vAlign w:val="bottom"/>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9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1"/>
        </w:trPr>
        <w:tc>
          <w:tcPr>
            <w:tcW w:w="1000" w:type="dxa"/>
            <w:vAlign w:val="bottom"/>
          </w:tcPr>
          <w:p>
            <w:pPr>
              <w:spacing w:after="0"/>
              <w:rPr>
                <w:sz w:val="24"/>
                <w:szCs w:val="24"/>
                <w:color w:val="auto"/>
              </w:rPr>
            </w:pPr>
          </w:p>
        </w:tc>
        <w:tc>
          <w:tcPr>
            <w:tcW w:w="6900" w:type="dxa"/>
            <w:vAlign w:val="bottom"/>
            <w:gridSpan w:val="4"/>
          </w:tcPr>
          <w:p>
            <w:pPr>
              <w:ind w:left="40"/>
              <w:spacing w:after="0"/>
              <w:rPr>
                <w:sz w:val="20"/>
                <w:szCs w:val="20"/>
                <w:color w:val="auto"/>
              </w:rPr>
            </w:pPr>
            <w:r>
              <w:rPr>
                <w:rFonts w:ascii="Arial" w:cs="Arial" w:eastAsia="Arial" w:hAnsi="Arial"/>
                <w:sz w:val="18"/>
                <w:szCs w:val="18"/>
                <w:color w:val="auto"/>
              </w:rPr>
              <w:t>All current executive officers as a group</w:t>
            </w: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4"/>
                <w:szCs w:val="24"/>
                <w:color w:val="auto"/>
              </w:rPr>
            </w:pPr>
          </w:p>
        </w:tc>
        <w:tc>
          <w:tcPr>
            <w:tcW w:w="6900" w:type="dxa"/>
            <w:vAlign w:val="bottom"/>
            <w:gridSpan w:val="4"/>
          </w:tcPr>
          <w:p>
            <w:pPr>
              <w:ind w:left="40"/>
              <w:spacing w:after="0"/>
              <w:rPr>
                <w:sz w:val="20"/>
                <w:szCs w:val="20"/>
                <w:color w:val="auto"/>
              </w:rPr>
            </w:pPr>
            <w:r>
              <w:rPr>
                <w:rFonts w:ascii="Arial" w:cs="Arial" w:eastAsia="Arial" w:hAnsi="Arial"/>
                <w:sz w:val="18"/>
                <w:szCs w:val="18"/>
                <w:color w:val="auto"/>
              </w:rPr>
              <w:t>All current directors who are not executive officers as a group</w:t>
            </w: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4"/>
                <w:szCs w:val="24"/>
                <w:color w:val="auto"/>
              </w:rPr>
            </w:pPr>
          </w:p>
        </w:tc>
        <w:tc>
          <w:tcPr>
            <w:tcW w:w="6900" w:type="dxa"/>
            <w:vAlign w:val="bottom"/>
            <w:gridSpan w:val="4"/>
          </w:tcPr>
          <w:p>
            <w:pPr>
              <w:ind w:left="40"/>
              <w:spacing w:after="0"/>
              <w:rPr>
                <w:sz w:val="20"/>
                <w:szCs w:val="20"/>
                <w:color w:val="auto"/>
              </w:rPr>
            </w:pPr>
            <w:r>
              <w:rPr>
                <w:rFonts w:ascii="Arial" w:cs="Arial" w:eastAsia="Arial" w:hAnsi="Arial"/>
                <w:sz w:val="18"/>
                <w:szCs w:val="18"/>
                <w:color w:val="auto"/>
              </w:rPr>
              <w:t>All current and former employees, excluding current executive officers as a group</w:t>
            </w:r>
          </w:p>
        </w:tc>
        <w:tc>
          <w:tcPr>
            <w:tcW w:w="2120" w:type="dxa"/>
            <w:vAlign w:val="bottom"/>
          </w:tcPr>
          <w:p>
            <w:pPr>
              <w:jc w:val="center"/>
              <w:spacing w:after="0"/>
              <w:rPr>
                <w:sz w:val="20"/>
                <w:szCs w:val="20"/>
                <w:color w:val="auto"/>
              </w:rPr>
            </w:pPr>
            <w:r>
              <w:rPr>
                <w:rFonts w:ascii="Arial" w:cs="Arial" w:eastAsia="Arial" w:hAnsi="Arial"/>
                <w:sz w:val="18"/>
                <w:szCs w:val="18"/>
                <w:color w:val="auto"/>
                <w:w w:val="98"/>
              </w:rPr>
              <w:t>70,451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000" w:type="dxa"/>
            <w:vAlign w:val="bottom"/>
          </w:tcPr>
          <w:p>
            <w:pPr>
              <w:spacing w:after="0"/>
              <w:rPr>
                <w:sz w:val="7"/>
                <w:szCs w:val="7"/>
                <w:color w:val="auto"/>
              </w:rPr>
            </w:pPr>
          </w:p>
        </w:tc>
        <w:tc>
          <w:tcPr>
            <w:tcW w:w="2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1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The Board recommends that shareholders</w:t>
            </w:r>
          </w:p>
        </w:tc>
        <w:tc>
          <w:tcPr>
            <w:tcW w:w="2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0"/>
        </w:trPr>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0" w:type="dxa"/>
            <w:vAlign w:val="bottom"/>
            <w:shd w:val="clear" w:color="auto" w:fill="000000"/>
          </w:tcPr>
          <w:p>
            <w:pPr>
              <w:spacing w:after="0"/>
              <w:rPr>
                <w:sz w:val="24"/>
                <w:szCs w:val="24"/>
                <w:color w:val="auto"/>
              </w:rPr>
            </w:pPr>
          </w:p>
        </w:tc>
        <w:tc>
          <w:tcPr>
            <w:tcW w:w="4160" w:type="dxa"/>
            <w:vAlign w:val="bottom"/>
            <w:gridSpan w:val="2"/>
            <w:vMerge w:val="continue"/>
          </w:tcPr>
          <w:p>
            <w:pPr>
              <w:spacing w:after="0"/>
              <w:rPr>
                <w:sz w:val="24"/>
                <w:szCs w:val="24"/>
                <w:color w:val="auto"/>
              </w:rPr>
            </w:pPr>
          </w:p>
        </w:tc>
        <w:tc>
          <w:tcPr>
            <w:tcW w:w="2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00" w:type="dxa"/>
            <w:vAlign w:val="bottom"/>
            <w:shd w:val="clear" w:color="auto" w:fill="000000"/>
          </w:tcPr>
          <w:p>
            <w:pPr>
              <w:spacing w:after="0"/>
              <w:rPr>
                <w:sz w:val="17"/>
                <w:szCs w:val="17"/>
                <w:color w:val="auto"/>
              </w:rPr>
            </w:pPr>
          </w:p>
        </w:tc>
        <w:tc>
          <w:tcPr>
            <w:tcW w:w="4160" w:type="dxa"/>
            <w:vAlign w:val="bottom"/>
            <w:gridSpan w:val="2"/>
          </w:tcPr>
          <w:p>
            <w:pPr>
              <w:ind w:left="100"/>
              <w:spacing w:after="0" w:line="202" w:lineRule="exact"/>
              <w:rPr>
                <w:sz w:val="20"/>
                <w:szCs w:val="20"/>
                <w:color w:val="auto"/>
              </w:rPr>
            </w:pPr>
            <w:r>
              <w:rPr>
                <w:rFonts w:ascii="Arial" w:cs="Arial" w:eastAsia="Arial" w:hAnsi="Arial"/>
                <w:sz w:val="18"/>
                <w:szCs w:val="18"/>
                <w:b w:val="1"/>
                <w:bCs w:val="1"/>
                <w:color w:val="auto"/>
              </w:rPr>
              <w:t>vote “FOR” the Amendment of the Itron,</w:t>
            </w:r>
          </w:p>
        </w:tc>
        <w:tc>
          <w:tcPr>
            <w:tcW w:w="2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0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400" w:type="dxa"/>
            <w:vAlign w:val="bottom"/>
            <w:shd w:val="clear" w:color="auto" w:fill="000000"/>
          </w:tcPr>
          <w:p>
            <w:pPr>
              <w:spacing w:after="0"/>
              <w:rPr>
                <w:sz w:val="21"/>
                <w:szCs w:val="21"/>
                <w:color w:val="auto"/>
              </w:rPr>
            </w:pPr>
          </w:p>
        </w:tc>
        <w:tc>
          <w:tcPr>
            <w:tcW w:w="4160" w:type="dxa"/>
            <w:vAlign w:val="bottom"/>
            <w:gridSpan w:val="2"/>
          </w:tcPr>
          <w:p>
            <w:pPr>
              <w:ind w:left="100"/>
              <w:spacing w:after="0"/>
              <w:rPr>
                <w:sz w:val="20"/>
                <w:szCs w:val="20"/>
                <w:color w:val="auto"/>
              </w:rPr>
            </w:pPr>
            <w:r>
              <w:rPr>
                <w:rFonts w:ascii="Arial" w:cs="Arial" w:eastAsia="Arial" w:hAnsi="Arial"/>
                <w:sz w:val="18"/>
                <w:szCs w:val="18"/>
                <w:b w:val="1"/>
                <w:bCs w:val="1"/>
                <w:color w:val="auto"/>
              </w:rPr>
              <w:t>Inc. 2012 Employee Stock Purchase Plan.</w:t>
            </w:r>
          </w:p>
        </w:tc>
        <w:tc>
          <w:tcPr>
            <w:tcW w:w="2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3"/>
        </w:trPr>
        <w:tc>
          <w:tcPr>
            <w:tcW w:w="1000" w:type="dxa"/>
            <w:vAlign w:val="bottom"/>
          </w:tcPr>
          <w:p>
            <w:pPr>
              <w:spacing w:after="0"/>
              <w:rPr>
                <w:sz w:val="7"/>
                <w:szCs w:val="7"/>
                <w:color w:val="auto"/>
              </w:rPr>
            </w:pPr>
          </w:p>
        </w:tc>
        <w:tc>
          <w:tcPr>
            <w:tcW w:w="2340" w:type="dxa"/>
            <w:vAlign w:val="bottom"/>
          </w:tcPr>
          <w:p>
            <w:pPr>
              <w:spacing w:after="0"/>
              <w:rPr>
                <w:sz w:val="7"/>
                <w:szCs w:val="7"/>
                <w:color w:val="auto"/>
              </w:rPr>
            </w:pPr>
          </w:p>
        </w:tc>
        <w:tc>
          <w:tcPr>
            <w:tcW w:w="400" w:type="dxa"/>
            <w:vAlign w:val="bottom"/>
            <w:shd w:val="clear" w:color="auto" w:fill="000000"/>
          </w:tcPr>
          <w:p>
            <w:pPr>
              <w:spacing w:after="0"/>
              <w:rPr>
                <w:sz w:val="7"/>
                <w:szCs w:val="7"/>
                <w:color w:val="auto"/>
              </w:rPr>
            </w:pPr>
          </w:p>
        </w:tc>
        <w:tc>
          <w:tcPr>
            <w:tcW w:w="3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4"/>
        </w:trPr>
        <w:tc>
          <w:tcPr>
            <w:tcW w:w="1000" w:type="dxa"/>
            <w:vAlign w:val="bottom"/>
          </w:tcPr>
          <w:p>
            <w:pPr>
              <w:ind w:left="920"/>
              <w:spacing w:after="0"/>
              <w:rPr>
                <w:sz w:val="20"/>
                <w:szCs w:val="20"/>
                <w:color w:val="auto"/>
              </w:rPr>
            </w:pPr>
            <w:r>
              <w:rPr>
                <w:rFonts w:ascii="Arial" w:cs="Arial" w:eastAsia="Arial" w:hAnsi="Arial"/>
                <w:sz w:val="8"/>
                <w:szCs w:val="8"/>
                <w:color w:val="auto"/>
                <w:w w:val="74"/>
              </w:rPr>
              <w:t> </w:t>
            </w:r>
          </w:p>
        </w:tc>
        <w:tc>
          <w:tcPr>
            <w:tcW w:w="6700" w:type="dxa"/>
            <w:vAlign w:val="bottom"/>
            <w:gridSpan w:val="3"/>
          </w:tcPr>
          <w:p>
            <w:pPr>
              <w:ind w:left="436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0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64" w:name="page65"/>
    <w:bookmarkEnd w:id="64"/>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PROPOSAL 5 – RATIFICATION OF INDEPENDENT REGISTERED PUBLIC ACCOUNTANT</w:t>
      </w:r>
    </w:p>
    <w:p>
      <w:pPr>
        <w:spacing w:after="0" w:line="185" w:lineRule="exact"/>
        <w:rPr>
          <w:sz w:val="20"/>
          <w:szCs w:val="20"/>
          <w:color w:val="auto"/>
        </w:rPr>
      </w:pPr>
    </w:p>
    <w:p>
      <w:pPr>
        <w:ind w:left="920" w:right="940"/>
        <w:spacing w:after="0"/>
        <w:rPr>
          <w:sz w:val="20"/>
          <w:szCs w:val="20"/>
          <w:color w:val="auto"/>
        </w:rPr>
      </w:pPr>
      <w:r>
        <w:rPr>
          <w:rFonts w:ascii="Arial" w:cs="Arial" w:eastAsia="Arial" w:hAnsi="Arial"/>
          <w:sz w:val="18"/>
          <w:szCs w:val="18"/>
          <w:color w:val="auto"/>
        </w:rPr>
        <w:t>The Board, upon the recommendation of its Audit/Finance Committee, has selected Deloitte &amp; Touche LLP to serve as the Company’s independent registered public accountant for the 2023 fiscal year, subject to ratification by our shareholders. Although not required to do so, the Board is submitting the selection of Deloitte &amp; Touche LLP for ratification by the Company’s shareholders for their views on the Company’s independent registered public accountant and as a matter of good corporate practice. Deloitte &amp; Touche LLP has advised the Company that it has no direct, nor any material indirect, financial interest in the Company or any of its subsidiaries. Representatives of Deloitte &amp; Touche LLP are expected to be present at the annual meeting, will have the opportunity to make a statement, if they desire to do so, and will be available to respond to appropriate questions.</w:t>
      </w:r>
    </w:p>
    <w:p>
      <w:pPr>
        <w:spacing w:after="0" w:line="140" w:lineRule="exact"/>
        <w:rPr>
          <w:sz w:val="20"/>
          <w:szCs w:val="20"/>
          <w:color w:val="auto"/>
        </w:rPr>
      </w:pPr>
    </w:p>
    <w:p>
      <w:pPr>
        <w:ind w:left="920" w:right="960"/>
        <w:spacing w:after="0" w:line="244" w:lineRule="auto"/>
        <w:rPr>
          <w:sz w:val="20"/>
          <w:szCs w:val="20"/>
          <w:color w:val="auto"/>
        </w:rPr>
      </w:pPr>
      <w:r>
        <w:rPr>
          <w:rFonts w:ascii="Arial" w:cs="Arial" w:eastAsia="Arial" w:hAnsi="Arial"/>
          <w:sz w:val="18"/>
          <w:szCs w:val="18"/>
          <w:color w:val="auto"/>
        </w:rPr>
        <w:t>In the event that our shareholders fail to ratify the selection, it will be considered as a direction to the Board and the Audit/Finance Committee to consider the selection of a different firm. Even if the selection is ratified, the Audit/Finance Committee in its discretion may select a different independent registered public accounting firm, subject to ratification by the Board, at any time during the year if it determines that such a change would be in the best interest of the Company and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29845</wp:posOffset>
            </wp:positionV>
            <wp:extent cx="248285" cy="7200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48285" cy="720090"/>
                    </a:xfrm>
                    <a:prstGeom prst="rect">
                      <a:avLst/>
                    </a:prstGeom>
                    <a:noFill/>
                  </pic:spPr>
                </pic:pic>
              </a:graphicData>
            </a:graphic>
          </wp:anchor>
        </w:drawing>
      </w:r>
    </w:p>
    <w:p>
      <w:pPr>
        <w:spacing w:after="0" w:line="224"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The Board recommends that shareholders</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vote “FOR” the ratification of Deloitte &amp;</w:t>
      </w:r>
    </w:p>
    <w:p>
      <w:pPr>
        <w:ind w:left="3840"/>
        <w:spacing w:after="0" w:line="234" w:lineRule="auto"/>
        <w:rPr>
          <w:sz w:val="20"/>
          <w:szCs w:val="20"/>
          <w:color w:val="auto"/>
        </w:rPr>
      </w:pPr>
      <w:r>
        <w:rPr>
          <w:rFonts w:ascii="Arial" w:cs="Arial" w:eastAsia="Arial" w:hAnsi="Arial"/>
          <w:sz w:val="18"/>
          <w:szCs w:val="18"/>
          <w:b w:val="1"/>
          <w:bCs w:val="1"/>
          <w:color w:val="auto"/>
        </w:rPr>
        <w:t>Touche LLP as our independent registered</w:t>
      </w:r>
    </w:p>
    <w:p>
      <w:pPr>
        <w:spacing w:after="0" w:line="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public accountant for fiscal year 2023.</w:t>
      </w:r>
    </w:p>
    <w:p>
      <w:pPr>
        <w:spacing w:after="0" w:line="38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INDEPENDENT REGISTERED PUBLIC ACCOUNTING FIRM’S AUDIT FEES AND SERVICES</w:t>
      </w:r>
    </w:p>
    <w:p>
      <w:pPr>
        <w:spacing w:after="0" w:line="185" w:lineRule="exact"/>
        <w:rPr>
          <w:sz w:val="20"/>
          <w:szCs w:val="20"/>
          <w:color w:val="auto"/>
        </w:rPr>
      </w:pPr>
    </w:p>
    <w:p>
      <w:pPr>
        <w:ind w:left="920" w:right="1100"/>
        <w:spacing w:after="0" w:line="253" w:lineRule="auto"/>
        <w:rPr>
          <w:sz w:val="20"/>
          <w:szCs w:val="20"/>
          <w:color w:val="auto"/>
        </w:rPr>
      </w:pPr>
      <w:r>
        <w:rPr>
          <w:rFonts w:ascii="Arial" w:cs="Arial" w:eastAsia="Arial" w:hAnsi="Arial"/>
          <w:sz w:val="18"/>
          <w:szCs w:val="18"/>
          <w:color w:val="auto"/>
        </w:rPr>
        <w:t>For the years ended December 31, 2021 and 2022, professional services were performed by Deloitte &amp; Touche LLP and their respective affiliates (collectively, Deloitte). The aggregate fees billed by Deloitte for the years ended December 31, 2021 and 2022 were as follows:</w:t>
      </w:r>
    </w:p>
    <w:p>
      <w:pPr>
        <w:spacing w:after="0" w:line="84" w:lineRule="exact"/>
        <w:rPr>
          <w:sz w:val="20"/>
          <w:szCs w:val="20"/>
          <w:color w:val="auto"/>
        </w:rPr>
      </w:pPr>
    </w:p>
    <w:tbl>
      <w:tblPr>
        <w:tblLayout w:type="fixed"/>
        <w:tblInd w:w="92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6500" w:type="dxa"/>
            <w:vAlign w:val="bottom"/>
            <w:gridSpan w:val="2"/>
          </w:tcPr>
          <w:p>
            <w:pPr>
              <w:ind w:left="40"/>
              <w:spacing w:after="0"/>
              <w:rPr>
                <w:sz w:val="20"/>
                <w:szCs w:val="20"/>
                <w:color w:val="auto"/>
              </w:rPr>
            </w:pPr>
            <w:r>
              <w:rPr>
                <w:rFonts w:ascii="Arial" w:cs="Arial" w:eastAsia="Arial" w:hAnsi="Arial"/>
                <w:sz w:val="14"/>
                <w:szCs w:val="14"/>
                <w:b w:val="1"/>
                <w:bCs w:val="1"/>
                <w:color w:val="auto"/>
              </w:rPr>
              <w:t>Services Rendered</w:t>
            </w:r>
          </w:p>
        </w:tc>
        <w:tc>
          <w:tcPr>
            <w:tcW w:w="12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7"/>
                <w:szCs w:val="17"/>
                <w:color w:val="auto"/>
              </w:rPr>
            </w:pPr>
          </w:p>
        </w:tc>
      </w:tr>
      <w:tr>
        <w:trPr>
          <w:trHeight w:val="29"/>
        </w:trPr>
        <w:tc>
          <w:tcPr>
            <w:tcW w:w="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84"/>
        </w:trPr>
        <w:tc>
          <w:tcPr>
            <w:tcW w:w="40" w:type="dxa"/>
            <w:vAlign w:val="bottom"/>
          </w:tcPr>
          <w:p>
            <w:pPr>
              <w:spacing w:after="0"/>
              <w:rPr>
                <w:sz w:val="24"/>
                <w:szCs w:val="24"/>
                <w:color w:val="auto"/>
              </w:rPr>
            </w:pPr>
          </w:p>
        </w:tc>
        <w:tc>
          <w:tcPr>
            <w:tcW w:w="6500" w:type="dxa"/>
            <w:vAlign w:val="bottom"/>
            <w:gridSpan w:val="2"/>
          </w:tcPr>
          <w:p>
            <w:pPr>
              <w:ind w:left="40"/>
              <w:spacing w:after="0"/>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$7,170,960</w:t>
            </w:r>
          </w:p>
        </w:tc>
        <w:tc>
          <w:tcPr>
            <w:tcW w:w="3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7,359,193​</w:t>
            </w:r>
          </w:p>
        </w:tc>
      </w:tr>
      <w:tr>
        <w:trPr>
          <w:trHeight w:val="258"/>
        </w:trPr>
        <w:tc>
          <w:tcPr>
            <w:tcW w:w="40" w:type="dxa"/>
            <w:vAlign w:val="bottom"/>
          </w:tcPr>
          <w:p>
            <w:pPr>
              <w:spacing w:after="0"/>
              <w:rPr>
                <w:sz w:val="22"/>
                <w:szCs w:val="22"/>
                <w:color w:val="auto"/>
              </w:rPr>
            </w:pPr>
          </w:p>
        </w:tc>
        <w:tc>
          <w:tcPr>
            <w:tcW w:w="6500" w:type="dxa"/>
            <w:vAlign w:val="bottom"/>
            <w:gridSpan w:val="2"/>
          </w:tcPr>
          <w:p>
            <w:pPr>
              <w:ind w:left="40"/>
              <w:spacing w:after="0" w:line="258" w:lineRule="exact"/>
              <w:rPr>
                <w:sz w:val="20"/>
                <w:szCs w:val="20"/>
                <w:color w:val="auto"/>
              </w:rPr>
            </w:pPr>
            <w:r>
              <w:rPr>
                <w:rFonts w:ascii="Arial" w:cs="Arial" w:eastAsia="Arial" w:hAnsi="Arial"/>
                <w:sz w:val="18"/>
                <w:szCs w:val="18"/>
                <w:color w:val="auto"/>
              </w:rPr>
              <w:t>Audit-Related Fees</w:t>
            </w:r>
            <w:r>
              <w:rPr>
                <w:rFonts w:ascii="Arial" w:cs="Arial" w:eastAsia="Arial" w:hAnsi="Arial"/>
                <w:sz w:val="29"/>
                <w:szCs w:val="29"/>
                <w:color w:val="auto"/>
                <w:vertAlign w:val="superscript"/>
              </w:rPr>
              <w:t>(2)</w:t>
            </w:r>
          </w:p>
        </w:tc>
        <w:tc>
          <w:tcPr>
            <w:tcW w:w="320" w:type="dxa"/>
            <w:vAlign w:val="bottom"/>
          </w:tcPr>
          <w:p>
            <w:pPr>
              <w:spacing w:after="0"/>
              <w:rPr>
                <w:sz w:val="22"/>
                <w:szCs w:val="22"/>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8"/>
        </w:trPr>
        <w:tc>
          <w:tcPr>
            <w:tcW w:w="40" w:type="dxa"/>
            <w:vAlign w:val="bottom"/>
          </w:tcPr>
          <w:p>
            <w:pPr>
              <w:spacing w:after="0"/>
              <w:rPr>
                <w:sz w:val="24"/>
                <w:szCs w:val="24"/>
                <w:color w:val="auto"/>
              </w:rPr>
            </w:pPr>
          </w:p>
        </w:tc>
        <w:tc>
          <w:tcPr>
            <w:tcW w:w="6500" w:type="dxa"/>
            <w:vAlign w:val="bottom"/>
            <w:gridSpan w:val="2"/>
          </w:tcPr>
          <w:p>
            <w:pPr>
              <w:ind w:left="220"/>
              <w:spacing w:after="0"/>
              <w:rPr>
                <w:sz w:val="20"/>
                <w:szCs w:val="20"/>
                <w:color w:val="auto"/>
              </w:rPr>
            </w:pPr>
            <w:r>
              <w:rPr>
                <w:rFonts w:ascii="Arial" w:cs="Arial" w:eastAsia="Arial" w:hAnsi="Arial"/>
                <w:sz w:val="18"/>
                <w:szCs w:val="18"/>
                <w:color w:val="auto"/>
              </w:rPr>
              <w:t>Total Audit and Audit-Related Fees</w:t>
            </w:r>
          </w:p>
        </w:tc>
        <w:tc>
          <w:tcPr>
            <w:tcW w:w="3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7,170,960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7,359,193</w:t>
            </w:r>
          </w:p>
        </w:tc>
      </w:tr>
      <w:tr>
        <w:trPr>
          <w:trHeight w:val="427"/>
        </w:trPr>
        <w:tc>
          <w:tcPr>
            <w:tcW w:w="40" w:type="dxa"/>
            <w:vAlign w:val="bottom"/>
          </w:tcPr>
          <w:p>
            <w:pPr>
              <w:spacing w:after="0"/>
              <w:rPr>
                <w:sz w:val="24"/>
                <w:szCs w:val="24"/>
                <w:color w:val="auto"/>
              </w:rPr>
            </w:pPr>
          </w:p>
        </w:tc>
        <w:tc>
          <w:tcPr>
            <w:tcW w:w="6500" w:type="dxa"/>
            <w:vAlign w:val="bottom"/>
            <w:gridSpan w:val="2"/>
          </w:tcPr>
          <w:p>
            <w:pPr>
              <w:ind w:left="40"/>
              <w:spacing w:after="0"/>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2,722,790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2,710,386</w:t>
            </w:r>
          </w:p>
        </w:tc>
      </w:tr>
      <w:tr>
        <w:trPr>
          <w:trHeight w:val="258"/>
        </w:trPr>
        <w:tc>
          <w:tcPr>
            <w:tcW w:w="40" w:type="dxa"/>
            <w:vAlign w:val="bottom"/>
          </w:tcPr>
          <w:p>
            <w:pPr>
              <w:spacing w:after="0"/>
              <w:rPr>
                <w:sz w:val="22"/>
                <w:szCs w:val="22"/>
                <w:color w:val="auto"/>
              </w:rPr>
            </w:pPr>
          </w:p>
        </w:tc>
        <w:tc>
          <w:tcPr>
            <w:tcW w:w="6500" w:type="dxa"/>
            <w:vAlign w:val="bottom"/>
            <w:gridSpan w:val="2"/>
          </w:tcPr>
          <w:p>
            <w:pPr>
              <w:ind w:left="40"/>
              <w:spacing w:after="0" w:line="258" w:lineRule="exact"/>
              <w:rPr>
                <w:sz w:val="20"/>
                <w:szCs w:val="20"/>
                <w:color w:val="auto"/>
              </w:rPr>
            </w:pPr>
            <w:r>
              <w:rPr>
                <w:rFonts w:ascii="Arial" w:cs="Arial" w:eastAsia="Arial" w:hAnsi="Arial"/>
                <w:sz w:val="18"/>
                <w:szCs w:val="18"/>
                <w:color w:val="auto"/>
              </w:rPr>
              <w:t>Other Fees</w:t>
            </w:r>
            <w:r>
              <w:rPr>
                <w:rFonts w:ascii="Arial" w:cs="Arial" w:eastAsia="Arial" w:hAnsi="Arial"/>
                <w:sz w:val="29"/>
                <w:szCs w:val="29"/>
                <w:color w:val="auto"/>
                <w:vertAlign w:val="superscript"/>
              </w:rPr>
              <w:t>(4)</w:t>
            </w:r>
          </w:p>
        </w:tc>
        <w:tc>
          <w:tcPr>
            <w:tcW w:w="3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2,064</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2,064</w:t>
            </w: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40" w:type="dxa"/>
            <w:vAlign w:val="bottom"/>
          </w:tcPr>
          <w:p>
            <w:pPr>
              <w:spacing w:after="0"/>
              <w:rPr>
                <w:sz w:val="24"/>
                <w:szCs w:val="24"/>
                <w:color w:val="auto"/>
              </w:rPr>
            </w:pPr>
          </w:p>
        </w:tc>
        <w:tc>
          <w:tcPr>
            <w:tcW w:w="6500" w:type="dxa"/>
            <w:vAlign w:val="bottom"/>
            <w:gridSpan w:val="2"/>
          </w:tcPr>
          <w:p>
            <w:pPr>
              <w:ind w:left="40"/>
              <w:spacing w:after="0"/>
              <w:rPr>
                <w:sz w:val="20"/>
                <w:szCs w:val="20"/>
                <w:color w:val="auto"/>
              </w:rPr>
            </w:pPr>
            <w:r>
              <w:rPr>
                <w:rFonts w:ascii="Arial" w:cs="Arial" w:eastAsia="Arial" w:hAnsi="Arial"/>
                <w:sz w:val="18"/>
                <w:szCs w:val="18"/>
                <w:color w:val="auto"/>
              </w:rPr>
              <w:t>Total Fees</w:t>
            </w:r>
          </w:p>
        </w:tc>
        <w:tc>
          <w:tcPr>
            <w:tcW w:w="32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9,895,814</w:t>
            </w:r>
          </w:p>
        </w:tc>
        <w:tc>
          <w:tcPr>
            <w:tcW w:w="34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10,071,643</w:t>
            </w: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55"/>
        </w:trPr>
        <w:tc>
          <w:tcPr>
            <w:tcW w:w="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5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99" w:lineRule="exact"/>
        <w:rPr>
          <w:sz w:val="20"/>
          <w:szCs w:val="20"/>
          <w:color w:val="auto"/>
        </w:rPr>
      </w:pPr>
    </w:p>
    <w:p>
      <w:pPr>
        <w:ind w:left="1260" w:right="1120" w:hanging="346"/>
        <w:spacing w:after="0" w:line="256" w:lineRule="auto"/>
        <w:tabs>
          <w:tab w:leader="none" w:pos="12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Audit services include fees for professional services rendered for the audit of the Company’s annual financial statements and internal controls over financial reporting for the years ended December 31, 2021 and 2022, including out of pocket expenses, and reviews of the financial statements included in the Company’s Quarterly Reports on Form 10-Q. In addition, services include statutory audits required, and accounting consultations on matters related to the annual audits or interim reviews.</w:t>
      </w:r>
    </w:p>
    <w:p>
      <w:pPr>
        <w:spacing w:after="0" w:line="28" w:lineRule="exact"/>
        <w:rPr>
          <w:rFonts w:ascii="Arial" w:cs="Arial" w:eastAsia="Arial" w:hAnsi="Arial"/>
          <w:sz w:val="14"/>
          <w:szCs w:val="14"/>
          <w:color w:val="auto"/>
        </w:rPr>
      </w:pPr>
    </w:p>
    <w:p>
      <w:pPr>
        <w:ind w:left="1260" w:right="1040" w:hanging="346"/>
        <w:spacing w:after="0" w:line="263" w:lineRule="auto"/>
        <w:tabs>
          <w:tab w:leader="none" w:pos="12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Audit-related services are disclosed in the year incurred, based on when the work is performed. These services typically include due diligence in connection with acquisitions, accounting process advice, and agreed-upon procedures. We did not engage any such services during the years ended December 31, 2021 and 2022.</w:t>
      </w:r>
    </w:p>
    <w:p>
      <w:pPr>
        <w:spacing w:after="0" w:line="37" w:lineRule="exact"/>
        <w:rPr>
          <w:rFonts w:ascii="Arial" w:cs="Arial" w:eastAsia="Arial" w:hAnsi="Arial"/>
          <w:sz w:val="14"/>
          <w:szCs w:val="14"/>
          <w:color w:val="auto"/>
        </w:rPr>
      </w:pPr>
    </w:p>
    <w:p>
      <w:pPr>
        <w:ind w:left="1260" w:right="1020" w:hanging="346"/>
        <w:spacing w:after="0" w:line="285" w:lineRule="auto"/>
        <w:tabs>
          <w:tab w:leader="none" w:pos="12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Tax services are disclosed in the year incurred, based on when the work is performed. These services include tax compliance, tax advice, and tax planning during the years ended December 31, 2021 and 2022.</w:t>
      </w:r>
    </w:p>
    <w:p>
      <w:pPr>
        <w:spacing w:after="0" w:line="9" w:lineRule="exact"/>
        <w:rPr>
          <w:rFonts w:ascii="Arial" w:cs="Arial" w:eastAsia="Arial" w:hAnsi="Arial"/>
          <w:sz w:val="14"/>
          <w:szCs w:val="14"/>
          <w:color w:val="auto"/>
        </w:rPr>
      </w:pPr>
    </w:p>
    <w:p>
      <w:pPr>
        <w:ind w:left="1260" w:right="960" w:hanging="346"/>
        <w:spacing w:after="0" w:line="285" w:lineRule="auto"/>
        <w:tabs>
          <w:tab w:leader="none" w:pos="12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Services performed by Deloitte qualifying as “Other” for the years ended December 31, 2021 and 2022, are related to accounting research tools and permitted consultation services.</w:t>
      </w:r>
    </w:p>
    <w:p>
      <w:pPr>
        <w:spacing w:after="0" w:line="108" w:lineRule="exact"/>
        <w:rPr>
          <w:sz w:val="20"/>
          <w:szCs w:val="20"/>
          <w:color w:val="auto"/>
        </w:rPr>
      </w:pPr>
    </w:p>
    <w:p>
      <w:pPr>
        <w:ind w:left="920" w:right="960"/>
        <w:spacing w:after="0"/>
        <w:rPr>
          <w:sz w:val="20"/>
          <w:szCs w:val="20"/>
          <w:color w:val="auto"/>
        </w:rPr>
      </w:pPr>
      <w:r>
        <w:rPr>
          <w:rFonts w:ascii="Arial" w:cs="Arial" w:eastAsia="Arial" w:hAnsi="Arial"/>
          <w:sz w:val="18"/>
          <w:szCs w:val="18"/>
          <w:color w:val="auto"/>
        </w:rPr>
        <w:t>The Audit/Finance Committee has adopted policies and procedures that require the Company to obtain the Committee’s pre-approval of all audit and permissible non-audit services to be provided by the Company’s independent registered public accounting firm. Pre-approval is generally granted on a quarterly basis, is detailed as to the particular service or category of services to be provided and is granted after consideration of the estimated fees for each service or category of service. Actual fees and any changes to estimated fees for pre-approved services are reported to the Committee on a quarterly basis. In 2021 and 2022, all services were pre-approved in accordance with the charter of the Audit/Finance Committee.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-61-</w:t>
            </w:r>
          </w:p>
        </w:tc>
      </w:tr>
      <w:tr>
        <w:trPr>
          <w:trHeight w:val="233"/>
        </w:trPr>
        <w:tc>
          <w:tcPr>
            <w:tcW w:w="3160" w:type="dxa"/>
            <w:vAlign w:val="bottom"/>
            <w:tcBorders>
              <w:bottom w:val="single" w:sz="8" w:color="auto"/>
            </w:tcBorders>
          </w:tcPr>
          <w:p>
            <w:pPr>
              <w:spacing w:after="0"/>
              <w:rPr>
                <w:sz w:val="20"/>
                <w:szCs w:val="20"/>
                <w:color w:val="auto"/>
              </w:rPr>
            </w:pPr>
          </w:p>
        </w:tc>
        <w:tc>
          <w:tcPr>
            <w:tcW w:w="786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263" w:right="439" w:bottom="1440" w:gutter="0" w:footer="0" w:header="0"/>
        </w:sectPr>
      </w:pPr>
    </w:p>
    <w:bookmarkStart w:id="65" w:name="page66"/>
    <w:bookmarkEnd w:id="65"/>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2022 AUDIT/FINANCE COMMITTEE REPORT</w:t>
      </w:r>
    </w:p>
    <w:p>
      <w:pPr>
        <w:spacing w:after="0" w:line="185" w:lineRule="exact"/>
        <w:rPr>
          <w:sz w:val="20"/>
          <w:szCs w:val="20"/>
          <w:color w:val="auto"/>
        </w:rPr>
      </w:pPr>
    </w:p>
    <w:p>
      <w:pPr>
        <w:ind w:left="920" w:right="940"/>
        <w:spacing w:after="0"/>
        <w:rPr>
          <w:sz w:val="20"/>
          <w:szCs w:val="20"/>
          <w:color w:val="auto"/>
        </w:rPr>
      </w:pPr>
      <w:r>
        <w:rPr>
          <w:rFonts w:ascii="Arial" w:cs="Arial" w:eastAsia="Arial" w:hAnsi="Arial"/>
          <w:sz w:val="18"/>
          <w:szCs w:val="18"/>
          <w:color w:val="auto"/>
        </w:rPr>
        <w:t>The Audit/Finance Committee is composed of independent directors as defined by Rule 5605(a)(2) of the Nasdaq rules and acts under a written charter developed by the Committee and approved by the Board. Management is responsible for the Company’s internal controls and the financial reporting process. Deloitte &amp; Touche LLP, the Company’s independent registered public accounting firm in 2022, is responsible for performing an independent audit of the Company’s consolidated financial statements and internal control over financial reporting in accordance with auditing standards of the Public Company Accounting Oversight Board (United States) (the PCAOB) and for issuing a report thereon. The Committee’s responsibility is to monitor and oversee these processes on behalf of our Board of Directors.</w:t>
      </w:r>
    </w:p>
    <w:p>
      <w:pPr>
        <w:spacing w:after="0" w:line="140" w:lineRule="exact"/>
        <w:rPr>
          <w:sz w:val="20"/>
          <w:szCs w:val="20"/>
          <w:color w:val="auto"/>
        </w:rPr>
      </w:pPr>
    </w:p>
    <w:p>
      <w:pPr>
        <w:ind w:left="920" w:right="1220"/>
        <w:spacing w:after="0" w:line="271" w:lineRule="auto"/>
        <w:rPr>
          <w:sz w:val="20"/>
          <w:szCs w:val="20"/>
          <w:color w:val="auto"/>
        </w:rPr>
      </w:pPr>
      <w:r>
        <w:rPr>
          <w:rFonts w:ascii="Arial" w:cs="Arial" w:eastAsia="Arial" w:hAnsi="Arial"/>
          <w:sz w:val="18"/>
          <w:szCs w:val="18"/>
          <w:color w:val="auto"/>
        </w:rPr>
        <w:t>In connection with the December 31, 2022 financial statements, the Audit/Finance Committee hereby reports as follows:</w:t>
      </w:r>
    </w:p>
    <w:p>
      <w:pPr>
        <w:spacing w:after="0" w:line="113" w:lineRule="exact"/>
        <w:rPr>
          <w:sz w:val="20"/>
          <w:szCs w:val="20"/>
          <w:color w:val="auto"/>
        </w:rPr>
      </w:pPr>
    </w:p>
    <w:p>
      <w:pPr>
        <w:ind w:left="1620" w:right="1000" w:hanging="346"/>
        <w:spacing w:after="0" w:line="271" w:lineRule="auto"/>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Audit/Finance Committee has reviewed and discussed the audited financial statements and report on internal control over financial reporting with management.</w:t>
      </w:r>
    </w:p>
    <w:p>
      <w:pPr>
        <w:spacing w:after="0" w:line="126" w:lineRule="exact"/>
        <w:rPr>
          <w:rFonts w:ascii="Arial" w:cs="Arial" w:eastAsia="Arial" w:hAnsi="Arial"/>
          <w:sz w:val="18"/>
          <w:szCs w:val="18"/>
          <w:color w:val="auto"/>
        </w:rPr>
      </w:pPr>
    </w:p>
    <w:p>
      <w:pPr>
        <w:ind w:left="1620" w:right="1220" w:hanging="346"/>
        <w:spacing w:after="0" w:line="271" w:lineRule="auto"/>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Audit/Finance Committee has discussed with the independent auditors the matters required by the applicable requirements of the PCAOB and the SEC.</w:t>
      </w:r>
    </w:p>
    <w:p>
      <w:pPr>
        <w:spacing w:after="0" w:line="113" w:lineRule="exact"/>
        <w:rPr>
          <w:rFonts w:ascii="Arial" w:cs="Arial" w:eastAsia="Arial" w:hAnsi="Arial"/>
          <w:sz w:val="18"/>
          <w:szCs w:val="18"/>
          <w:color w:val="auto"/>
        </w:rPr>
      </w:pPr>
    </w:p>
    <w:p>
      <w:pPr>
        <w:ind w:left="1620" w:right="1320" w:hanging="346"/>
        <w:spacing w:after="0" w:line="247" w:lineRule="auto"/>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Audit/Finance Committee has received the written disclosures and the letter from the auditors, as required by applicable requirements of the PCAOB regarding the independent accountant’s communications with the Audit/Finance Committee concerning independence and discussed with the auditors the auditors’ independence.</w:t>
      </w:r>
    </w:p>
    <w:p>
      <w:pPr>
        <w:spacing w:after="0" w:line="133" w:lineRule="exact"/>
        <w:rPr>
          <w:rFonts w:ascii="Arial" w:cs="Arial" w:eastAsia="Arial" w:hAnsi="Arial"/>
          <w:sz w:val="18"/>
          <w:szCs w:val="18"/>
          <w:color w:val="auto"/>
        </w:rPr>
      </w:pPr>
    </w:p>
    <w:p>
      <w:pPr>
        <w:ind w:left="1620" w:right="960" w:hanging="346"/>
        <w:spacing w:after="0" w:line="253" w:lineRule="auto"/>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upon these reviews and discussions, the Audit/Finance Committee has recommended to the Board of Directors and the Board has approved, that the Company’s audited financial statements be included in its Annual Report on Form 10-K for the year ended December 31, 2022 and filed with the SEC.</w:t>
      </w:r>
    </w:p>
    <w:p>
      <w:pPr>
        <w:spacing w:after="0" w:line="103" w:lineRule="exact"/>
        <w:rPr>
          <w:sz w:val="20"/>
          <w:szCs w:val="20"/>
          <w:color w:val="auto"/>
        </w:rPr>
      </w:pPr>
    </w:p>
    <w:p>
      <w:pPr>
        <w:ind w:left="5100"/>
        <w:spacing w:after="0"/>
        <w:rPr>
          <w:sz w:val="20"/>
          <w:szCs w:val="20"/>
          <w:color w:val="auto"/>
        </w:rPr>
      </w:pPr>
      <w:r>
        <w:rPr>
          <w:rFonts w:ascii="Arial" w:cs="Arial" w:eastAsia="Arial" w:hAnsi="Arial"/>
          <w:sz w:val="18"/>
          <w:szCs w:val="18"/>
          <w:i w:val="1"/>
          <w:iCs w:val="1"/>
          <w:color w:val="auto"/>
        </w:rPr>
        <w:t>Audit/Finance Committee</w:t>
      </w:r>
    </w:p>
    <w:p>
      <w:pPr>
        <w:spacing w:after="0" w:line="304"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Timothy M. Leyden, Chair</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Mary C. Hemmingsen</w:t>
      </w:r>
    </w:p>
    <w:p>
      <w:pPr>
        <w:ind w:left="5100"/>
        <w:spacing w:after="0" w:line="234" w:lineRule="auto"/>
        <w:rPr>
          <w:sz w:val="20"/>
          <w:szCs w:val="20"/>
          <w:color w:val="auto"/>
        </w:rPr>
      </w:pPr>
      <w:r>
        <w:rPr>
          <w:rFonts w:ascii="Arial" w:cs="Arial" w:eastAsia="Arial" w:hAnsi="Arial"/>
          <w:sz w:val="18"/>
          <w:szCs w:val="18"/>
          <w:color w:val="auto"/>
        </w:rPr>
        <w:t>Jerome J. Lande</w:t>
      </w:r>
    </w:p>
    <w:p>
      <w:pPr>
        <w:spacing w:after="0" w:line="1"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Gary E. Pruitt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-62-</w:t>
            </w:r>
          </w:p>
        </w:tc>
      </w:tr>
      <w:tr>
        <w:trPr>
          <w:trHeight w:val="219"/>
        </w:trPr>
        <w:tc>
          <w:tcPr>
            <w:tcW w:w="316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66" w:name="page67"/>
    <w:bookmarkEnd w:id="66"/>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85" w:lineRule="exact"/>
        <w:rPr>
          <w:sz w:val="20"/>
          <w:szCs w:val="20"/>
          <w:color w:val="auto"/>
        </w:rPr>
      </w:pPr>
    </w:p>
    <w:p>
      <w:pPr>
        <w:ind w:left="920" w:right="1320"/>
        <w:spacing w:after="0" w:line="271" w:lineRule="auto"/>
        <w:rPr>
          <w:sz w:val="20"/>
          <w:szCs w:val="20"/>
          <w:color w:val="auto"/>
        </w:rPr>
      </w:pPr>
      <w:r>
        <w:rPr>
          <w:rFonts w:ascii="Arial" w:cs="Arial" w:eastAsia="Arial" w:hAnsi="Arial"/>
          <w:sz w:val="18"/>
          <w:szCs w:val="18"/>
          <w:color w:val="auto"/>
        </w:rPr>
        <w:t>The following table gives certain information about our equity compensation plans in effect as of December 31, 2022.</w:t>
      </w:r>
    </w:p>
    <w:p>
      <w:pPr>
        <w:spacing w:after="0" w:line="69" w:lineRule="exact"/>
        <w:rPr>
          <w:sz w:val="20"/>
          <w:szCs w:val="20"/>
          <w:color w:val="auto"/>
        </w:rPr>
      </w:pPr>
    </w:p>
    <w:tbl>
      <w:tblPr>
        <w:tblLayout w:type="fixed"/>
        <w:tblInd w:w="224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0" w:type="dxa"/>
            <w:vAlign w:val="bottom"/>
          </w:tcPr>
          <w:p>
            <w:pPr>
              <w:jc w:val="center"/>
              <w:ind w:left="88"/>
              <w:spacing w:after="0"/>
              <w:rPr>
                <w:sz w:val="20"/>
                <w:szCs w:val="20"/>
                <w:color w:val="auto"/>
              </w:rPr>
            </w:pPr>
            <w:r>
              <w:rPr>
                <w:rFonts w:ascii="Arial" w:cs="Arial" w:eastAsia="Arial" w:hAnsi="Arial"/>
                <w:sz w:val="14"/>
                <w:szCs w:val="14"/>
                <w:b w:val="1"/>
                <w:bCs w:val="1"/>
                <w:color w:val="auto"/>
              </w:rPr>
              <w:t>Number of Shares</w:t>
            </w:r>
          </w:p>
        </w:tc>
      </w:tr>
      <w:tr>
        <w:trPr>
          <w:trHeight w:val="162"/>
        </w:trPr>
        <w:tc>
          <w:tcPr>
            <w:tcW w:w="1700" w:type="dxa"/>
            <w:vAlign w:val="bottom"/>
          </w:tcPr>
          <w:p>
            <w:pPr>
              <w:spacing w:after="0"/>
              <w:rPr>
                <w:sz w:val="14"/>
                <w:szCs w:val="14"/>
                <w:color w:val="auto"/>
              </w:rPr>
            </w:pPr>
          </w:p>
        </w:tc>
        <w:tc>
          <w:tcPr>
            <w:tcW w:w="2400" w:type="dxa"/>
            <w:vAlign w:val="bottom"/>
          </w:tcPr>
          <w:p>
            <w:pPr>
              <w:jc w:val="center"/>
              <w:ind w:left="468"/>
              <w:spacing w:after="0"/>
              <w:rPr>
                <w:sz w:val="20"/>
                <w:szCs w:val="20"/>
                <w:color w:val="auto"/>
              </w:rPr>
            </w:pPr>
            <w:r>
              <w:rPr>
                <w:rFonts w:ascii="Arial" w:cs="Arial" w:eastAsia="Arial" w:hAnsi="Arial"/>
                <w:sz w:val="14"/>
                <w:szCs w:val="14"/>
                <w:b w:val="1"/>
                <w:bCs w:val="1"/>
                <w:color w:val="auto"/>
              </w:rPr>
              <w:t>Number of Shares to</w:t>
            </w:r>
          </w:p>
        </w:tc>
        <w:tc>
          <w:tcPr>
            <w:tcW w:w="1820" w:type="dxa"/>
            <w:vAlign w:val="bottom"/>
          </w:tcPr>
          <w:p>
            <w:pPr>
              <w:spacing w:after="0"/>
              <w:rPr>
                <w:sz w:val="14"/>
                <w:szCs w:val="14"/>
                <w:color w:val="auto"/>
              </w:rPr>
            </w:pPr>
          </w:p>
        </w:tc>
        <w:tc>
          <w:tcPr>
            <w:tcW w:w="1800" w:type="dxa"/>
            <w:vAlign w:val="bottom"/>
          </w:tcPr>
          <w:p>
            <w:pPr>
              <w:jc w:val="center"/>
              <w:ind w:left="88"/>
              <w:spacing w:after="0"/>
              <w:rPr>
                <w:sz w:val="20"/>
                <w:szCs w:val="20"/>
                <w:color w:val="auto"/>
              </w:rPr>
            </w:pPr>
            <w:r>
              <w:rPr>
                <w:rFonts w:ascii="Arial" w:cs="Arial" w:eastAsia="Arial" w:hAnsi="Arial"/>
                <w:sz w:val="14"/>
                <w:szCs w:val="14"/>
                <w:b w:val="1"/>
                <w:bCs w:val="1"/>
                <w:color w:val="auto"/>
              </w:rPr>
              <w:t>Remaining Available</w:t>
            </w:r>
          </w:p>
        </w:tc>
      </w:tr>
      <w:tr>
        <w:trPr>
          <w:trHeight w:val="162"/>
        </w:trPr>
        <w:tc>
          <w:tcPr>
            <w:tcW w:w="1700" w:type="dxa"/>
            <w:vAlign w:val="bottom"/>
          </w:tcPr>
          <w:p>
            <w:pPr>
              <w:spacing w:after="0"/>
              <w:rPr>
                <w:sz w:val="14"/>
                <w:szCs w:val="14"/>
                <w:color w:val="auto"/>
              </w:rPr>
            </w:pPr>
          </w:p>
        </w:tc>
        <w:tc>
          <w:tcPr>
            <w:tcW w:w="2400" w:type="dxa"/>
            <w:vAlign w:val="bottom"/>
          </w:tcPr>
          <w:p>
            <w:pPr>
              <w:jc w:val="center"/>
              <w:ind w:left="488"/>
              <w:spacing w:after="0"/>
              <w:rPr>
                <w:sz w:val="20"/>
                <w:szCs w:val="20"/>
                <w:color w:val="auto"/>
              </w:rPr>
            </w:pPr>
            <w:r>
              <w:rPr>
                <w:rFonts w:ascii="Arial" w:cs="Arial" w:eastAsia="Arial" w:hAnsi="Arial"/>
                <w:sz w:val="14"/>
                <w:szCs w:val="14"/>
                <w:b w:val="1"/>
                <w:bCs w:val="1"/>
                <w:color w:val="auto"/>
              </w:rPr>
              <w:t>Be Issued Upon</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c>
          <w:tcPr>
            <w:tcW w:w="1800" w:type="dxa"/>
            <w:vAlign w:val="bottom"/>
          </w:tcPr>
          <w:p>
            <w:pPr>
              <w:jc w:val="center"/>
              <w:ind w:left="108"/>
              <w:spacing w:after="0"/>
              <w:rPr>
                <w:sz w:val="20"/>
                <w:szCs w:val="20"/>
                <w:color w:val="auto"/>
              </w:rPr>
            </w:pPr>
            <w:r>
              <w:rPr>
                <w:rFonts w:ascii="Arial" w:cs="Arial" w:eastAsia="Arial" w:hAnsi="Arial"/>
                <w:sz w:val="14"/>
                <w:szCs w:val="14"/>
                <w:b w:val="1"/>
                <w:bCs w:val="1"/>
                <w:color w:val="auto"/>
              </w:rPr>
              <w:t>for Issuance Under</w:t>
            </w:r>
          </w:p>
        </w:tc>
      </w:tr>
      <w:tr>
        <w:trPr>
          <w:trHeight w:val="162"/>
        </w:trPr>
        <w:tc>
          <w:tcPr>
            <w:tcW w:w="1700" w:type="dxa"/>
            <w:vAlign w:val="bottom"/>
          </w:tcPr>
          <w:p>
            <w:pPr>
              <w:spacing w:after="0"/>
              <w:rPr>
                <w:sz w:val="14"/>
                <w:szCs w:val="14"/>
                <w:color w:val="auto"/>
              </w:rPr>
            </w:pPr>
          </w:p>
        </w:tc>
        <w:tc>
          <w:tcPr>
            <w:tcW w:w="2400" w:type="dxa"/>
            <w:vAlign w:val="bottom"/>
          </w:tcPr>
          <w:p>
            <w:pPr>
              <w:jc w:val="center"/>
              <w:ind w:left="488"/>
              <w:spacing w:after="0"/>
              <w:rPr>
                <w:sz w:val="20"/>
                <w:szCs w:val="20"/>
                <w:color w:val="auto"/>
              </w:rPr>
            </w:pPr>
            <w:r>
              <w:rPr>
                <w:rFonts w:ascii="Arial" w:cs="Arial" w:eastAsia="Arial" w:hAnsi="Arial"/>
                <w:sz w:val="14"/>
                <w:szCs w:val="14"/>
                <w:b w:val="1"/>
                <w:bCs w:val="1"/>
                <w:color w:val="auto"/>
              </w:rPr>
              <w:t>Exercise of</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Exercise Price of</w:t>
            </w:r>
          </w:p>
        </w:tc>
        <w:tc>
          <w:tcPr>
            <w:tcW w:w="1800" w:type="dxa"/>
            <w:vAlign w:val="bottom"/>
          </w:tcPr>
          <w:p>
            <w:pPr>
              <w:jc w:val="center"/>
              <w:ind w:left="88"/>
              <w:spacing w:after="0"/>
              <w:rPr>
                <w:sz w:val="20"/>
                <w:szCs w:val="20"/>
                <w:color w:val="auto"/>
              </w:rPr>
            </w:pPr>
            <w:r>
              <w:rPr>
                <w:rFonts w:ascii="Arial" w:cs="Arial" w:eastAsia="Arial" w:hAnsi="Arial"/>
                <w:sz w:val="14"/>
                <w:szCs w:val="14"/>
                <w:b w:val="1"/>
                <w:bCs w:val="1"/>
                <w:color w:val="auto"/>
              </w:rPr>
              <w:t>Equity Compensation</w:t>
            </w:r>
          </w:p>
        </w:tc>
      </w:tr>
      <w:tr>
        <w:trPr>
          <w:trHeight w:val="162"/>
        </w:trPr>
        <w:tc>
          <w:tcPr>
            <w:tcW w:w="1700" w:type="dxa"/>
            <w:vAlign w:val="bottom"/>
          </w:tcPr>
          <w:p>
            <w:pPr>
              <w:spacing w:after="0"/>
              <w:rPr>
                <w:sz w:val="14"/>
                <w:szCs w:val="14"/>
                <w:color w:val="auto"/>
              </w:rPr>
            </w:pPr>
          </w:p>
        </w:tc>
        <w:tc>
          <w:tcPr>
            <w:tcW w:w="2400" w:type="dxa"/>
            <w:vAlign w:val="bottom"/>
          </w:tcPr>
          <w:p>
            <w:pPr>
              <w:jc w:val="center"/>
              <w:ind w:left="488"/>
              <w:spacing w:after="0"/>
              <w:rPr>
                <w:sz w:val="20"/>
                <w:szCs w:val="20"/>
                <w:color w:val="auto"/>
              </w:rPr>
            </w:pPr>
            <w:r>
              <w:rPr>
                <w:rFonts w:ascii="Arial" w:cs="Arial" w:eastAsia="Arial" w:hAnsi="Arial"/>
                <w:sz w:val="14"/>
                <w:szCs w:val="14"/>
                <w:b w:val="1"/>
                <w:bCs w:val="1"/>
                <w:color w:val="auto"/>
              </w:rPr>
              <w:t>Outstanding Options,</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Outstanding Options,</w:t>
            </w:r>
          </w:p>
        </w:tc>
        <w:tc>
          <w:tcPr>
            <w:tcW w:w="1800" w:type="dxa"/>
            <w:vAlign w:val="bottom"/>
          </w:tcPr>
          <w:p>
            <w:pPr>
              <w:jc w:val="center"/>
              <w:ind w:left="88"/>
              <w:spacing w:after="0"/>
              <w:rPr>
                <w:sz w:val="20"/>
                <w:szCs w:val="20"/>
                <w:color w:val="auto"/>
              </w:rPr>
            </w:pPr>
            <w:r>
              <w:rPr>
                <w:rFonts w:ascii="Arial" w:cs="Arial" w:eastAsia="Arial" w:hAnsi="Arial"/>
                <w:sz w:val="14"/>
                <w:szCs w:val="14"/>
                <w:b w:val="1"/>
                <w:bCs w:val="1"/>
                <w:color w:val="auto"/>
              </w:rPr>
              <w:t>Plans (excluding shares</w:t>
            </w:r>
          </w:p>
        </w:tc>
      </w:tr>
      <w:tr>
        <w:trPr>
          <w:trHeight w:val="162"/>
        </w:trPr>
        <w:tc>
          <w:tcPr>
            <w:tcW w:w="1700" w:type="dxa"/>
            <w:vAlign w:val="bottom"/>
          </w:tcPr>
          <w:p>
            <w:pPr>
              <w:spacing w:after="0"/>
              <w:rPr>
                <w:sz w:val="14"/>
                <w:szCs w:val="14"/>
                <w:color w:val="auto"/>
              </w:rPr>
            </w:pPr>
          </w:p>
        </w:tc>
        <w:tc>
          <w:tcPr>
            <w:tcW w:w="2400" w:type="dxa"/>
            <w:vAlign w:val="bottom"/>
          </w:tcPr>
          <w:p>
            <w:pPr>
              <w:jc w:val="center"/>
              <w:ind w:left="488"/>
              <w:spacing w:after="0"/>
              <w:rPr>
                <w:sz w:val="20"/>
                <w:szCs w:val="20"/>
                <w:color w:val="auto"/>
              </w:rPr>
            </w:pPr>
            <w:r>
              <w:rPr>
                <w:rFonts w:ascii="Arial" w:cs="Arial" w:eastAsia="Arial" w:hAnsi="Arial"/>
                <w:sz w:val="14"/>
                <w:szCs w:val="14"/>
                <w:b w:val="1"/>
                <w:bCs w:val="1"/>
                <w:color w:val="auto"/>
              </w:rPr>
              <w:t>Warrants and Rights</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1800" w:type="dxa"/>
            <w:vAlign w:val="bottom"/>
          </w:tcPr>
          <w:p>
            <w:pPr>
              <w:jc w:val="center"/>
              <w:ind w:left="108"/>
              <w:spacing w:after="0"/>
              <w:rPr>
                <w:sz w:val="20"/>
                <w:szCs w:val="20"/>
                <w:color w:val="auto"/>
              </w:rPr>
            </w:pPr>
            <w:r>
              <w:rPr>
                <w:rFonts w:ascii="Arial" w:cs="Arial" w:eastAsia="Arial" w:hAnsi="Arial"/>
                <w:sz w:val="14"/>
                <w:szCs w:val="14"/>
                <w:b w:val="1"/>
                <w:bCs w:val="1"/>
                <w:color w:val="auto"/>
              </w:rPr>
              <w:t>reflected in column (a))</w:t>
            </w:r>
          </w:p>
        </w:tc>
      </w:tr>
      <w:tr>
        <w:trPr>
          <w:trHeight w:val="196"/>
        </w:trPr>
        <w:tc>
          <w:tcPr>
            <w:tcW w:w="170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2400" w:type="dxa"/>
            <w:vAlign w:val="bottom"/>
          </w:tcPr>
          <w:p>
            <w:pPr>
              <w:jc w:val="center"/>
              <w:ind w:left="508"/>
              <w:spacing w:after="0"/>
              <w:rPr>
                <w:sz w:val="20"/>
                <w:szCs w:val="20"/>
                <w:color w:val="auto"/>
              </w:rPr>
            </w:pPr>
            <w:r>
              <w:rPr>
                <w:rFonts w:ascii="Arial" w:cs="Arial" w:eastAsia="Arial" w:hAnsi="Arial"/>
                <w:sz w:val="14"/>
                <w:szCs w:val="14"/>
                <w:b w:val="1"/>
                <w:bCs w:val="1"/>
                <w:color w:val="auto"/>
              </w:rPr>
              <w:t>(a)</w:t>
            </w:r>
          </w:p>
        </w:tc>
        <w:tc>
          <w:tcPr>
            <w:tcW w:w="1820" w:type="dxa"/>
            <w:vAlign w:val="bottom"/>
          </w:tcPr>
          <w:p>
            <w:pPr>
              <w:jc w:val="center"/>
              <w:ind w:left="28"/>
              <w:spacing w:after="0"/>
              <w:rPr>
                <w:sz w:val="20"/>
                <w:szCs w:val="20"/>
                <w:color w:val="auto"/>
              </w:rPr>
            </w:pPr>
            <w:r>
              <w:rPr>
                <w:rFonts w:ascii="Arial" w:cs="Arial" w:eastAsia="Arial" w:hAnsi="Arial"/>
                <w:sz w:val="14"/>
                <w:szCs w:val="14"/>
                <w:b w:val="1"/>
                <w:bCs w:val="1"/>
                <w:color w:val="auto"/>
              </w:rPr>
              <w:t>(b)</w:t>
            </w:r>
          </w:p>
        </w:tc>
        <w:tc>
          <w:tcPr>
            <w:tcW w:w="1800" w:type="dxa"/>
            <w:vAlign w:val="bottom"/>
          </w:tcPr>
          <w:p>
            <w:pPr>
              <w:jc w:val="center"/>
              <w:ind w:left="148"/>
              <w:spacing w:after="0"/>
              <w:rPr>
                <w:sz w:val="20"/>
                <w:szCs w:val="20"/>
                <w:color w:val="auto"/>
              </w:rPr>
            </w:pPr>
            <w:r>
              <w:rPr>
                <w:rFonts w:ascii="Arial" w:cs="Arial" w:eastAsia="Arial" w:hAnsi="Arial"/>
                <w:sz w:val="14"/>
                <w:szCs w:val="14"/>
                <w:b w:val="1"/>
                <w:bCs w:val="1"/>
                <w:color w:val="auto"/>
              </w:rPr>
              <w:t>(c)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35560</wp:posOffset>
            </wp:positionV>
            <wp:extent cx="575183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51830"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p>
      <w:pPr>
        <w:spacing w:after="0" w:line="132" w:lineRule="exact"/>
        <w:rPr>
          <w:sz w:val="20"/>
          <w:szCs w:val="20"/>
          <w:color w:val="auto"/>
        </w:rPr>
      </w:pPr>
    </w:p>
    <w:p>
      <w:pPr>
        <w:ind w:left="1180" w:right="120" w:hanging="179"/>
        <w:spacing w:after="0" w:line="269" w:lineRule="auto"/>
        <w:rPr>
          <w:sz w:val="20"/>
          <w:szCs w:val="20"/>
          <w:color w:val="auto"/>
        </w:rPr>
      </w:pPr>
      <w:r>
        <w:rPr>
          <w:rFonts w:ascii="Arial" w:cs="Arial" w:eastAsia="Arial" w:hAnsi="Arial"/>
          <w:sz w:val="18"/>
          <w:szCs w:val="18"/>
          <w:color w:val="auto"/>
        </w:rPr>
        <w:t>Equity Compensation Plans Approved by Shareholders</w:t>
      </w:r>
      <w:r>
        <w:rPr>
          <w:rFonts w:ascii="Arial" w:cs="Arial" w:eastAsia="Arial" w:hAnsi="Arial"/>
          <w:sz w:val="29"/>
          <w:szCs w:val="29"/>
          <w:color w:val="auto"/>
          <w:vertAlign w:val="superscript"/>
        </w:rPr>
        <w:t>(1)</w:t>
      </w:r>
    </w:p>
    <w:p>
      <w:pPr>
        <w:spacing w:after="0" w:line="2" w:lineRule="exact"/>
        <w:rPr>
          <w:sz w:val="20"/>
          <w:szCs w:val="20"/>
          <w:color w:val="auto"/>
        </w:rPr>
      </w:pPr>
    </w:p>
    <w:p>
      <w:pPr>
        <w:ind w:left="1180" w:right="40" w:hanging="179"/>
        <w:spacing w:after="0" w:line="271" w:lineRule="auto"/>
        <w:rPr>
          <w:sz w:val="20"/>
          <w:szCs w:val="20"/>
          <w:color w:val="auto"/>
        </w:rPr>
      </w:pPr>
      <w:r>
        <w:rPr>
          <w:rFonts w:ascii="Arial" w:cs="Arial" w:eastAsia="Arial" w:hAnsi="Arial"/>
          <w:sz w:val="18"/>
          <w:szCs w:val="18"/>
          <w:color w:val="auto"/>
        </w:rPr>
        <w:t>Equity Compensation Plans Not Approved by Shareholders</w:t>
      </w:r>
    </w:p>
    <w:p>
      <w:pPr>
        <w:spacing w:after="0" w:line="9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163195</wp:posOffset>
            </wp:positionV>
            <wp:extent cx="8229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01"/>
        </w:trPr>
        <w:tc>
          <w:tcPr>
            <w:tcW w:w="640" w:type="dxa"/>
            <w:vAlign w:val="bottom"/>
          </w:tcPr>
          <w:p>
            <w:pPr>
              <w:jc w:val="right"/>
              <w:spacing w:after="0"/>
              <w:rPr>
                <w:sz w:val="20"/>
                <w:szCs w:val="20"/>
                <w:color w:val="auto"/>
              </w:rPr>
            </w:pPr>
            <w:r>
              <w:rPr>
                <w:rFonts w:ascii="Arial" w:cs="Arial" w:eastAsia="Arial" w:hAnsi="Arial"/>
                <w:sz w:val="18"/>
                <w:szCs w:val="18"/>
                <w:color w:val="auto"/>
                <w:w w:val="95"/>
              </w:rPr>
              <w:t>​909,065</w:t>
            </w:r>
          </w:p>
        </w:tc>
        <w:tc>
          <w:tcPr>
            <w:tcW w:w="2500" w:type="dxa"/>
            <w:vAlign w:val="bottom"/>
            <w:gridSpan w:val="4"/>
          </w:tcPr>
          <w:p>
            <w:pPr>
              <w:jc w:val="right"/>
              <w:ind w:right="500"/>
              <w:spacing w:after="0"/>
              <w:rPr>
                <w:sz w:val="20"/>
                <w:szCs w:val="20"/>
                <w:color w:val="auto"/>
              </w:rPr>
            </w:pPr>
            <w:r>
              <w:rPr>
                <w:rFonts w:ascii="Arial" w:cs="Arial" w:eastAsia="Arial" w:hAnsi="Arial"/>
                <w:sz w:val="18"/>
                <w:szCs w:val="18"/>
                <w:color w:val="auto"/>
              </w:rPr>
              <w:t>$60.63</w:t>
            </w:r>
            <w:r>
              <w:rPr>
                <w:rFonts w:ascii="Arial" w:cs="Arial" w:eastAsia="Arial" w:hAnsi="Arial"/>
                <w:sz w:val="29"/>
                <w:szCs w:val="29"/>
                <w:color w:val="auto"/>
                <w:vertAlign w:val="superscript"/>
              </w:rPr>
              <w:t>(2)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4,673,709​</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w w:val="97"/>
              </w:rPr>
              <w:t>(3)</w:t>
            </w:r>
          </w:p>
        </w:tc>
      </w:tr>
      <w:tr>
        <w:trPr>
          <w:trHeight w:val="423"/>
        </w:trPr>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4"/>
                <w:szCs w:val="24"/>
                <w:color w:val="auto"/>
              </w:rPr>
            </w:pPr>
          </w:p>
        </w:tc>
        <w:tc>
          <w:tcPr>
            <w:tcW w:w="124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85"/>
        </w:trPr>
        <w:tc>
          <w:tcPr>
            <w:tcW w:w="640" w:type="dxa"/>
            <w:vAlign w:val="bottom"/>
          </w:tcPr>
          <w:p>
            <w:pPr>
              <w:jc w:val="right"/>
              <w:spacing w:after="0"/>
              <w:rPr>
                <w:sz w:val="20"/>
                <w:szCs w:val="20"/>
                <w:color w:val="auto"/>
              </w:rPr>
            </w:pPr>
            <w:r>
              <w:rPr>
                <w:rFonts w:ascii="Arial" w:cs="Arial" w:eastAsia="Arial" w:hAnsi="Arial"/>
                <w:sz w:val="18"/>
                <w:szCs w:val="18"/>
                <w:color w:val="auto"/>
                <w:w w:val="95"/>
              </w:rPr>
              <w:t>​909,065</w:t>
            </w:r>
          </w:p>
        </w:tc>
        <w:tc>
          <w:tcPr>
            <w:tcW w:w="1260" w:type="dxa"/>
            <w:vAlign w:val="bottom"/>
          </w:tcPr>
          <w:p>
            <w:pPr>
              <w:spacing w:after="0"/>
              <w:rPr>
                <w:sz w:val="24"/>
                <w:szCs w:val="24"/>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60.63</w:t>
            </w:r>
            <w:r>
              <w:rPr>
                <w:rFonts w:ascii="Arial" w:cs="Arial" w:eastAsia="Arial" w:hAnsi="Arial"/>
                <w:sz w:val="29"/>
                <w:szCs w:val="29"/>
                <w:color w:val="auto"/>
                <w:w w:val="91"/>
                <w:vertAlign w:val="superscript"/>
              </w:rPr>
              <w:t>(2)</w:t>
            </w: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​4,673,709</w:t>
            </w:r>
            <w:r>
              <w:rPr>
                <w:rFonts w:ascii="Arial" w:cs="Arial" w:eastAsia="Arial" w:hAnsi="Arial"/>
                <w:sz w:val="29"/>
                <w:szCs w:val="29"/>
                <w:color w:val="auto"/>
                <w:vertAlign w:val="superscript"/>
              </w:rPr>
              <w:t>(3)</w:t>
            </w:r>
          </w:p>
        </w:tc>
      </w:tr>
      <w:tr>
        <w:trPr>
          <w:trHeight w:val="21"/>
        </w:trPr>
        <w:tc>
          <w:tcPr>
            <w:tcW w:w="6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400" w:space="720"/>
            <w:col w:w="5900"/>
          </w:cols>
          <w:pgMar w:left="440" w:top="263" w:right="439" w:bottom="1440" w:gutter="0" w:footer="0" w:header="0"/>
          <w:type w:val="continuous"/>
        </w:sectPr>
      </w:pPr>
    </w:p>
    <w:p>
      <w:pPr>
        <w:spacing w:after="0" w:line="61" w:lineRule="exact"/>
        <w:rPr>
          <w:sz w:val="20"/>
          <w:szCs w:val="20"/>
          <w:color w:val="auto"/>
        </w:rPr>
      </w:pPr>
    </w:p>
    <w:p>
      <w:pPr>
        <w:ind w:left="1260" w:right="1320" w:hanging="346"/>
        <w:spacing w:after="0" w:line="263" w:lineRule="auto"/>
        <w:tabs>
          <w:tab w:leader="none" w:pos="12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Under the provisions of the Second A&amp;R 2010 Plan, the Company may grant stock awards, stock units, performance shares, stock appreciation rights, and performance units (collectively Awards) in addition to stock options. For purposes of this table, the number of PRSUs included are determined based on achievement of target performance goals.</w:t>
      </w:r>
    </w:p>
    <w:p>
      <w:pPr>
        <w:spacing w:after="0" w:line="37" w:lineRule="exact"/>
        <w:rPr>
          <w:rFonts w:ascii="Arial" w:cs="Arial" w:eastAsia="Arial" w:hAnsi="Arial"/>
          <w:sz w:val="14"/>
          <w:szCs w:val="14"/>
          <w:color w:val="auto"/>
        </w:rPr>
      </w:pPr>
    </w:p>
    <w:p>
      <w:pPr>
        <w:ind w:left="1260" w:right="1580" w:hanging="346"/>
        <w:spacing w:after="0" w:line="285" w:lineRule="auto"/>
        <w:tabs>
          <w:tab w:leader="none" w:pos="12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weighted-average exercise price pertains only to outstanding options and excludes 505,809 shares issuable upon vesting of outstanding Awards.</w:t>
      </w:r>
    </w:p>
    <w:p>
      <w:pPr>
        <w:spacing w:after="0" w:line="9" w:lineRule="exact"/>
        <w:rPr>
          <w:rFonts w:ascii="Arial" w:cs="Arial" w:eastAsia="Arial" w:hAnsi="Arial"/>
          <w:sz w:val="14"/>
          <w:szCs w:val="14"/>
          <w:color w:val="auto"/>
        </w:rPr>
      </w:pPr>
    </w:p>
    <w:p>
      <w:pPr>
        <w:ind w:left="1260" w:right="960" w:hanging="346"/>
        <w:spacing w:after="0" w:line="285" w:lineRule="auto"/>
        <w:tabs>
          <w:tab w:leader="none" w:pos="12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This number includes 4,602,456 shares available for issuance under the Second A&amp;R 2010 Plan and 71,253 shares available for issuance under the 2012 Employee Stock Purchase Plan, as amended.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-63-</w:t>
            </w:r>
          </w:p>
        </w:tc>
      </w:tr>
      <w:tr>
        <w:trPr>
          <w:trHeight w:val="219"/>
        </w:trPr>
        <w:tc>
          <w:tcPr>
            <w:tcW w:w="316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type w:val="continuous"/>
        </w:sectPr>
      </w:pPr>
    </w:p>
    <w:bookmarkStart w:id="67" w:name="page68"/>
    <w:bookmarkEnd w:id="67"/>
    <w:p>
      <w:pPr>
        <w:ind w:left="6"/>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6" w:right="2180"/>
        <w:spacing w:after="0" w:line="414" w:lineRule="auto"/>
        <w:rPr>
          <w:sz w:val="20"/>
          <w:szCs w:val="20"/>
          <w:color w:val="auto"/>
        </w:rPr>
      </w:pPr>
      <w:r>
        <w:rPr>
          <w:rFonts w:ascii="Arial" w:cs="Arial" w:eastAsia="Arial" w:hAnsi="Arial"/>
          <w:sz w:val="18"/>
          <w:szCs w:val="18"/>
          <w:b w:val="1"/>
          <w:bCs w:val="1"/>
          <w:color w:val="auto"/>
        </w:rPr>
        <w:t>SECURITY OWNERSHIP OF CERTAIN BENEFICIAL OWNERS AND MANAGEMENT Directors and Executive Officers</w:t>
      </w:r>
    </w:p>
    <w:p>
      <w:pPr>
        <w:spacing w:after="0" w:line="1" w:lineRule="exact"/>
        <w:rPr>
          <w:sz w:val="20"/>
          <w:szCs w:val="20"/>
          <w:color w:val="auto"/>
        </w:rPr>
      </w:pPr>
    </w:p>
    <w:p>
      <w:pPr>
        <w:ind w:left="6"/>
        <w:spacing w:after="0" w:line="238" w:lineRule="auto"/>
        <w:rPr>
          <w:sz w:val="20"/>
          <w:szCs w:val="20"/>
          <w:color w:val="auto"/>
        </w:rPr>
      </w:pPr>
      <w:r>
        <w:rPr>
          <w:rFonts w:ascii="Arial" w:cs="Arial" w:eastAsia="Arial" w:hAnsi="Arial"/>
          <w:sz w:val="18"/>
          <w:szCs w:val="18"/>
          <w:color w:val="auto"/>
        </w:rPr>
        <w:t>The following table provides information with respect to the beneficial ownership of our common stock as of March 7, 2023 by each of our directors, each of our named executive officers listed in the Summary Compensation Table, and all of our director nominees, directors, and executive officers as a group. The percentage ownership data is based on 45,404,344 shares of our common stock outstanding as of March 7, 2023. Under SEC rules, beneficial ownership includes shares over that which the indicated beneficial owner exercises voting and/or investment power. Shares of common stock subject to options that are currently exercisable or will become exercisable within 60 days or shares of restricted stock units vested or that will vest within 60 days are deemed outstanding for computing the number of shares and the percentage ownership of the person holding the option, but are not deemed outstanding for purposes of computing the percentage ownership of any other person. Except as otherwise noted, we believe that the beneficial owners of the shares of common stock listed below have sole voting and investment power with respect to all shares beneficially owned, subject to applicable community property laws. The address of each person named in the table, unless otherwise indicated, is c/o Itron, Inc., 2111 N. Molter Road, Liberty Lake, WA 99019.</w:t>
      </w:r>
    </w:p>
    <w:p>
      <w:pPr>
        <w:spacing w:after="0" w:line="95" w:lineRule="exact"/>
        <w:rPr>
          <w:sz w:val="20"/>
          <w:szCs w:val="20"/>
          <w:color w:val="auto"/>
        </w:rPr>
      </w:pPr>
    </w:p>
    <w:tbl>
      <w:tblPr>
        <w:tblLayout w:type="fixed"/>
        <w:tblInd w:w="46" w:type="dxa"/>
        <w:tblCellMar>
          <w:top w:w="0" w:type="dxa"/>
          <w:left w:w="0" w:type="dxa"/>
          <w:bottom w:w="0" w:type="dxa"/>
          <w:right w:w="0" w:type="dxa"/>
        </w:tblCellMar>
      </w:tblPr>
      <w:tr>
        <w:trPr>
          <w:trHeight w:val="162"/>
        </w:trPr>
        <w:tc>
          <w:tcPr>
            <w:tcW w:w="7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gridSpan w:val="4"/>
          </w:tcPr>
          <w:p>
            <w:pPr>
              <w:jc w:val="center"/>
              <w:ind w:right="11"/>
              <w:spacing w:after="0"/>
              <w:rPr>
                <w:sz w:val="20"/>
                <w:szCs w:val="20"/>
                <w:color w:val="auto"/>
              </w:rPr>
            </w:pPr>
            <w:r>
              <w:rPr>
                <w:rFonts w:ascii="Arial" w:cs="Arial" w:eastAsia="Arial" w:hAnsi="Arial"/>
                <w:sz w:val="14"/>
                <w:szCs w:val="14"/>
                <w:b w:val="1"/>
                <w:bCs w:val="1"/>
                <w:color w:val="auto"/>
              </w:rPr>
              <w:t>Shares Beneficially</w:t>
            </w:r>
          </w:p>
        </w:tc>
      </w:tr>
      <w:tr>
        <w:trPr>
          <w:trHeight w:val="196"/>
        </w:trPr>
        <w:tc>
          <w:tcPr>
            <w:tcW w:w="7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3"/>
          </w:tcPr>
          <w:p>
            <w:pPr>
              <w:jc w:val="center"/>
              <w:ind w:left="438"/>
              <w:spacing w:after="0"/>
              <w:rPr>
                <w:sz w:val="20"/>
                <w:szCs w:val="20"/>
                <w:color w:val="auto"/>
              </w:rPr>
            </w:pPr>
            <w:r>
              <w:rPr>
                <w:rFonts w:ascii="Arial" w:cs="Arial" w:eastAsia="Arial" w:hAnsi="Arial"/>
                <w:sz w:val="14"/>
                <w:szCs w:val="14"/>
                <w:b w:val="1"/>
                <w:bCs w:val="1"/>
                <w:color w:val="auto"/>
              </w:rPr>
              <w:t>Owned</w:t>
            </w:r>
          </w:p>
        </w:tc>
        <w:tc>
          <w:tcPr>
            <w:tcW w:w="580" w:type="dxa"/>
            <w:vAlign w:val="bottom"/>
          </w:tcPr>
          <w:p>
            <w:pPr>
              <w:spacing w:after="0"/>
              <w:rPr>
                <w:sz w:val="17"/>
                <w:szCs w:val="17"/>
                <w:color w:val="auto"/>
              </w:rPr>
            </w:pPr>
          </w:p>
        </w:tc>
      </w:tr>
      <w:tr>
        <w:trPr>
          <w:trHeight w:val="29"/>
        </w:trPr>
        <w:tc>
          <w:tcPr>
            <w:tcW w:w="7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4"/>
        </w:trPr>
        <w:tc>
          <w:tcPr>
            <w:tcW w:w="74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60" w:type="dxa"/>
            <w:vAlign w:val="bottom"/>
          </w:tcPr>
          <w:p>
            <w:pPr>
              <w:spacing w:after="0"/>
              <w:rPr>
                <w:sz w:val="20"/>
                <w:szCs w:val="20"/>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Percent</w:t>
            </w:r>
          </w:p>
        </w:tc>
      </w:tr>
      <w:tr>
        <w:trPr>
          <w:trHeight w:val="29"/>
        </w:trPr>
        <w:tc>
          <w:tcPr>
            <w:tcW w:w="71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76"/>
        </w:trPr>
        <w:tc>
          <w:tcPr>
            <w:tcW w:w="744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Directors and Executive Officers:</w:t>
            </w: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419"/>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Thomas L. Deitrich</w:t>
            </w:r>
            <w:r>
              <w:rPr>
                <w:rFonts w:ascii="Arial" w:cs="Arial" w:eastAsia="Arial" w:hAnsi="Arial"/>
                <w:sz w:val="29"/>
                <w:szCs w:val="29"/>
                <w:color w:val="auto"/>
                <w:vertAlign w:val="superscript"/>
              </w:rPr>
              <w:t>(1)</w:t>
            </w:r>
          </w:p>
        </w:tc>
        <w:tc>
          <w:tcPr>
            <w:tcW w:w="1060" w:type="dxa"/>
            <w:vAlign w:val="bottom"/>
            <w:gridSpan w:val="4"/>
          </w:tcPr>
          <w:p>
            <w:pPr>
              <w:ind w:left="20"/>
              <w:spacing w:after="0"/>
              <w:rPr>
                <w:sz w:val="20"/>
                <w:szCs w:val="20"/>
                <w:color w:val="auto"/>
              </w:rPr>
            </w:pPr>
            <w:r>
              <w:rPr>
                <w:rFonts w:ascii="Arial" w:cs="Arial" w:eastAsia="Arial" w:hAnsi="Arial"/>
                <w:sz w:val="18"/>
                <w:szCs w:val="18"/>
                <w:color w:val="auto"/>
              </w:rPr>
              <w:t>414,367​</w:t>
            </w: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351"/>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Joan S. Hooper</w:t>
            </w:r>
            <w:r>
              <w:rPr>
                <w:rFonts w:ascii="Arial" w:cs="Arial" w:eastAsia="Arial" w:hAnsi="Arial"/>
                <w:sz w:val="29"/>
                <w:szCs w:val="29"/>
                <w:color w:val="auto"/>
                <w:vertAlign w:val="superscript"/>
              </w:rPr>
              <w:t>(2)</w:t>
            </w:r>
          </w:p>
        </w:tc>
        <w:tc>
          <w:tcPr>
            <w:tcW w:w="1060" w:type="dxa"/>
            <w:vAlign w:val="bottom"/>
            <w:gridSpan w:val="4"/>
          </w:tcPr>
          <w:p>
            <w:pPr>
              <w:ind w:left="20"/>
              <w:spacing w:after="0"/>
              <w:rPr>
                <w:sz w:val="20"/>
                <w:szCs w:val="20"/>
                <w:color w:val="auto"/>
              </w:rPr>
            </w:pPr>
            <w:r>
              <w:rPr>
                <w:rFonts w:ascii="Arial" w:cs="Arial" w:eastAsia="Arial" w:hAnsi="Arial"/>
                <w:sz w:val="18"/>
                <w:szCs w:val="18"/>
                <w:color w:val="auto"/>
              </w:rPr>
              <w:t>​ 67,819</w:t>
            </w: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351"/>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Michel C. Cadieux</w:t>
            </w:r>
            <w:r>
              <w:rPr>
                <w:rFonts w:ascii="Arial" w:cs="Arial" w:eastAsia="Arial" w:hAnsi="Arial"/>
                <w:sz w:val="29"/>
                <w:szCs w:val="29"/>
                <w:color w:val="auto"/>
                <w:vertAlign w:val="superscript"/>
              </w:rPr>
              <w:t>(3)</w:t>
            </w:r>
          </w:p>
        </w:tc>
        <w:tc>
          <w:tcPr>
            <w:tcW w:w="1060" w:type="dxa"/>
            <w:vAlign w:val="bottom"/>
            <w:gridSpan w:val="4"/>
          </w:tcPr>
          <w:p>
            <w:pPr>
              <w:ind w:left="20"/>
              <w:spacing w:after="0"/>
              <w:rPr>
                <w:sz w:val="20"/>
                <w:szCs w:val="20"/>
                <w:color w:val="auto"/>
              </w:rPr>
            </w:pPr>
            <w:r>
              <w:rPr>
                <w:rFonts w:ascii="Arial" w:cs="Arial" w:eastAsia="Arial" w:hAnsi="Arial"/>
                <w:sz w:val="18"/>
                <w:szCs w:val="18"/>
                <w:color w:val="auto"/>
              </w:rPr>
              <w:t>​ 39,412</w:t>
            </w: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351"/>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Donald L. Reeves</w:t>
            </w:r>
            <w:r>
              <w:rPr>
                <w:rFonts w:ascii="Arial" w:cs="Arial" w:eastAsia="Arial" w:hAnsi="Arial"/>
                <w:sz w:val="29"/>
                <w:szCs w:val="29"/>
                <w:color w:val="auto"/>
                <w:vertAlign w:val="superscript"/>
              </w:rPr>
              <w:t>(4)</w:t>
            </w:r>
          </w:p>
        </w:tc>
        <w:tc>
          <w:tcPr>
            <w:tcW w:w="1060" w:type="dxa"/>
            <w:vAlign w:val="bottom"/>
            <w:gridSpan w:val="4"/>
          </w:tcPr>
          <w:p>
            <w:pPr>
              <w:ind w:left="20"/>
              <w:spacing w:after="0"/>
              <w:rPr>
                <w:sz w:val="20"/>
                <w:szCs w:val="20"/>
                <w:color w:val="auto"/>
              </w:rPr>
            </w:pPr>
            <w:r>
              <w:rPr>
                <w:rFonts w:ascii="Arial" w:cs="Arial" w:eastAsia="Arial" w:hAnsi="Arial"/>
                <w:sz w:val="18"/>
                <w:szCs w:val="18"/>
                <w:color w:val="auto"/>
              </w:rPr>
              <w:t>​ 15,024</w:t>
            </w: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351"/>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John F. Marcolini</w:t>
            </w:r>
            <w:r>
              <w:rPr>
                <w:rFonts w:ascii="Arial" w:cs="Arial" w:eastAsia="Arial" w:hAnsi="Arial"/>
                <w:sz w:val="29"/>
                <w:szCs w:val="29"/>
                <w:color w:val="auto"/>
                <w:vertAlign w:val="superscript"/>
              </w:rPr>
              <w:t>(5)</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4,566</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351"/>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Mary C. Hemmingsen</w:t>
            </w:r>
            <w:r>
              <w:rPr>
                <w:rFonts w:ascii="Arial" w:cs="Arial" w:eastAsia="Arial" w:hAnsi="Arial"/>
                <w:sz w:val="29"/>
                <w:szCs w:val="29"/>
                <w:color w:val="auto"/>
                <w:vertAlign w:val="superscript"/>
              </w:rPr>
              <w:t>(6)</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1,689</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351"/>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Frank M. Jaehnert</w:t>
            </w:r>
            <w:r>
              <w:rPr>
                <w:rFonts w:ascii="Arial" w:cs="Arial" w:eastAsia="Arial" w:hAnsi="Arial"/>
                <w:sz w:val="29"/>
                <w:szCs w:val="29"/>
                <w:color w:val="auto"/>
                <w:vertAlign w:val="superscript"/>
              </w:rPr>
              <w:t>(7)</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6,413</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351"/>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Jerome J. Lande</w:t>
            </w:r>
            <w:r>
              <w:rPr>
                <w:rFonts w:ascii="Arial" w:cs="Arial" w:eastAsia="Arial" w:hAnsi="Arial"/>
                <w:sz w:val="29"/>
                <w:szCs w:val="29"/>
                <w:color w:val="auto"/>
                <w:vertAlign w:val="superscript"/>
              </w:rPr>
              <w:t>(8)</w:t>
            </w:r>
          </w:p>
        </w:tc>
        <w:tc>
          <w:tcPr>
            <w:tcW w:w="1060" w:type="dxa"/>
            <w:vAlign w:val="bottom"/>
            <w:gridSpan w:val="4"/>
          </w:tcPr>
          <w:p>
            <w:pPr>
              <w:ind w:left="20"/>
              <w:spacing w:after="0"/>
              <w:rPr>
                <w:sz w:val="20"/>
                <w:szCs w:val="20"/>
                <w:color w:val="auto"/>
              </w:rPr>
            </w:pPr>
            <w:r>
              <w:rPr>
                <w:rFonts w:ascii="Arial" w:cs="Arial" w:eastAsia="Arial" w:hAnsi="Arial"/>
                <w:sz w:val="18"/>
                <w:szCs w:val="18"/>
                <w:color w:val="auto"/>
              </w:rPr>
              <w:t>​ 17,955</w:t>
            </w: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351"/>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Timothy M. Leyden</w:t>
            </w:r>
            <w:r>
              <w:rPr>
                <w:rFonts w:ascii="Arial" w:cs="Arial" w:eastAsia="Arial" w:hAnsi="Arial"/>
                <w:sz w:val="29"/>
                <w:szCs w:val="29"/>
                <w:color w:val="auto"/>
                <w:vertAlign w:val="superscript"/>
              </w:rPr>
              <w:t>(9)</w:t>
            </w:r>
          </w:p>
        </w:tc>
        <w:tc>
          <w:tcPr>
            <w:tcW w:w="1060" w:type="dxa"/>
            <w:vAlign w:val="bottom"/>
            <w:gridSpan w:val="4"/>
          </w:tcPr>
          <w:p>
            <w:pPr>
              <w:ind w:left="20"/>
              <w:spacing w:after="0"/>
              <w:rPr>
                <w:sz w:val="20"/>
                <w:szCs w:val="20"/>
                <w:color w:val="auto"/>
              </w:rPr>
            </w:pPr>
            <w:r>
              <w:rPr>
                <w:rFonts w:ascii="Arial" w:cs="Arial" w:eastAsia="Arial" w:hAnsi="Arial"/>
                <w:sz w:val="18"/>
                <w:szCs w:val="18"/>
                <w:color w:val="auto"/>
              </w:rPr>
              <w:t>​ 12,599</w:t>
            </w: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351"/>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Santiago Perez</w:t>
            </w:r>
            <w:r>
              <w:rPr>
                <w:rFonts w:ascii="Arial" w:cs="Arial" w:eastAsia="Arial" w:hAnsi="Arial"/>
                <w:sz w:val="29"/>
                <w:szCs w:val="29"/>
                <w:color w:val="auto"/>
                <w:vertAlign w:val="superscript"/>
              </w:rPr>
              <w:t>(10)</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4,813</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351"/>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Gary E. Pruitt</w:t>
            </w:r>
            <w:r>
              <w:rPr>
                <w:rFonts w:ascii="Arial" w:cs="Arial" w:eastAsia="Arial" w:hAnsi="Arial"/>
                <w:sz w:val="29"/>
                <w:szCs w:val="29"/>
                <w:color w:val="auto"/>
                <w:vertAlign w:val="superscript"/>
              </w:rPr>
              <w:t>(11)</w:t>
            </w:r>
          </w:p>
        </w:tc>
        <w:tc>
          <w:tcPr>
            <w:tcW w:w="1060" w:type="dxa"/>
            <w:vAlign w:val="bottom"/>
            <w:gridSpan w:val="4"/>
          </w:tcPr>
          <w:p>
            <w:pPr>
              <w:ind w:left="20"/>
              <w:spacing w:after="0"/>
              <w:rPr>
                <w:sz w:val="20"/>
                <w:szCs w:val="20"/>
                <w:color w:val="auto"/>
              </w:rPr>
            </w:pPr>
            <w:r>
              <w:rPr>
                <w:rFonts w:ascii="Arial" w:cs="Arial" w:eastAsia="Arial" w:hAnsi="Arial"/>
                <w:sz w:val="18"/>
                <w:szCs w:val="18"/>
                <w:color w:val="auto"/>
              </w:rPr>
              <w:t>​ 43,791</w:t>
            </w: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351"/>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Diana D. Tremblay</w:t>
            </w:r>
            <w:r>
              <w:rPr>
                <w:rFonts w:ascii="Arial" w:cs="Arial" w:eastAsia="Arial" w:hAnsi="Arial"/>
                <w:sz w:val="29"/>
                <w:szCs w:val="29"/>
                <w:color w:val="auto"/>
                <w:vertAlign w:val="superscript"/>
              </w:rPr>
              <w:t>(12)</w:t>
            </w:r>
          </w:p>
        </w:tc>
        <w:tc>
          <w:tcPr>
            <w:tcW w:w="1060" w:type="dxa"/>
            <w:vAlign w:val="bottom"/>
            <w:gridSpan w:val="4"/>
          </w:tcPr>
          <w:p>
            <w:pPr>
              <w:ind w:left="20"/>
              <w:spacing w:after="0"/>
              <w:rPr>
                <w:sz w:val="20"/>
                <w:szCs w:val="20"/>
                <w:color w:val="auto"/>
              </w:rPr>
            </w:pPr>
            <w:r>
              <w:rPr>
                <w:rFonts w:ascii="Arial" w:cs="Arial" w:eastAsia="Arial" w:hAnsi="Arial"/>
                <w:sz w:val="18"/>
                <w:szCs w:val="18"/>
                <w:color w:val="auto"/>
              </w:rPr>
              <w:t>​ 17,961</w:t>
            </w: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351"/>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Lynda L. Ziegler</w:t>
            </w:r>
            <w:r>
              <w:rPr>
                <w:rFonts w:ascii="Arial" w:cs="Arial" w:eastAsia="Arial" w:hAnsi="Arial"/>
                <w:sz w:val="29"/>
                <w:szCs w:val="29"/>
                <w:color w:val="auto"/>
                <w:vertAlign w:val="superscript"/>
              </w:rPr>
              <w:t>(13)</w:t>
            </w:r>
          </w:p>
        </w:tc>
        <w:tc>
          <w:tcPr>
            <w:tcW w:w="1060" w:type="dxa"/>
            <w:vAlign w:val="bottom"/>
            <w:gridSpan w:val="4"/>
          </w:tcPr>
          <w:p>
            <w:pPr>
              <w:ind w:left="20"/>
              <w:spacing w:after="0"/>
              <w:rPr>
                <w:sz w:val="20"/>
                <w:szCs w:val="20"/>
                <w:color w:val="auto"/>
              </w:rPr>
            </w:pPr>
            <w:r>
              <w:rPr>
                <w:rFonts w:ascii="Arial" w:cs="Arial" w:eastAsia="Arial" w:hAnsi="Arial"/>
                <w:sz w:val="18"/>
                <w:szCs w:val="18"/>
                <w:color w:val="auto"/>
              </w:rPr>
              <w:t>​ 16,824</w:t>
            </w: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401"/>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All directors and executive officers as a group (15 persons)</w:t>
            </w:r>
            <w:r>
              <w:rPr>
                <w:rFonts w:ascii="Arial" w:cs="Arial" w:eastAsia="Arial" w:hAnsi="Arial"/>
                <w:sz w:val="29"/>
                <w:szCs w:val="29"/>
                <w:color w:val="auto"/>
                <w:vertAlign w:val="superscript"/>
              </w:rPr>
              <w:t>(14)</w:t>
            </w:r>
          </w:p>
        </w:tc>
        <w:tc>
          <w:tcPr>
            <w:tcW w:w="1060" w:type="dxa"/>
            <w:vAlign w:val="bottom"/>
            <w:gridSpan w:val="4"/>
          </w:tcPr>
          <w:p>
            <w:pPr>
              <w:ind w:left="20"/>
              <w:spacing w:after="0"/>
              <w:rPr>
                <w:sz w:val="20"/>
                <w:szCs w:val="20"/>
                <w:color w:val="auto"/>
              </w:rPr>
            </w:pPr>
            <w:r>
              <w:rPr>
                <w:rFonts w:ascii="Arial" w:cs="Arial" w:eastAsia="Arial" w:hAnsi="Arial"/>
                <w:sz w:val="18"/>
                <w:szCs w:val="18"/>
                <w:color w:val="auto"/>
              </w:rPr>
              <w:t>672,486​</w:t>
            </w:r>
          </w:p>
        </w:tc>
        <w:tc>
          <w:tcPr>
            <w:tcW w:w="580" w:type="dxa"/>
            <w:vAlign w:val="bottom"/>
          </w:tcPr>
          <w:p>
            <w:pPr>
              <w:jc w:val="right"/>
              <w:spacing w:after="0"/>
              <w:rPr>
                <w:sz w:val="20"/>
                <w:szCs w:val="20"/>
                <w:color w:val="auto"/>
              </w:rPr>
            </w:pPr>
            <w:r>
              <w:rPr>
                <w:rFonts w:ascii="Arial" w:cs="Arial" w:eastAsia="Arial" w:hAnsi="Arial"/>
                <w:sz w:val="18"/>
                <w:szCs w:val="18"/>
                <w:color w:val="auto"/>
              </w:rPr>
              <w:t>1​.47%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8229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11" w:lineRule="exact"/>
        <w:rPr>
          <w:sz w:val="20"/>
          <w:szCs w:val="20"/>
          <w:color w:val="auto"/>
        </w:rPr>
      </w:pPr>
    </w:p>
    <w:p>
      <w:pPr>
        <w:ind w:left="346" w:hanging="346"/>
        <w:spacing w:after="0"/>
        <w:tabs>
          <w:tab w:leader="none" w:pos="346" w:val="left"/>
        </w:tabs>
        <w:numPr>
          <w:ilvl w:val="0"/>
          <w:numId w:val="66"/>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29" w:lineRule="exact"/>
        <w:rPr>
          <w:sz w:val="20"/>
          <w:szCs w:val="20"/>
          <w:color w:val="auto"/>
        </w:rPr>
      </w:pPr>
    </w:p>
    <w:p>
      <w:pPr>
        <w:ind w:left="346" w:right="460" w:hanging="346"/>
        <w:spacing w:after="0" w:line="270" w:lineRule="auto"/>
        <w:tabs>
          <w:tab w:leader="none" w:pos="346" w:val="left"/>
        </w:tabs>
        <w:numPr>
          <w:ilvl w:val="0"/>
          <w:numId w:val="67"/>
        </w:numPr>
        <w:rPr>
          <w:rFonts w:ascii="Arial" w:cs="Arial" w:eastAsia="Arial" w:hAnsi="Arial"/>
          <w:sz w:val="14"/>
          <w:szCs w:val="14"/>
          <w:color w:val="auto"/>
        </w:rPr>
      </w:pPr>
      <w:r>
        <w:rPr>
          <w:rFonts w:ascii="Arial" w:cs="Arial" w:eastAsia="Arial" w:hAnsi="Arial"/>
          <w:sz w:val="14"/>
          <w:szCs w:val="14"/>
          <w:color w:val="auto"/>
        </w:rPr>
        <w:t>For Mr. Deitrich, includes 268,959 shares issuable on exercise of outstanding options exercisable within 60 days and 25,000 shares indirectly held in trust for the benefit of Mr. Deitrich’s son, of which Mr. Deitrich is a trustee.</w:t>
      </w:r>
    </w:p>
    <w:p>
      <w:pPr>
        <w:spacing w:after="0" w:line="1" w:lineRule="exact"/>
        <w:rPr>
          <w:rFonts w:ascii="Arial" w:cs="Arial" w:eastAsia="Arial" w:hAnsi="Arial"/>
          <w:sz w:val="14"/>
          <w:szCs w:val="14"/>
          <w:color w:val="auto"/>
        </w:rPr>
      </w:pPr>
    </w:p>
    <w:p>
      <w:pPr>
        <w:ind w:left="346" w:hanging="346"/>
        <w:spacing w:after="0"/>
        <w:tabs>
          <w:tab w:leader="none" w:pos="346" w:val="left"/>
        </w:tabs>
        <w:numPr>
          <w:ilvl w:val="0"/>
          <w:numId w:val="67"/>
        </w:numPr>
        <w:rPr>
          <w:rFonts w:ascii="Arial" w:cs="Arial" w:eastAsia="Arial" w:hAnsi="Arial"/>
          <w:sz w:val="14"/>
          <w:szCs w:val="14"/>
          <w:color w:val="auto"/>
        </w:rPr>
      </w:pPr>
      <w:r>
        <w:rPr>
          <w:rFonts w:ascii="Arial" w:cs="Arial" w:eastAsia="Arial" w:hAnsi="Arial"/>
          <w:sz w:val="14"/>
          <w:szCs w:val="14"/>
          <w:color w:val="auto"/>
        </w:rPr>
        <w:t>For Ms. Hooper, includes 33,268 shares issuable on exercise of outstanding options exercisable within 60 days.</w:t>
      </w:r>
    </w:p>
    <w:p>
      <w:pPr>
        <w:spacing w:after="0" w:line="41" w:lineRule="exact"/>
        <w:rPr>
          <w:rFonts w:ascii="Arial" w:cs="Arial" w:eastAsia="Arial" w:hAnsi="Arial"/>
          <w:sz w:val="14"/>
          <w:szCs w:val="14"/>
          <w:color w:val="auto"/>
        </w:rPr>
      </w:pPr>
    </w:p>
    <w:p>
      <w:pPr>
        <w:ind w:left="346" w:hanging="346"/>
        <w:spacing w:after="0"/>
        <w:tabs>
          <w:tab w:leader="none" w:pos="346" w:val="left"/>
        </w:tabs>
        <w:numPr>
          <w:ilvl w:val="0"/>
          <w:numId w:val="67"/>
        </w:numPr>
        <w:rPr>
          <w:rFonts w:ascii="Arial" w:cs="Arial" w:eastAsia="Arial" w:hAnsi="Arial"/>
          <w:sz w:val="14"/>
          <w:szCs w:val="14"/>
          <w:color w:val="auto"/>
        </w:rPr>
      </w:pPr>
      <w:r>
        <w:rPr>
          <w:rFonts w:ascii="Arial" w:cs="Arial" w:eastAsia="Arial" w:hAnsi="Arial"/>
          <w:sz w:val="14"/>
          <w:szCs w:val="14"/>
          <w:color w:val="auto"/>
        </w:rPr>
        <w:t>For Mr. Cadieux, includes 24,611 shares issuable on exercise of outstanding options exercisable within 60 days.</w:t>
      </w:r>
    </w:p>
    <w:p>
      <w:pPr>
        <w:spacing w:after="0" w:line="29" w:lineRule="exact"/>
        <w:rPr>
          <w:rFonts w:ascii="Arial" w:cs="Arial" w:eastAsia="Arial" w:hAnsi="Arial"/>
          <w:sz w:val="14"/>
          <w:szCs w:val="14"/>
          <w:color w:val="auto"/>
        </w:rPr>
      </w:pPr>
    </w:p>
    <w:p>
      <w:pPr>
        <w:ind w:left="346" w:hanging="346"/>
        <w:spacing w:after="0"/>
        <w:tabs>
          <w:tab w:leader="none" w:pos="346" w:val="left"/>
        </w:tabs>
        <w:numPr>
          <w:ilvl w:val="0"/>
          <w:numId w:val="67"/>
        </w:numPr>
        <w:rPr>
          <w:rFonts w:ascii="Arial" w:cs="Arial" w:eastAsia="Arial" w:hAnsi="Arial"/>
          <w:sz w:val="14"/>
          <w:szCs w:val="14"/>
          <w:color w:val="auto"/>
        </w:rPr>
      </w:pPr>
      <w:r>
        <w:rPr>
          <w:rFonts w:ascii="Arial" w:cs="Arial" w:eastAsia="Arial" w:hAnsi="Arial"/>
          <w:sz w:val="14"/>
          <w:szCs w:val="14"/>
          <w:color w:val="auto"/>
        </w:rPr>
        <w:t>For Mr. Reeves, includes 13,295 shares issuable on exercise of outstanding options exercisable within 60 days.</w:t>
      </w:r>
    </w:p>
    <w:p>
      <w:pPr>
        <w:spacing w:after="0" w:line="40" w:lineRule="exact"/>
        <w:rPr>
          <w:rFonts w:ascii="Arial" w:cs="Arial" w:eastAsia="Arial" w:hAnsi="Arial"/>
          <w:sz w:val="14"/>
          <w:szCs w:val="14"/>
          <w:color w:val="auto"/>
        </w:rPr>
      </w:pPr>
    </w:p>
    <w:p>
      <w:pPr>
        <w:ind w:left="346" w:hanging="346"/>
        <w:spacing w:after="0"/>
        <w:tabs>
          <w:tab w:leader="none" w:pos="346" w:val="left"/>
        </w:tabs>
        <w:numPr>
          <w:ilvl w:val="0"/>
          <w:numId w:val="67"/>
        </w:numPr>
        <w:rPr>
          <w:rFonts w:ascii="Arial" w:cs="Arial" w:eastAsia="Arial" w:hAnsi="Arial"/>
          <w:sz w:val="14"/>
          <w:szCs w:val="14"/>
          <w:color w:val="auto"/>
        </w:rPr>
      </w:pPr>
      <w:r>
        <w:rPr>
          <w:rFonts w:ascii="Arial" w:cs="Arial" w:eastAsia="Arial" w:hAnsi="Arial"/>
          <w:sz w:val="14"/>
          <w:szCs w:val="14"/>
          <w:color w:val="auto"/>
        </w:rPr>
        <w:t>For Mr. Marcolini, includes 2,522 shares issuable on exercise of outstanding options exercisable within 60 days.</w:t>
      </w:r>
    </w:p>
    <w:p>
      <w:pPr>
        <w:spacing w:after="0" w:line="41" w:lineRule="exact"/>
        <w:rPr>
          <w:rFonts w:ascii="Arial" w:cs="Arial" w:eastAsia="Arial" w:hAnsi="Arial"/>
          <w:sz w:val="14"/>
          <w:szCs w:val="14"/>
          <w:color w:val="auto"/>
        </w:rPr>
      </w:pPr>
    </w:p>
    <w:p>
      <w:pPr>
        <w:ind w:left="346" w:hanging="346"/>
        <w:spacing w:after="0"/>
        <w:tabs>
          <w:tab w:leader="none" w:pos="346" w:val="left"/>
        </w:tabs>
        <w:numPr>
          <w:ilvl w:val="0"/>
          <w:numId w:val="67"/>
        </w:numPr>
        <w:rPr>
          <w:rFonts w:ascii="Arial" w:cs="Arial" w:eastAsia="Arial" w:hAnsi="Arial"/>
          <w:sz w:val="14"/>
          <w:szCs w:val="14"/>
          <w:color w:val="auto"/>
        </w:rPr>
      </w:pPr>
      <w:r>
        <w:rPr>
          <w:rFonts w:ascii="Arial" w:cs="Arial" w:eastAsia="Arial" w:hAnsi="Arial"/>
          <w:sz w:val="14"/>
          <w:szCs w:val="14"/>
          <w:color w:val="auto"/>
        </w:rPr>
        <w:t>For Ms. Hemmingsen, represents shares owned as of March 7, 2023.</w:t>
      </w:r>
    </w:p>
    <w:p>
      <w:pPr>
        <w:spacing w:after="0" w:line="29" w:lineRule="exact"/>
        <w:rPr>
          <w:rFonts w:ascii="Arial" w:cs="Arial" w:eastAsia="Arial" w:hAnsi="Arial"/>
          <w:sz w:val="14"/>
          <w:szCs w:val="14"/>
          <w:color w:val="auto"/>
        </w:rPr>
      </w:pPr>
    </w:p>
    <w:p>
      <w:pPr>
        <w:ind w:left="346" w:hanging="346"/>
        <w:spacing w:after="0"/>
        <w:tabs>
          <w:tab w:leader="none" w:pos="346" w:val="left"/>
        </w:tabs>
        <w:numPr>
          <w:ilvl w:val="0"/>
          <w:numId w:val="67"/>
        </w:numPr>
        <w:rPr>
          <w:rFonts w:ascii="Arial" w:cs="Arial" w:eastAsia="Arial" w:hAnsi="Arial"/>
          <w:sz w:val="14"/>
          <w:szCs w:val="14"/>
          <w:color w:val="auto"/>
        </w:rPr>
      </w:pPr>
      <w:r>
        <w:rPr>
          <w:rFonts w:ascii="Arial" w:cs="Arial" w:eastAsia="Arial" w:hAnsi="Arial"/>
          <w:sz w:val="14"/>
          <w:szCs w:val="14"/>
          <w:color w:val="auto"/>
        </w:rPr>
        <w:t>For Mr. Jaehnert, represents shares owned as of March 7, 2023.</w:t>
      </w:r>
    </w:p>
    <w:p>
      <w:pPr>
        <w:spacing w:after="0" w:line="40" w:lineRule="exact"/>
        <w:rPr>
          <w:rFonts w:ascii="Arial" w:cs="Arial" w:eastAsia="Arial" w:hAnsi="Arial"/>
          <w:sz w:val="14"/>
          <w:szCs w:val="14"/>
          <w:color w:val="auto"/>
        </w:rPr>
      </w:pPr>
    </w:p>
    <w:p>
      <w:pPr>
        <w:ind w:left="346" w:hanging="346"/>
        <w:spacing w:after="0"/>
        <w:tabs>
          <w:tab w:leader="none" w:pos="346" w:val="left"/>
        </w:tabs>
        <w:numPr>
          <w:ilvl w:val="0"/>
          <w:numId w:val="67"/>
        </w:numPr>
        <w:rPr>
          <w:rFonts w:ascii="Arial" w:cs="Arial" w:eastAsia="Arial" w:hAnsi="Arial"/>
          <w:sz w:val="14"/>
          <w:szCs w:val="14"/>
          <w:color w:val="auto"/>
        </w:rPr>
      </w:pPr>
      <w:r>
        <w:rPr>
          <w:rFonts w:ascii="Arial" w:cs="Arial" w:eastAsia="Arial" w:hAnsi="Arial"/>
          <w:sz w:val="14"/>
          <w:szCs w:val="14"/>
          <w:color w:val="auto"/>
        </w:rPr>
        <w:t>For Mr. Lande, represents shares owned as of March 7, 2023.</w:t>
      </w:r>
    </w:p>
    <w:p>
      <w:pPr>
        <w:spacing w:after="0" w:line="41" w:lineRule="exact"/>
        <w:rPr>
          <w:rFonts w:ascii="Arial" w:cs="Arial" w:eastAsia="Arial" w:hAnsi="Arial"/>
          <w:sz w:val="14"/>
          <w:szCs w:val="14"/>
          <w:color w:val="auto"/>
        </w:rPr>
      </w:pPr>
    </w:p>
    <w:p>
      <w:pPr>
        <w:ind w:left="346" w:hanging="346"/>
        <w:spacing w:after="0"/>
        <w:tabs>
          <w:tab w:leader="none" w:pos="346" w:val="left"/>
        </w:tabs>
        <w:numPr>
          <w:ilvl w:val="0"/>
          <w:numId w:val="67"/>
        </w:numPr>
        <w:rPr>
          <w:rFonts w:ascii="Arial" w:cs="Arial" w:eastAsia="Arial" w:hAnsi="Arial"/>
          <w:sz w:val="14"/>
          <w:szCs w:val="14"/>
          <w:color w:val="auto"/>
        </w:rPr>
      </w:pPr>
      <w:r>
        <w:rPr>
          <w:rFonts w:ascii="Arial" w:cs="Arial" w:eastAsia="Arial" w:hAnsi="Arial"/>
          <w:sz w:val="14"/>
          <w:szCs w:val="14"/>
          <w:color w:val="auto"/>
        </w:rPr>
        <w:t>For Mr. Leyden, represents shares owned as of March 7, 2023.</w:t>
      </w:r>
    </w:p>
    <w:p>
      <w:pPr>
        <w:spacing w:after="0" w:line="29" w:lineRule="exact"/>
        <w:rPr>
          <w:rFonts w:ascii="Arial" w:cs="Arial" w:eastAsia="Arial" w:hAnsi="Arial"/>
          <w:sz w:val="14"/>
          <w:szCs w:val="14"/>
          <w:color w:val="auto"/>
        </w:rPr>
      </w:pPr>
    </w:p>
    <w:p>
      <w:pPr>
        <w:ind w:left="346" w:hanging="346"/>
        <w:spacing w:after="0"/>
        <w:tabs>
          <w:tab w:leader="none" w:pos="346" w:val="left"/>
        </w:tabs>
        <w:numPr>
          <w:ilvl w:val="0"/>
          <w:numId w:val="67"/>
        </w:numPr>
        <w:rPr>
          <w:rFonts w:ascii="Arial" w:cs="Arial" w:eastAsia="Arial" w:hAnsi="Arial"/>
          <w:sz w:val="14"/>
          <w:szCs w:val="14"/>
          <w:color w:val="auto"/>
        </w:rPr>
      </w:pPr>
      <w:r>
        <w:rPr>
          <w:rFonts w:ascii="Arial" w:cs="Arial" w:eastAsia="Arial" w:hAnsi="Arial"/>
          <w:sz w:val="14"/>
          <w:szCs w:val="14"/>
          <w:color w:val="auto"/>
        </w:rPr>
        <w:t>For Mr. Perez, represents shares owned as of March 7, 2023.</w:t>
      </w:r>
    </w:p>
    <w:p>
      <w:pPr>
        <w:spacing w:after="0" w:line="40" w:lineRule="exact"/>
        <w:rPr>
          <w:rFonts w:ascii="Arial" w:cs="Arial" w:eastAsia="Arial" w:hAnsi="Arial"/>
          <w:sz w:val="14"/>
          <w:szCs w:val="14"/>
          <w:color w:val="auto"/>
        </w:rPr>
      </w:pPr>
    </w:p>
    <w:p>
      <w:pPr>
        <w:ind w:left="346" w:hanging="346"/>
        <w:spacing w:after="0"/>
        <w:tabs>
          <w:tab w:leader="none" w:pos="346" w:val="left"/>
        </w:tabs>
        <w:numPr>
          <w:ilvl w:val="0"/>
          <w:numId w:val="67"/>
        </w:numPr>
        <w:rPr>
          <w:rFonts w:ascii="Arial" w:cs="Arial" w:eastAsia="Arial" w:hAnsi="Arial"/>
          <w:sz w:val="14"/>
          <w:szCs w:val="14"/>
          <w:color w:val="auto"/>
        </w:rPr>
      </w:pPr>
      <w:r>
        <w:rPr>
          <w:rFonts w:ascii="Arial" w:cs="Arial" w:eastAsia="Arial" w:hAnsi="Arial"/>
          <w:sz w:val="14"/>
          <w:szCs w:val="14"/>
          <w:color w:val="auto"/>
        </w:rPr>
        <w:t>For Mr. Pruitt, represents shares owned as of March 7, 2023</w:t>
      </w:r>
    </w:p>
    <w:p>
      <w:pPr>
        <w:spacing w:after="0" w:line="41" w:lineRule="exact"/>
        <w:rPr>
          <w:rFonts w:ascii="Arial" w:cs="Arial" w:eastAsia="Arial" w:hAnsi="Arial"/>
          <w:sz w:val="14"/>
          <w:szCs w:val="14"/>
          <w:color w:val="auto"/>
        </w:rPr>
      </w:pPr>
    </w:p>
    <w:p>
      <w:pPr>
        <w:ind w:left="346" w:hanging="346"/>
        <w:spacing w:after="0"/>
        <w:tabs>
          <w:tab w:leader="none" w:pos="346" w:val="left"/>
        </w:tabs>
        <w:numPr>
          <w:ilvl w:val="0"/>
          <w:numId w:val="67"/>
        </w:numPr>
        <w:rPr>
          <w:rFonts w:ascii="Arial" w:cs="Arial" w:eastAsia="Arial" w:hAnsi="Arial"/>
          <w:sz w:val="14"/>
          <w:szCs w:val="14"/>
          <w:color w:val="auto"/>
        </w:rPr>
      </w:pPr>
      <w:r>
        <w:rPr>
          <w:rFonts w:ascii="Arial" w:cs="Arial" w:eastAsia="Arial" w:hAnsi="Arial"/>
          <w:sz w:val="14"/>
          <w:szCs w:val="14"/>
          <w:color w:val="auto"/>
        </w:rPr>
        <w:t>For Ms. Tremblay, represents shares owned as of March 7, 2023.</w:t>
      </w:r>
    </w:p>
    <w:p>
      <w:pPr>
        <w:spacing w:after="0" w:line="29" w:lineRule="exact"/>
        <w:rPr>
          <w:rFonts w:ascii="Arial" w:cs="Arial" w:eastAsia="Arial" w:hAnsi="Arial"/>
          <w:sz w:val="14"/>
          <w:szCs w:val="14"/>
          <w:color w:val="auto"/>
        </w:rPr>
      </w:pPr>
    </w:p>
    <w:p>
      <w:pPr>
        <w:ind w:left="346" w:hanging="346"/>
        <w:spacing w:after="0"/>
        <w:tabs>
          <w:tab w:leader="none" w:pos="346" w:val="left"/>
        </w:tabs>
        <w:numPr>
          <w:ilvl w:val="0"/>
          <w:numId w:val="67"/>
        </w:numPr>
        <w:rPr>
          <w:rFonts w:ascii="Arial" w:cs="Arial" w:eastAsia="Arial" w:hAnsi="Arial"/>
          <w:sz w:val="14"/>
          <w:szCs w:val="14"/>
          <w:color w:val="auto"/>
        </w:rPr>
      </w:pPr>
      <w:r>
        <w:rPr>
          <w:rFonts w:ascii="Arial" w:cs="Arial" w:eastAsia="Arial" w:hAnsi="Arial"/>
          <w:sz w:val="14"/>
          <w:szCs w:val="14"/>
          <w:color w:val="auto"/>
        </w:rPr>
        <w:t>For Ms. Ziegler, represents shares owned as of March 7, 2023.</w:t>
      </w:r>
    </w:p>
    <w:p>
      <w:pPr>
        <w:spacing w:after="0" w:line="40" w:lineRule="exact"/>
        <w:rPr>
          <w:rFonts w:ascii="Arial" w:cs="Arial" w:eastAsia="Arial" w:hAnsi="Arial"/>
          <w:sz w:val="14"/>
          <w:szCs w:val="14"/>
          <w:color w:val="auto"/>
        </w:rPr>
      </w:pPr>
    </w:p>
    <w:p>
      <w:pPr>
        <w:ind w:left="346" w:right="200" w:hanging="346"/>
        <w:spacing w:after="0" w:line="285" w:lineRule="auto"/>
        <w:tabs>
          <w:tab w:leader="none" w:pos="346"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345,929 shares issuable on exercise of outstanding options that are held by all current directors and executive officers and are exercisable within 60 days.</w:t>
      </w:r>
    </w:p>
    <w:p>
      <w:pPr>
        <w:sectPr>
          <w:pgSz w:w="11900" w:h="16838" w:orient="portrait"/>
          <w:cols w:equalWidth="0" w:num="1">
            <w:col w:w="9166"/>
          </w:cols>
          <w:pgMar w:left="1354" w:top="263" w:right="1379" w:bottom="1440" w:gutter="0" w:footer="0" w:header="0"/>
        </w:sectPr>
      </w:pPr>
    </w:p>
    <w:p>
      <w:pPr>
        <w:spacing w:after="0" w:line="256" w:lineRule="exact"/>
        <w:rPr>
          <w:sz w:val="20"/>
          <w:szCs w:val="20"/>
          <w:color w:val="auto"/>
        </w:rPr>
      </w:pPr>
    </w:p>
    <w:p>
      <w:pPr>
        <w:ind w:left="6"/>
        <w:spacing w:after="0"/>
        <w:tabs>
          <w:tab w:leader="none" w:pos="4426" w:val="left"/>
        </w:tabs>
        <w:rPr>
          <w:sz w:val="20"/>
          <w:szCs w:val="20"/>
          <w:color w:val="auto"/>
        </w:rPr>
      </w:pPr>
      <w:r>
        <w:rPr>
          <w:rFonts w:ascii="Arial" w:cs="Arial" w:eastAsia="Arial" w:hAnsi="Arial"/>
          <w:sz w:val="12"/>
          <w:szCs w:val="12"/>
          <w:color w:val="auto"/>
        </w:rPr>
        <w:t> </w:t>
      </w:r>
      <w:r>
        <w:rPr>
          <w:sz w:val="20"/>
          <w:szCs w:val="20"/>
          <w:color w:val="auto"/>
        </w:rPr>
        <w:tab/>
      </w: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161925</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66"/>
          </w:cols>
          <w:pgMar w:left="1354" w:top="263" w:right="1379" w:bottom="1440" w:gutter="0" w:footer="0" w:header="0"/>
          <w:type w:val="continuous"/>
        </w:sectPr>
      </w:pPr>
    </w:p>
    <w:bookmarkStart w:id="68" w:name="page69"/>
    <w:bookmarkEnd w:id="68"/>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Principal Shareholders</w:t>
      </w:r>
    </w:p>
    <w:p>
      <w:pPr>
        <w:spacing w:after="0" w:line="185" w:lineRule="exact"/>
        <w:rPr>
          <w:sz w:val="20"/>
          <w:szCs w:val="20"/>
          <w:color w:val="auto"/>
        </w:rPr>
      </w:pPr>
    </w:p>
    <w:p>
      <w:pPr>
        <w:ind w:left="920" w:right="1120"/>
        <w:spacing w:after="0" w:line="247" w:lineRule="auto"/>
        <w:rPr>
          <w:sz w:val="20"/>
          <w:szCs w:val="20"/>
          <w:color w:val="auto"/>
        </w:rPr>
      </w:pPr>
      <w:r>
        <w:rPr>
          <w:rFonts w:ascii="Arial" w:cs="Arial" w:eastAsia="Arial" w:hAnsi="Arial"/>
          <w:sz w:val="18"/>
          <w:szCs w:val="18"/>
          <w:color w:val="auto"/>
        </w:rPr>
        <w:t>The following table provides information with respect to the beneficial ownership of our common stock as of March 7, 2023 by each person that we know beneficially owns more than five percent (5%) of our common stock. We have based percentage ownership of our common stock on 45,404,344 shares of our common stock outstanding as of the measurement date.</w:t>
      </w:r>
    </w:p>
    <w:p>
      <w:pPr>
        <w:spacing w:after="0" w:line="89" w:lineRule="exact"/>
        <w:rPr>
          <w:sz w:val="20"/>
          <w:szCs w:val="20"/>
          <w:color w:val="auto"/>
        </w:rPr>
      </w:pPr>
    </w:p>
    <w:tbl>
      <w:tblPr>
        <w:tblLayout w:type="fixed"/>
        <w:tblInd w:w="980" w:type="dxa"/>
        <w:tblCellMar>
          <w:top w:w="0" w:type="dxa"/>
          <w:left w:w="0" w:type="dxa"/>
          <w:bottom w:w="0" w:type="dxa"/>
          <w:right w:w="0" w:type="dxa"/>
        </w:tblCellMar>
      </w:tblPr>
      <w:tr>
        <w:trPr>
          <w:trHeight w:val="196"/>
        </w:trPr>
        <w:tc>
          <w:tcPr>
            <w:tcW w:w="5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80" w:type="dxa"/>
            <w:vAlign w:val="bottom"/>
            <w:gridSpan w:val="3"/>
          </w:tcPr>
          <w:p>
            <w:pPr>
              <w:ind w:left="340"/>
              <w:spacing w:after="0"/>
              <w:rPr>
                <w:sz w:val="20"/>
                <w:szCs w:val="20"/>
                <w:color w:val="auto"/>
              </w:rPr>
            </w:pPr>
            <w:r>
              <w:rPr>
                <w:rFonts w:ascii="Arial" w:cs="Arial" w:eastAsia="Arial" w:hAnsi="Arial"/>
                <w:sz w:val="14"/>
                <w:szCs w:val="14"/>
                <w:b w:val="1"/>
                <w:bCs w:val="1"/>
                <w:color w:val="auto"/>
              </w:rPr>
              <w:t>Shares of Common Stock Beneficially Owned</w:t>
            </w:r>
          </w:p>
        </w:tc>
      </w:tr>
      <w:tr>
        <w:trPr>
          <w:trHeight w:val="56"/>
        </w:trPr>
        <w:tc>
          <w:tcPr>
            <w:tcW w:w="5280" w:type="dxa"/>
            <w:vAlign w:val="bottom"/>
            <w:gridSpan w:val="2"/>
          </w:tcPr>
          <w:p>
            <w:pPr>
              <w:spacing w:after="0"/>
              <w:rPr>
                <w:sz w:val="4"/>
                <w:szCs w:val="4"/>
                <w:color w:val="auto"/>
              </w:rPr>
            </w:pPr>
          </w:p>
        </w:tc>
        <w:tc>
          <w:tcPr>
            <w:tcW w:w="1940" w:type="dxa"/>
            <w:vAlign w:val="bottom"/>
            <w:tcBorders>
              <w:bottom w:val="single" w:sz="8" w:color="auto"/>
            </w:tcBorders>
            <w:gridSpan w:val="2"/>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r>
      <w:tr>
        <w:trPr>
          <w:trHeight w:val="261"/>
        </w:trPr>
        <w:tc>
          <w:tcPr>
            <w:tcW w:w="5280" w:type="dxa"/>
            <w:vAlign w:val="bottom"/>
            <w:gridSpan w:val="2"/>
          </w:tcPr>
          <w:p>
            <w:pPr>
              <w:ind w:left="1940"/>
              <w:spacing w:after="0"/>
              <w:rPr>
                <w:sz w:val="20"/>
                <w:szCs w:val="20"/>
                <w:color w:val="auto"/>
              </w:rPr>
            </w:pPr>
            <w:r>
              <w:rPr>
                <w:rFonts w:ascii="Arial" w:cs="Arial" w:eastAsia="Arial" w:hAnsi="Arial"/>
                <w:sz w:val="14"/>
                <w:szCs w:val="14"/>
                <w:b w:val="1"/>
                <w:bCs w:val="1"/>
                <w:color w:val="auto"/>
              </w:rPr>
              <w:t>Name and Address</w:t>
            </w: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Number</w:t>
            </w:r>
          </w:p>
        </w:tc>
        <w:tc>
          <w:tcPr>
            <w:tcW w:w="1840" w:type="dxa"/>
            <w:vAlign w:val="bottom"/>
          </w:tcPr>
          <w:p>
            <w:pPr>
              <w:ind w:left="660"/>
              <w:spacing w:after="0"/>
              <w:rPr>
                <w:sz w:val="20"/>
                <w:szCs w:val="20"/>
                <w:color w:val="auto"/>
              </w:rPr>
            </w:pPr>
            <w:r>
              <w:rPr>
                <w:rFonts w:ascii="Arial" w:cs="Arial" w:eastAsia="Arial" w:hAnsi="Arial"/>
                <w:sz w:val="14"/>
                <w:szCs w:val="14"/>
                <w:b w:val="1"/>
                <w:bCs w:val="1"/>
                <w:color w:val="auto"/>
              </w:rPr>
              <w:t>Percent</w:t>
            </w:r>
          </w:p>
        </w:tc>
      </w:tr>
      <w:tr>
        <w:trPr>
          <w:trHeight w:val="56"/>
        </w:trPr>
        <w:tc>
          <w:tcPr>
            <w:tcW w:w="51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r>
      <w:tr>
        <w:trPr>
          <w:trHeight w:val="303"/>
        </w:trPr>
        <w:tc>
          <w:tcPr>
            <w:tcW w:w="5280" w:type="dxa"/>
            <w:vAlign w:val="bottom"/>
            <w:gridSpan w:val="2"/>
          </w:tcPr>
          <w:p>
            <w:pPr>
              <w:ind w:left="20"/>
              <w:spacing w:after="0" w:line="302" w:lineRule="exact"/>
              <w:rPr>
                <w:sz w:val="20"/>
                <w:szCs w:val="20"/>
                <w:color w:val="auto"/>
              </w:rPr>
            </w:pPr>
            <w:r>
              <w:rPr>
                <w:rFonts w:ascii="Arial" w:cs="Arial" w:eastAsia="Arial" w:hAnsi="Arial"/>
                <w:sz w:val="18"/>
                <w:szCs w:val="18"/>
                <w:color w:val="auto"/>
              </w:rPr>
              <w:t>BlackRock, Inc.</w:t>
            </w:r>
            <w:r>
              <w:rPr>
                <w:rFonts w:ascii="Arial" w:cs="Arial" w:eastAsia="Arial" w:hAnsi="Arial"/>
                <w:sz w:val="29"/>
                <w:szCs w:val="29"/>
                <w:color w:val="auto"/>
                <w:vertAlign w:val="superscript"/>
              </w:rPr>
              <w:t>(1)</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7,645,686</w:t>
            </w:r>
          </w:p>
        </w:tc>
        <w:tc>
          <w:tcPr>
            <w:tcW w:w="100" w:type="dxa"/>
            <w:vAlign w:val="bottom"/>
          </w:tcPr>
          <w:p>
            <w:pPr>
              <w:spacing w:after="0"/>
              <w:rPr>
                <w:sz w:val="24"/>
                <w:szCs w:val="24"/>
                <w:color w:val="auto"/>
              </w:rPr>
            </w:pPr>
          </w:p>
        </w:tc>
        <w:tc>
          <w:tcPr>
            <w:tcW w:w="1840" w:type="dxa"/>
            <w:vAlign w:val="bottom"/>
          </w:tcPr>
          <w:p>
            <w:pPr>
              <w:ind w:left="700"/>
              <w:spacing w:after="0"/>
              <w:rPr>
                <w:sz w:val="20"/>
                <w:szCs w:val="20"/>
                <w:color w:val="auto"/>
              </w:rPr>
            </w:pPr>
            <w:r>
              <w:rPr>
                <w:rFonts w:ascii="Arial" w:cs="Arial" w:eastAsia="Arial" w:hAnsi="Arial"/>
                <w:sz w:val="18"/>
                <w:szCs w:val="18"/>
                <w:color w:val="auto"/>
              </w:rPr>
              <w:t>​16.84%</w:t>
            </w:r>
          </w:p>
        </w:tc>
      </w:tr>
      <w:tr>
        <w:trPr>
          <w:trHeight w:val="239"/>
        </w:trPr>
        <w:tc>
          <w:tcPr>
            <w:tcW w:w="5280" w:type="dxa"/>
            <w:vAlign w:val="bottom"/>
            <w:gridSpan w:val="2"/>
          </w:tcPr>
          <w:p>
            <w:pPr>
              <w:ind w:left="200"/>
              <w:spacing w:after="0" w:line="239" w:lineRule="exact"/>
              <w:rPr>
                <w:sz w:val="20"/>
                <w:szCs w:val="20"/>
                <w:color w:val="auto"/>
              </w:rPr>
            </w:pPr>
            <w:r>
              <w:rPr>
                <w:rFonts w:ascii="Arial" w:cs="Arial" w:eastAsia="Arial" w:hAnsi="Arial"/>
                <w:sz w:val="17"/>
                <w:szCs w:val="17"/>
                <w:color w:val="auto"/>
              </w:rPr>
              <w:t>40 East 52</w:t>
            </w:r>
            <w:r>
              <w:rPr>
                <w:rFonts w:ascii="Arial" w:cs="Arial" w:eastAsia="Arial" w:hAnsi="Arial"/>
                <w:sz w:val="27"/>
                <w:szCs w:val="27"/>
                <w:color w:val="auto"/>
                <w:vertAlign w:val="superscript"/>
              </w:rPr>
              <w:t>nd</w:t>
            </w:r>
            <w:r>
              <w:rPr>
                <w:rFonts w:ascii="Arial" w:cs="Arial" w:eastAsia="Arial" w:hAnsi="Arial"/>
                <w:sz w:val="17"/>
                <w:szCs w:val="17"/>
                <w:color w:val="auto"/>
              </w:rPr>
              <w:t xml:space="preserve"> Street</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39"/>
        </w:trPr>
        <w:tc>
          <w:tcPr>
            <w:tcW w:w="5280" w:type="dxa"/>
            <w:vAlign w:val="bottom"/>
            <w:gridSpan w:val="2"/>
          </w:tcPr>
          <w:p>
            <w:pPr>
              <w:ind w:left="200"/>
              <w:spacing w:after="0"/>
              <w:rPr>
                <w:sz w:val="20"/>
                <w:szCs w:val="20"/>
                <w:color w:val="auto"/>
              </w:rPr>
            </w:pPr>
            <w:r>
              <w:rPr>
                <w:rFonts w:ascii="Arial" w:cs="Arial" w:eastAsia="Arial" w:hAnsi="Arial"/>
                <w:sz w:val="18"/>
                <w:szCs w:val="18"/>
                <w:color w:val="auto"/>
              </w:rPr>
              <w:t>New York, NY 10055</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571"/>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Vanguard Group</w:t>
            </w:r>
            <w:r>
              <w:rPr>
                <w:rFonts w:ascii="Arial" w:cs="Arial" w:eastAsia="Arial" w:hAnsi="Arial"/>
                <w:sz w:val="29"/>
                <w:szCs w:val="29"/>
                <w:color w:val="auto"/>
                <w:vertAlign w:val="superscript"/>
              </w:rPr>
              <w:t>(2)</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5,225,422</w:t>
            </w:r>
          </w:p>
        </w:tc>
        <w:tc>
          <w:tcPr>
            <w:tcW w:w="100" w:type="dxa"/>
            <w:vAlign w:val="bottom"/>
          </w:tcPr>
          <w:p>
            <w:pPr>
              <w:spacing w:after="0"/>
              <w:rPr>
                <w:sz w:val="24"/>
                <w:szCs w:val="24"/>
                <w:color w:val="auto"/>
              </w:rPr>
            </w:pPr>
          </w:p>
        </w:tc>
        <w:tc>
          <w:tcPr>
            <w:tcW w:w="1840" w:type="dxa"/>
            <w:vAlign w:val="bottom"/>
          </w:tcPr>
          <w:p>
            <w:pPr>
              <w:ind w:left="700"/>
              <w:spacing w:after="0"/>
              <w:rPr>
                <w:sz w:val="20"/>
                <w:szCs w:val="20"/>
                <w:color w:val="auto"/>
              </w:rPr>
            </w:pPr>
            <w:r>
              <w:rPr>
                <w:rFonts w:ascii="Arial" w:cs="Arial" w:eastAsia="Arial" w:hAnsi="Arial"/>
                <w:sz w:val="18"/>
                <w:szCs w:val="18"/>
                <w:color w:val="auto"/>
              </w:rPr>
              <w:t>​11.51%</w:t>
            </w:r>
          </w:p>
        </w:tc>
      </w:tr>
      <w:tr>
        <w:trPr>
          <w:trHeight w:val="203"/>
        </w:trPr>
        <w:tc>
          <w:tcPr>
            <w:tcW w:w="52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100 Vanguard Blvd.</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39"/>
        </w:trPr>
        <w:tc>
          <w:tcPr>
            <w:tcW w:w="5280" w:type="dxa"/>
            <w:vAlign w:val="bottom"/>
            <w:gridSpan w:val="2"/>
          </w:tcPr>
          <w:p>
            <w:pPr>
              <w:ind w:left="200"/>
              <w:spacing w:after="0"/>
              <w:rPr>
                <w:sz w:val="20"/>
                <w:szCs w:val="20"/>
                <w:color w:val="auto"/>
              </w:rPr>
            </w:pPr>
            <w:r>
              <w:rPr>
                <w:rFonts w:ascii="Arial" w:cs="Arial" w:eastAsia="Arial" w:hAnsi="Arial"/>
                <w:sz w:val="18"/>
                <w:szCs w:val="18"/>
                <w:color w:val="auto"/>
              </w:rPr>
              <w:t>Malvern, PA 19355</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571"/>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Amundi</w:t>
            </w:r>
            <w:r>
              <w:rPr>
                <w:rFonts w:ascii="Arial" w:cs="Arial" w:eastAsia="Arial" w:hAnsi="Arial"/>
                <w:sz w:val="29"/>
                <w:szCs w:val="29"/>
                <w:color w:val="auto"/>
                <w:vertAlign w:val="superscript"/>
              </w:rPr>
              <w:t>(3)</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2,602,998</w:t>
            </w:r>
          </w:p>
        </w:tc>
        <w:tc>
          <w:tcPr>
            <w:tcW w:w="100" w:type="dxa"/>
            <w:vAlign w:val="bottom"/>
          </w:tcPr>
          <w:p>
            <w:pPr>
              <w:spacing w:after="0"/>
              <w:rPr>
                <w:sz w:val="24"/>
                <w:szCs w:val="24"/>
                <w:color w:val="auto"/>
              </w:rPr>
            </w:pPr>
          </w:p>
        </w:tc>
        <w:tc>
          <w:tcPr>
            <w:tcW w:w="1840" w:type="dxa"/>
            <w:vAlign w:val="bottom"/>
          </w:tcPr>
          <w:p>
            <w:pPr>
              <w:ind w:left="700"/>
              <w:spacing w:after="0"/>
              <w:rPr>
                <w:sz w:val="20"/>
                <w:szCs w:val="20"/>
                <w:color w:val="auto"/>
              </w:rPr>
            </w:pPr>
            <w:r>
              <w:rPr>
                <w:rFonts w:ascii="Arial" w:cs="Arial" w:eastAsia="Arial" w:hAnsi="Arial"/>
                <w:sz w:val="18"/>
                <w:szCs w:val="18"/>
                <w:color w:val="auto"/>
              </w:rPr>
              <w:t>​ 5.73%</w:t>
            </w:r>
          </w:p>
        </w:tc>
      </w:tr>
      <w:tr>
        <w:trPr>
          <w:trHeight w:val="203"/>
        </w:trPr>
        <w:tc>
          <w:tcPr>
            <w:tcW w:w="52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91-93 boulevard Pasteur</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39"/>
        </w:trPr>
        <w:tc>
          <w:tcPr>
            <w:tcW w:w="5280" w:type="dxa"/>
            <w:vAlign w:val="bottom"/>
            <w:gridSpan w:val="2"/>
          </w:tcPr>
          <w:p>
            <w:pPr>
              <w:ind w:left="200"/>
              <w:spacing w:after="0"/>
              <w:rPr>
                <w:sz w:val="20"/>
                <w:szCs w:val="20"/>
                <w:color w:val="auto"/>
              </w:rPr>
            </w:pPr>
            <w:r>
              <w:rPr>
                <w:rFonts w:ascii="Arial" w:cs="Arial" w:eastAsia="Arial" w:hAnsi="Arial"/>
                <w:sz w:val="18"/>
                <w:szCs w:val="18"/>
                <w:color w:val="auto"/>
              </w:rPr>
              <w:t>75015 Paris, France</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125730</wp:posOffset>
            </wp:positionV>
            <wp:extent cx="8229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91" w:lineRule="exact"/>
        <w:rPr>
          <w:sz w:val="20"/>
          <w:szCs w:val="20"/>
          <w:color w:val="auto"/>
        </w:rPr>
      </w:pPr>
    </w:p>
    <w:p>
      <w:pPr>
        <w:ind w:left="1260" w:right="980" w:hanging="346"/>
        <w:spacing w:after="0" w:line="247" w:lineRule="auto"/>
        <w:tabs>
          <w:tab w:leader="none" w:pos="12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Information is based on Amendment No. 23 to a Schedule 13G/A filed with the SEC on February 10, 2023 by BlackRock, Inc., reporting beneficial ownership as of December 31, 2022 on behalf of its investment advisory subsidiaries, BlackRock Life Limited, BlackRock Advisors, LLC, Aperio Group, LLC, BlackRock (Netherlands) B.V., BlackRock Fund Advisors, BlackRock Institutional Trust Company, National Association, BlackRock Asset Management Ireland Limited, BlackRock Financial Management, Inc., BlackRock Asset Management Schweiz AG, BlackRock Investment Management, LLC, BlackRock Investment Management (UK) Limited, BlackRock Asset Management Canada Limited, BlackRock Investment Management (Australia) Limited, and BlackRock Fund Managers Ltd. The Schedule 13G indicates that BlackRock Fund Advisors beneficially owns 5% or greater of these shares reported, and that BlackRock, Inc. has sole voting power over 7,555,971 of these shares and sole dispositive power over all of these shares.</w:t>
      </w:r>
    </w:p>
    <w:p>
      <w:pPr>
        <w:spacing w:after="0" w:line="37" w:lineRule="exact"/>
        <w:rPr>
          <w:rFonts w:ascii="Arial" w:cs="Arial" w:eastAsia="Arial" w:hAnsi="Arial"/>
          <w:sz w:val="14"/>
          <w:szCs w:val="14"/>
          <w:color w:val="auto"/>
        </w:rPr>
      </w:pPr>
    </w:p>
    <w:p>
      <w:pPr>
        <w:ind w:left="1260" w:right="1000" w:hanging="346"/>
        <w:spacing w:after="0" w:line="256" w:lineRule="auto"/>
        <w:tabs>
          <w:tab w:leader="none" w:pos="12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Information is based on Amendment No. 11 to a Schedule 13G/A filed with the SEC on February 9, 2023 by The Vanguard Group (Vanguard), reporting beneficial ownership as of December 31, 2022. The Schedule 13G indicates that Vanguard has sole dispositive power over 5,143,850 of these shares and shared dispositive power over 81,572 of these shares. Vanguard has shared voting power over 36,448 of these shares.</w:t>
      </w:r>
    </w:p>
    <w:p>
      <w:pPr>
        <w:spacing w:after="0" w:line="42" w:lineRule="exact"/>
        <w:rPr>
          <w:rFonts w:ascii="Arial" w:cs="Arial" w:eastAsia="Arial" w:hAnsi="Arial"/>
          <w:sz w:val="14"/>
          <w:szCs w:val="14"/>
          <w:color w:val="auto"/>
        </w:rPr>
      </w:pPr>
    </w:p>
    <w:p>
      <w:pPr>
        <w:ind w:left="1260" w:right="940" w:hanging="346"/>
        <w:spacing w:after="0" w:line="256" w:lineRule="auto"/>
        <w:tabs>
          <w:tab w:leader="none" w:pos="12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Information is based on the Schedule 13G filed with the SEC on February 10, 2023 jointly by Amundi, Amundi Asset Management, Amundi AM, Amundi Ireland Limited, KBI Global Investors (North America) Ltd and KBI Global Investors Ltd (collectively Amundi), reporting beneficial ownership as of December 31, 2022. The Schedule 13G indicates that Amundi and Amundi Asset Management have shared voting power over 1,900,744 of these shares and shared dispositive power over all of these shares.</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LIST OF SHAREHOLDERS OF RECORD</w:t>
      </w:r>
    </w:p>
    <w:p>
      <w:pPr>
        <w:spacing w:after="0" w:line="171" w:lineRule="exact"/>
        <w:rPr>
          <w:sz w:val="20"/>
          <w:szCs w:val="20"/>
          <w:color w:val="auto"/>
        </w:rPr>
      </w:pPr>
    </w:p>
    <w:p>
      <w:pPr>
        <w:jc w:val="both"/>
        <w:ind w:left="920" w:right="1220"/>
        <w:spacing w:after="0" w:line="247" w:lineRule="auto"/>
        <w:rPr>
          <w:sz w:val="20"/>
          <w:szCs w:val="20"/>
          <w:color w:val="auto"/>
        </w:rPr>
      </w:pPr>
      <w:r>
        <w:rPr>
          <w:rFonts w:ascii="Arial" w:cs="Arial" w:eastAsia="Arial" w:hAnsi="Arial"/>
          <w:sz w:val="18"/>
          <w:szCs w:val="18"/>
          <w:color w:val="auto"/>
        </w:rPr>
        <w:t>A list of shareholders of record entitled to vote at the annual meeting will be available at the annual meeting and will also be available ten days prior to the annual meeting between the hours of 9:00 a.m. and 4:00 p.m., Pacific time, at the office of the Corporate Secretary, Itron, Inc., 2111 N. Molter Road, Liberty Lake, Washington 99019. A shareholder may examine the list for any legally valid purpose related to the annual meeting.</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ANNUAL REPORT AND FINANCIAL STATEMENTS</w:t>
      </w:r>
    </w:p>
    <w:p>
      <w:pPr>
        <w:spacing w:after="0" w:line="171" w:lineRule="exact"/>
        <w:rPr>
          <w:sz w:val="20"/>
          <w:szCs w:val="20"/>
          <w:color w:val="auto"/>
        </w:rPr>
      </w:pPr>
    </w:p>
    <w:p>
      <w:pPr>
        <w:ind w:left="920" w:right="1340"/>
        <w:spacing w:after="0" w:line="247" w:lineRule="auto"/>
        <w:rPr>
          <w:sz w:val="20"/>
          <w:szCs w:val="20"/>
          <w:color w:val="auto"/>
        </w:rPr>
      </w:pPr>
      <w:r>
        <w:rPr>
          <w:rFonts w:ascii="Arial" w:cs="Arial" w:eastAsia="Arial" w:hAnsi="Arial"/>
          <w:sz w:val="18"/>
          <w:szCs w:val="18"/>
          <w:color w:val="auto"/>
        </w:rPr>
        <w:t xml:space="preserve">A copy of our 2022 Annual Report to Shareholders, which includes our financial statements for the year ended December 31, 2022, accompanies this proxy statement. In addition, you may view the Annual Report and this proxy statement on our Company website,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“Investors” and then “Financials and Filings.”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SHAREHOLDER PROPOSALS FOR THE 2024 ANNUAL MEETING</w:t>
      </w:r>
    </w:p>
    <w:p>
      <w:pPr>
        <w:spacing w:after="0" w:line="20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Requirements for Shareholder Proposals to be Considered for Inclusion in Itron’s Proxy Materials.</w:t>
      </w:r>
    </w:p>
    <w:p>
      <w:pPr>
        <w:spacing w:after="0" w:line="183" w:lineRule="exact"/>
        <w:rPr>
          <w:sz w:val="20"/>
          <w:szCs w:val="20"/>
          <w:color w:val="auto"/>
        </w:rPr>
      </w:pPr>
    </w:p>
    <w:p>
      <w:pPr>
        <w:ind w:left="920" w:right="1060"/>
        <w:spacing w:after="0" w:line="301" w:lineRule="auto"/>
        <w:rPr>
          <w:sz w:val="20"/>
          <w:szCs w:val="20"/>
          <w:color w:val="auto"/>
        </w:rPr>
      </w:pPr>
      <w:r>
        <w:rPr>
          <w:rFonts w:ascii="Arial" w:cs="Arial" w:eastAsia="Arial" w:hAnsi="Arial"/>
          <w:sz w:val="17"/>
          <w:szCs w:val="17"/>
          <w:color w:val="auto"/>
        </w:rPr>
        <w:t>Under the SEC’s proxy rules, shareholder proposals that meet specified conditions must be included in our proxy statement and proxy for the 2024 annual meeting. Under Exchange Act Rule 14a-8(e), shareholders that intend to</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-65-</w:t>
            </w:r>
          </w:p>
        </w:tc>
      </w:tr>
      <w:tr>
        <w:trPr>
          <w:trHeight w:val="219"/>
        </w:trPr>
        <w:tc>
          <w:tcPr>
            <w:tcW w:w="316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69" w:name="page70"/>
    <w:bookmarkEnd w:id="69"/>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right="1720"/>
        <w:spacing w:after="0" w:line="301" w:lineRule="auto"/>
        <w:rPr>
          <w:sz w:val="20"/>
          <w:szCs w:val="20"/>
          <w:color w:val="auto"/>
        </w:rPr>
      </w:pPr>
      <w:r>
        <w:rPr>
          <w:rFonts w:ascii="Arial" w:cs="Arial" w:eastAsia="Arial" w:hAnsi="Arial"/>
          <w:sz w:val="17"/>
          <w:szCs w:val="17"/>
          <w:color w:val="auto"/>
        </w:rPr>
        <w:t>present a proposal at our 2024 annual meeting must give us written notice of the proposal not later than November 24, 2023 for the proposal to be considered for inclusion in our proxy materials for that meeting.</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Requirements for Shareholder Proposals and Nominations to be Brought Before the Annual Meeting.</w:t>
      </w:r>
    </w:p>
    <w:p>
      <w:pPr>
        <w:spacing w:after="0" w:line="183" w:lineRule="exact"/>
        <w:rPr>
          <w:sz w:val="20"/>
          <w:szCs w:val="20"/>
          <w:color w:val="auto"/>
        </w:rPr>
      </w:pPr>
    </w:p>
    <w:p>
      <w:pPr>
        <w:ind w:left="920" w:right="940"/>
        <w:spacing w:after="0" w:line="237" w:lineRule="auto"/>
        <w:rPr>
          <w:sz w:val="20"/>
          <w:szCs w:val="20"/>
          <w:color w:val="auto"/>
        </w:rPr>
      </w:pPr>
      <w:r>
        <w:rPr>
          <w:rFonts w:ascii="Arial" w:cs="Arial" w:eastAsia="Arial" w:hAnsi="Arial"/>
          <w:sz w:val="18"/>
          <w:szCs w:val="18"/>
          <w:color w:val="auto"/>
        </w:rPr>
        <w:t>Shareholders who wish to submit nominations for the election of directors or proposals that will not be included in our proxy materials must do so in accordance with the advance notice provisions and other applicable requirements set forth in our Amended and Restated Bylaws. Our Amended and Restated Bylaws provide that the notice of proposals to be considered at our annual meeting must be received by Itron at least 90 days and not more than 120 days prior to the anniversary date of the prior year’s annual meeting, and that the notice of nominations for election of directors must be received at least 60 days and not more than 90 days prior to the date of our annual meeting (or if less than 60 days’ notice or prior public disclosure of the date of such annual meeting is given or made to the shareholders, not later than the tenth day following the day on which notice of the date of the annual meeting was mailed or public disclosure was made). Shareholders who intend to present proposals at the 2024 annual meeting that will not be included in our proxy materials must provide to our Corporate Secretary written notice of the business they wish to propose not later than February 11, 2024 and no sooner than January 12, 2024. Shareholders who intend to present notice of nominations for election of directors at the 2024 annual meeting that will not be included in our proxy materials must provide to our Corporate Secretary written notice of the business they wish to propose not later than March 12, 2024 and no sooner than February 11, 2024. Our timely receipt of a proposal by a qualified shareholder will not guarantee the proposal’s inclusion in our proxy materials or presentation at the 2024 annual meeting, because there are other requirements in the proxy rules. We reserve the right to reject, rule out of order, or take other appropriate action with respect to any proposal that does not comply with all applicable requirements of the SEC’s proxy rules, state law, and our Amended and Restated Bylaws.</w:t>
      </w:r>
    </w:p>
    <w:p>
      <w:pPr>
        <w:spacing w:after="0" w:line="141" w:lineRule="exact"/>
        <w:rPr>
          <w:sz w:val="20"/>
          <w:szCs w:val="20"/>
          <w:color w:val="auto"/>
        </w:rPr>
      </w:pPr>
    </w:p>
    <w:p>
      <w:pPr>
        <w:ind w:left="920" w:right="1360"/>
        <w:spacing w:after="0" w:line="253" w:lineRule="auto"/>
        <w:rPr>
          <w:sz w:val="20"/>
          <w:szCs w:val="20"/>
          <w:color w:val="auto"/>
        </w:rPr>
      </w:pPr>
      <w:r>
        <w:rPr>
          <w:rFonts w:ascii="Arial" w:cs="Arial" w:eastAsia="Arial" w:hAnsi="Arial"/>
          <w:sz w:val="18"/>
          <w:szCs w:val="18"/>
          <w:color w:val="auto"/>
        </w:rPr>
        <w:t>Shareholders who intend to solicit proxies in reliance on the SEC's universal proxy rule for director nominees submitted under the advance notice requirements of our Amended and Restated Bylaws must comply with the additional requirements of Rule 14a-19(b).</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Shareholder proposals should be directed to the attention of our Corporate Secretary, Itron, Inc., 2111 N.</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Molter Road, Liberty Lake, Washington 99019.</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OTHER INFORMATION</w:t>
      </w:r>
    </w:p>
    <w:p>
      <w:pPr>
        <w:spacing w:after="0" w:line="185" w:lineRule="exact"/>
        <w:rPr>
          <w:sz w:val="20"/>
          <w:szCs w:val="20"/>
          <w:color w:val="auto"/>
        </w:rPr>
      </w:pPr>
    </w:p>
    <w:p>
      <w:pPr>
        <w:ind w:left="920" w:right="1200"/>
        <w:spacing w:after="0" w:line="244" w:lineRule="auto"/>
        <w:rPr>
          <w:sz w:val="20"/>
          <w:szCs w:val="20"/>
          <w:color w:val="auto"/>
        </w:rPr>
      </w:pPr>
      <w:r>
        <w:rPr>
          <w:rFonts w:ascii="Arial" w:cs="Arial" w:eastAsia="Arial" w:hAnsi="Arial"/>
          <w:sz w:val="18"/>
          <w:szCs w:val="18"/>
          <w:color w:val="auto"/>
        </w:rPr>
        <w:t xml:space="preserve">We make available, free of charge, copies of our filings with the SEC, including this proxy statement and our Annual Report to Shareholders, upon the request of shareholders. The documents are also available for downloading or printing by going to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and selecting “Investors” and then “Financials and Filings.” Shareholders may submit a request for printed copies by e-mail through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by selecting “Investors” and then “Contact” or by mail to the following address:</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Itron, Inc. – Attention: Investor Relations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2111 N. Molter Road</w:t>
      </w:r>
    </w:p>
    <w:p>
      <w:pPr>
        <w:jc w:val="center"/>
        <w:ind w:right="20"/>
        <w:spacing w:after="0"/>
        <w:rPr>
          <w:sz w:val="20"/>
          <w:szCs w:val="20"/>
          <w:color w:val="auto"/>
        </w:rPr>
      </w:pPr>
      <w:r>
        <w:rPr>
          <w:rFonts w:ascii="Arial" w:cs="Arial" w:eastAsia="Arial" w:hAnsi="Arial"/>
          <w:sz w:val="18"/>
          <w:szCs w:val="18"/>
          <w:color w:val="auto"/>
        </w:rPr>
        <w:t>Liberty Lake, Washington 99019</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ind w:left="920"/>
              <w:spacing w:after="0"/>
              <w:rPr>
                <w:sz w:val="20"/>
                <w:szCs w:val="20"/>
                <w:color w:val="auto"/>
              </w:rPr>
            </w:pPr>
            <w:r>
              <w:rPr>
                <w:rFonts w:ascii="Arial" w:cs="Arial" w:eastAsia="Arial" w:hAnsi="Arial"/>
                <w:sz w:val="13"/>
                <w:szCs w:val="13"/>
                <w:color w:val="auto"/>
              </w:rPr>
              <w:t> </w:t>
            </w:r>
          </w:p>
        </w:tc>
        <w:tc>
          <w:tcPr>
            <w:tcW w:w="7860" w:type="dxa"/>
            <w:vAlign w:val="bottom"/>
          </w:tcPr>
          <w:p>
            <w:pPr>
              <w:jc w:val="right"/>
              <w:ind w:right="5250"/>
              <w:spacing w:after="0"/>
              <w:rPr>
                <w:sz w:val="20"/>
                <w:szCs w:val="20"/>
                <w:color w:val="auto"/>
              </w:rPr>
            </w:pPr>
            <w:r>
              <w:rPr>
                <w:rFonts w:ascii="Arial" w:cs="Arial" w:eastAsia="Arial" w:hAnsi="Arial"/>
                <w:sz w:val="18"/>
                <w:szCs w:val="18"/>
                <w:color w:val="auto"/>
              </w:rPr>
              <w:t>-66-</w:t>
            </w:r>
          </w:p>
        </w:tc>
      </w:tr>
      <w:tr>
        <w:trPr>
          <w:trHeight w:val="219"/>
        </w:trPr>
        <w:tc>
          <w:tcPr>
            <w:tcW w:w="316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70" w:name="page71"/>
    <w:bookmarkEnd w:id="70"/>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right"/>
        <w:ind w:right="920"/>
        <w:spacing w:after="0"/>
        <w:rPr>
          <w:sz w:val="20"/>
          <w:szCs w:val="20"/>
          <w:color w:val="auto"/>
        </w:rPr>
      </w:pPr>
      <w:r>
        <w:rPr>
          <w:rFonts w:ascii="Arial" w:cs="Arial" w:eastAsia="Arial" w:hAnsi="Arial"/>
          <w:sz w:val="18"/>
          <w:szCs w:val="18"/>
          <w:b w:val="1"/>
          <w:bCs w:val="1"/>
          <w:color w:val="auto"/>
        </w:rPr>
        <w:t>Appendix A</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ITRON, INC.</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2012 EMPLOYEE STOCK PURCHASE PLAN</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amended and restated, May 11, 2023)</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 PURPOSE; STRUCTURE OF PLAN</w:t>
      </w:r>
    </w:p>
    <w:p>
      <w:pPr>
        <w:spacing w:after="0" w:line="185" w:lineRule="exact"/>
        <w:rPr>
          <w:sz w:val="20"/>
          <w:szCs w:val="20"/>
          <w:color w:val="auto"/>
        </w:rPr>
      </w:pPr>
    </w:p>
    <w:p>
      <w:pPr>
        <w:jc w:val="both"/>
        <w:ind w:left="920" w:right="1080" w:firstLine="360"/>
        <w:spacing w:after="0" w:line="247" w:lineRule="auto"/>
        <w:rPr>
          <w:sz w:val="20"/>
          <w:szCs w:val="20"/>
          <w:color w:val="auto"/>
        </w:rPr>
      </w:pPr>
      <w:r>
        <w:rPr>
          <w:rFonts w:ascii="Arial" w:cs="Arial" w:eastAsia="Arial" w:hAnsi="Arial"/>
          <w:sz w:val="18"/>
          <w:szCs w:val="18"/>
          <w:color w:val="auto"/>
        </w:rPr>
        <w:t>The purpose of the Plan is to provide Eligible Employees with an opportunity to purchase shares of Stock by means of payroll deductions or other contributions, thereby allowing such individuals the opportunity to acquire an equity interest in the Company in a convenient manner and enhancing their sense of participation in the affairs of the Company.</w:t>
      </w:r>
    </w:p>
    <w:p>
      <w:pPr>
        <w:spacing w:after="0" w:line="133" w:lineRule="exact"/>
        <w:rPr>
          <w:sz w:val="20"/>
          <w:szCs w:val="20"/>
          <w:color w:val="auto"/>
        </w:rPr>
      </w:pPr>
    </w:p>
    <w:p>
      <w:pPr>
        <w:ind w:left="920" w:right="940" w:firstLine="360"/>
        <w:spacing w:after="0" w:line="238" w:lineRule="auto"/>
        <w:rPr>
          <w:sz w:val="20"/>
          <w:szCs w:val="20"/>
          <w:color w:val="auto"/>
        </w:rPr>
      </w:pPr>
      <w:r>
        <w:rPr>
          <w:rFonts w:ascii="Arial" w:cs="Arial" w:eastAsia="Arial" w:hAnsi="Arial"/>
          <w:sz w:val="18"/>
          <w:szCs w:val="18"/>
          <w:color w:val="auto"/>
        </w:rPr>
        <w:t>The Plan includes two components: a Code Section 423 component (the “Section 423 Plan”) and a non-Code Section 423 component (the “Non-423 Plan”). It is the intention of the Company that the Section 423 Plan qualify as an “employee stock purchase plan” under Section 423 of the Code, although the Company makes no undertaking nor representation to maintain such qualification. The provisions of the Section 423 Plan, accordingly, shall be construed so as to extend and limit participation in a uniform and nondiscriminatory manner consistent with the requirements of Section 423 of the Code. In addition, the Plan authorizes the grant of Options under the Non-423 Plan, which does not qualify as an “employee stock purchase plan” under Section 423 of the Code; such Options granted under the Non-423 Plan shall be granted pursuant to rules, procedures or sub-plans adopted by the Plan Administrator designed to achieve tax, securities laws or other objectives for Eligible Employees, the Company and its Affiliates. Except as otherwise provided herein, the Section 423 Plan and the Non-423 Plan shall operate and be administered in the same manner. Offerings intended to be made under the Non-423 Plan shall be designated as such by the Plan Administrator at or prior to the time of such Offering.</w:t>
      </w:r>
    </w:p>
    <w:p>
      <w:pPr>
        <w:spacing w:after="0" w:line="142" w:lineRule="exact"/>
        <w:rPr>
          <w:sz w:val="20"/>
          <w:szCs w:val="20"/>
          <w:color w:val="auto"/>
        </w:rPr>
      </w:pPr>
    </w:p>
    <w:p>
      <w:pPr>
        <w:ind w:left="920" w:right="1040" w:firstLine="360"/>
        <w:spacing w:after="0" w:line="242" w:lineRule="auto"/>
        <w:rPr>
          <w:sz w:val="20"/>
          <w:szCs w:val="20"/>
          <w:color w:val="auto"/>
        </w:rPr>
      </w:pPr>
      <w:r>
        <w:rPr>
          <w:rFonts w:ascii="Arial" w:cs="Arial" w:eastAsia="Arial" w:hAnsi="Arial"/>
          <w:sz w:val="18"/>
          <w:szCs w:val="18"/>
          <w:color w:val="auto"/>
        </w:rPr>
        <w:t>If a Participant transfers employment among the Company and any Designated Corporation or Designated Affiliate, such participant shall continue to participate in the Offering in which he or she was participating for the duration of the current Offering Period (except as set forth herein or unless otherwise determined by the Plan Administrator in its sole discretion), but upon commencement of a new Offering, the Participant shall automatically be deemed to be participating in the new Offering applicable to the Company or Designated Corporation or Designated Affiliate to which the Participant transferred employment.</w:t>
      </w:r>
    </w:p>
    <w:p>
      <w:pPr>
        <w:spacing w:after="0" w:line="152" w:lineRule="exact"/>
        <w:rPr>
          <w:sz w:val="20"/>
          <w:szCs w:val="20"/>
          <w:color w:val="auto"/>
        </w:rPr>
      </w:pPr>
    </w:p>
    <w:p>
      <w:pPr>
        <w:ind w:left="920" w:right="1020" w:firstLine="360"/>
        <w:spacing w:after="0" w:line="237" w:lineRule="auto"/>
        <w:rPr>
          <w:sz w:val="20"/>
          <w:szCs w:val="20"/>
          <w:color w:val="auto"/>
        </w:rPr>
      </w:pPr>
      <w:r>
        <w:rPr>
          <w:rFonts w:ascii="Arial" w:cs="Arial" w:eastAsia="Arial" w:hAnsi="Arial"/>
          <w:sz w:val="18"/>
          <w:szCs w:val="18"/>
          <w:color w:val="auto"/>
        </w:rPr>
        <w:t>If a Participant transfers employment from the Company or any Designated Corporation participating in the Section 423 Plan to a Designated Affiliate participating in the Non-423 Plan, he or she shall remain in the Section 423 Plan until the next Offering, provided he or she continues to be eligible to purchase Stock under the Code Section 423 requirements; if the Participant is not eligible to purchase Stock under the Code Section 423 requirements, he or she shall immediately cease to participate in the Section 423 Plan but any payroll deductions taken or other contributions made for the Purchase Period in which such transfer occurs shall be transferred to the Non-423 Plan, and such Participant shall participate in the Plan under the Non-423 Plan upon the same terms and conditions as previously applicable to him or her, except for such modifications as may be required by applicable law, as determined by the Administrator in its sole discretion. A Participant who transfers employment from a Designated Affiliate participating in the Non-423 Plan to the Company or any Designated Corporation participating in the Section 423 Plan shall remain a Participant in the Non-423 Plan until the earlier of (i) the end of the current Offering under the Non-423 Plan, or (ii) the Offering Date of the first Offering in which he or she participates following such transfer. Notwithstanding the foregoing, the Plan Administrator may establish different rules to govern transfers of employment between Affiliates participating in the Section 423 Plan and the Non-423 Plan, consistent with the applicable requirements of Section 423 of the Code.</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2. DEFINITIONS</w:t>
      </w:r>
    </w:p>
    <w:p>
      <w:pPr>
        <w:spacing w:after="0" w:line="185" w:lineRule="exact"/>
        <w:rPr>
          <w:sz w:val="20"/>
          <w:szCs w:val="20"/>
          <w:color w:val="auto"/>
        </w:rPr>
      </w:pPr>
    </w:p>
    <w:p>
      <w:pPr>
        <w:ind w:left="920" w:right="1000" w:firstLine="360"/>
        <w:spacing w:after="0" w:line="253" w:lineRule="auto"/>
        <w:rPr>
          <w:sz w:val="20"/>
          <w:szCs w:val="20"/>
          <w:color w:val="auto"/>
        </w:rPr>
      </w:pPr>
      <w:r>
        <w:rPr>
          <w:rFonts w:ascii="Arial" w:cs="Arial" w:eastAsia="Arial" w:hAnsi="Arial"/>
          <w:sz w:val="18"/>
          <w:szCs w:val="18"/>
          <w:i w:val="1"/>
          <w:iCs w:val="1"/>
          <w:color w:val="auto"/>
        </w:rPr>
        <w:t xml:space="preserve">“Affiliate” </w:t>
      </w:r>
      <w:r>
        <w:rPr>
          <w:rFonts w:ascii="Arial" w:cs="Arial" w:eastAsia="Arial" w:hAnsi="Arial"/>
          <w:sz w:val="18"/>
          <w:szCs w:val="18"/>
          <w:color w:val="auto"/>
        </w:rPr>
        <w:t>shall have the meaning ascribed to such term in Rule 12b-2 promulgated under the Exchange Act.</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shall have the authority to determine the time or times at which “Affiliate” status is determined within the foregoing definition.</w:t>
      </w:r>
    </w:p>
    <w:p>
      <w:pPr>
        <w:spacing w:after="0" w:line="169"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40" w:type="dxa"/>
            <w:vAlign w:val="bottom"/>
          </w:tcPr>
          <w:p>
            <w:pPr>
              <w:ind w:left="920"/>
              <w:spacing w:after="0"/>
              <w:rPr>
                <w:sz w:val="20"/>
                <w:szCs w:val="20"/>
                <w:color w:val="auto"/>
              </w:rPr>
            </w:pPr>
            <w:r>
              <w:rPr>
                <w:rFonts w:ascii="Arial" w:cs="Arial" w:eastAsia="Arial" w:hAnsi="Arial"/>
                <w:sz w:val="13"/>
                <w:szCs w:val="13"/>
                <w:color w:val="auto"/>
              </w:rPr>
              <w:t> </w:t>
            </w:r>
          </w:p>
        </w:tc>
        <w:tc>
          <w:tcPr>
            <w:tcW w:w="7880" w:type="dxa"/>
            <w:vAlign w:val="bottom"/>
          </w:tcPr>
          <w:p>
            <w:pPr>
              <w:ind w:left="2180"/>
              <w:spacing w:after="0"/>
              <w:rPr>
                <w:sz w:val="20"/>
                <w:szCs w:val="20"/>
                <w:color w:val="auto"/>
              </w:rPr>
            </w:pPr>
            <w:r>
              <w:rPr>
                <w:rFonts w:ascii="Arial" w:cs="Arial" w:eastAsia="Arial" w:hAnsi="Arial"/>
                <w:sz w:val="18"/>
                <w:szCs w:val="18"/>
                <w:color w:val="auto"/>
              </w:rPr>
              <w:t>-A-1-</w:t>
            </w:r>
          </w:p>
        </w:tc>
      </w:tr>
      <w:tr>
        <w:trPr>
          <w:trHeight w:val="219"/>
        </w:trPr>
        <w:tc>
          <w:tcPr>
            <w:tcW w:w="3140" w:type="dxa"/>
            <w:vAlign w:val="bottom"/>
            <w:tcBorders>
              <w:bottom w:val="single" w:sz="8" w:color="auto"/>
            </w:tcBorders>
          </w:tcPr>
          <w:p>
            <w:pPr>
              <w:spacing w:after="0"/>
              <w:rPr>
                <w:sz w:val="19"/>
                <w:szCs w:val="19"/>
                <w:color w:val="auto"/>
              </w:rPr>
            </w:pPr>
          </w:p>
        </w:tc>
        <w:tc>
          <w:tcPr>
            <w:tcW w:w="788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71" w:name="page72"/>
    <w:bookmarkEnd w:id="71"/>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right="940" w:firstLine="360"/>
        <w:spacing w:after="0" w:line="275" w:lineRule="auto"/>
        <w:rPr>
          <w:sz w:val="20"/>
          <w:szCs w:val="20"/>
          <w:color w:val="auto"/>
        </w:rPr>
      </w:pPr>
      <w:r>
        <w:rPr>
          <w:rFonts w:ascii="Arial" w:cs="Arial" w:eastAsia="Arial" w:hAnsi="Arial"/>
          <w:sz w:val="17"/>
          <w:szCs w:val="17"/>
          <w:i w:val="1"/>
          <w:iCs w:val="1"/>
          <w:color w:val="auto"/>
        </w:rPr>
        <w:t xml:space="preserve">“Code” </w:t>
      </w:r>
      <w:r>
        <w:rPr>
          <w:rFonts w:ascii="Arial" w:cs="Arial" w:eastAsia="Arial" w:hAnsi="Arial"/>
          <w:sz w:val="17"/>
          <w:szCs w:val="17"/>
          <w:color w:val="auto"/>
        </w:rPr>
        <w:t>means the U.S. Internal Revenue Code of 1986, as amended. Reference to a specific section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Code or U.S. Treasury Regulation thereunder shall include such section or regulation and any comparable provision of any future legislation or regulation amending, supplementing or superseding such section or regulation.</w:t>
      </w:r>
    </w:p>
    <w:p>
      <w:pPr>
        <w:spacing w:after="0" w:line="165"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means Itron, Inc., a Washington corporation, or any successor thereto.</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 Transaction</w:t>
      </w:r>
      <w:r>
        <w:rPr>
          <w:rFonts w:ascii="Arial" w:cs="Arial" w:eastAsia="Arial" w:hAnsi="Arial"/>
          <w:sz w:val="18"/>
          <w:szCs w:val="18"/>
          <w:color w:val="auto"/>
        </w:rPr>
        <w:t>” means the occurrence of any of the following events:</w:t>
      </w:r>
    </w:p>
    <w:p>
      <w:pPr>
        <w:spacing w:after="0" w:line="171" w:lineRule="exact"/>
        <w:rPr>
          <w:sz w:val="20"/>
          <w:szCs w:val="20"/>
          <w:color w:val="auto"/>
        </w:rPr>
      </w:pPr>
    </w:p>
    <w:p>
      <w:pPr>
        <w:ind w:left="920" w:right="980" w:firstLine="354"/>
        <w:spacing w:after="0" w:line="266" w:lineRule="auto"/>
        <w:tabs>
          <w:tab w:leader="none" w:pos="155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any Person is or becomes the Beneficial Owner (as such term is set forth in Rule 13d-3 under the Exchange Act), directly or indirectly, of securities of the Company representing 25% or more of either the then outstanding shares of Stock or the combined voting power of the Company's then outstanding securities, excluding any Person who becomes such a Beneficial Owner in connection with a transaction described in (c)(i) below;</w:t>
      </w:r>
    </w:p>
    <w:p>
      <w:pPr>
        <w:spacing w:after="0" w:line="118" w:lineRule="exact"/>
        <w:rPr>
          <w:rFonts w:ascii="Arial" w:cs="Arial" w:eastAsia="Arial" w:hAnsi="Arial"/>
          <w:sz w:val="17"/>
          <w:szCs w:val="17"/>
          <w:color w:val="auto"/>
        </w:rPr>
      </w:pPr>
    </w:p>
    <w:p>
      <w:pPr>
        <w:ind w:left="920" w:right="1020" w:firstLine="354"/>
        <w:spacing w:after="0" w:line="239" w:lineRule="auto"/>
        <w:tabs>
          <w:tab w:leader="none" w:pos="155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change in the composition of the Board during any two-year period such that the individuals who, as of the date hereof, constitute the Board (the "</w:t>
      </w:r>
      <w:r>
        <w:rPr>
          <w:rFonts w:ascii="Arial" w:cs="Arial" w:eastAsia="Arial" w:hAnsi="Arial"/>
          <w:sz w:val="18"/>
          <w:szCs w:val="18"/>
          <w:i w:val="1"/>
          <w:iCs w:val="1"/>
          <w:color w:val="auto"/>
        </w:rPr>
        <w:t>Incumbent Board</w:t>
      </w:r>
      <w:r>
        <w:rPr>
          <w:rFonts w:ascii="Arial" w:cs="Arial" w:eastAsia="Arial" w:hAnsi="Arial"/>
          <w:sz w:val="18"/>
          <w:szCs w:val="18"/>
          <w:color w:val="auto"/>
        </w:rPr>
        <w:t>") cease for any reason to constitute at least a majority of the Board; provided, however, that for purposes of this definition, any individual who becomes a member of the Board subsequent to the beginning of the two-year period, whose election, or nomination for election by the Company's shareholders, was approved by a vote of at least two-thirds of those individuals who are members of the Board and who were also members of the Incumbent Board (or deemed to be such pursuant to this proviso) shall be considered as though such individual were a member of the Incumbent Board; and provided further, however, that any such individual whose initial assumption of office occurs as a result of or in connection with an actual or threatened solicitation of proxies or consents by or on behalf of an Person other than the Board shall not be considered a member of the Incumbent Board;</w:t>
      </w:r>
    </w:p>
    <w:p>
      <w:pPr>
        <w:spacing w:after="0" w:line="152" w:lineRule="exact"/>
        <w:rPr>
          <w:rFonts w:ascii="Arial" w:cs="Arial" w:eastAsia="Arial" w:hAnsi="Arial"/>
          <w:sz w:val="18"/>
          <w:szCs w:val="18"/>
          <w:color w:val="auto"/>
        </w:rPr>
      </w:pPr>
    </w:p>
    <w:p>
      <w:pPr>
        <w:ind w:left="920" w:right="1180" w:firstLine="354"/>
        <w:spacing w:after="0"/>
        <w:tabs>
          <w:tab w:leader="none" w:pos="1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there is consummated a merger or consolidation of the Company or any direct or indirect Subsidiary with any other corporation, other than (i) a merger or consolidation immediately following which members of the Incumbent Board constitute a majority of the members of the board of directors (or similar body) of the surviving entity or, if the surviving entity is a subsidiary, any parent thereof,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25% or more of the combined voting power of the Company's then outstanding securities; or</w:t>
      </w:r>
    </w:p>
    <w:p>
      <w:pPr>
        <w:spacing w:after="0" w:line="139" w:lineRule="exact"/>
        <w:rPr>
          <w:rFonts w:ascii="Arial" w:cs="Arial" w:eastAsia="Arial" w:hAnsi="Arial"/>
          <w:sz w:val="18"/>
          <w:szCs w:val="18"/>
          <w:color w:val="auto"/>
        </w:rPr>
      </w:pPr>
    </w:p>
    <w:p>
      <w:pPr>
        <w:ind w:left="920" w:right="1000" w:firstLine="354"/>
        <w:spacing w:after="0" w:line="244" w:lineRule="auto"/>
        <w:tabs>
          <w:tab w:leader="none" w:pos="155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shareholders of the Company approve a plan of complete liquidation or dissolution of the Company or the consummation of a sale or disposition by the Company of all or substantially all of the Company's assets, other than a sale or disposition by the Company of all or substantially all of the Company's assets to an entity, at least 50% of the combined voting power of the voting securities of which are owned by shareholders of the Company in substantially the same proportions as their ownership of the Company immediately prior to such sale.</w:t>
      </w:r>
    </w:p>
    <w:p>
      <w:pPr>
        <w:spacing w:after="0" w:line="136" w:lineRule="exact"/>
        <w:rPr>
          <w:sz w:val="20"/>
          <w:szCs w:val="20"/>
          <w:color w:val="auto"/>
        </w:rPr>
      </w:pPr>
    </w:p>
    <w:p>
      <w:pPr>
        <w:ind w:left="920" w:right="1000" w:firstLine="360"/>
        <w:spacing w:after="0" w:line="242" w:lineRule="auto"/>
        <w:rPr>
          <w:sz w:val="20"/>
          <w:szCs w:val="20"/>
          <w:color w:val="auto"/>
        </w:rPr>
      </w:pPr>
      <w:r>
        <w:rPr>
          <w:rFonts w:ascii="Arial" w:cs="Arial" w:eastAsia="Arial" w:hAnsi="Arial"/>
          <w:sz w:val="18"/>
          <w:szCs w:val="18"/>
          <w:color w:val="auto"/>
        </w:rPr>
        <w:t>For purposes of this definition, “</w:t>
      </w:r>
      <w:r>
        <w:rPr>
          <w:rFonts w:ascii="Arial" w:cs="Arial" w:eastAsia="Arial" w:hAnsi="Arial"/>
          <w:sz w:val="18"/>
          <w:szCs w:val="18"/>
          <w:i w:val="1"/>
          <w:iCs w:val="1"/>
          <w:color w:val="auto"/>
        </w:rPr>
        <w:t>Person</w:t>
      </w:r>
      <w:r>
        <w:rPr>
          <w:rFonts w:ascii="Arial" w:cs="Arial" w:eastAsia="Arial" w:hAnsi="Arial"/>
          <w:sz w:val="18"/>
          <w:szCs w:val="18"/>
          <w:color w:val="auto"/>
        </w:rPr>
        <w:t>”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the shareholders of the Company in substantially the same proportions as their ownership of stock of the Company.</w:t>
      </w:r>
    </w:p>
    <w:p>
      <w:pPr>
        <w:spacing w:after="0" w:line="152" w:lineRule="exact"/>
        <w:rPr>
          <w:sz w:val="20"/>
          <w:szCs w:val="20"/>
          <w:color w:val="auto"/>
        </w:rPr>
      </w:pPr>
    </w:p>
    <w:p>
      <w:pPr>
        <w:ind w:left="920" w:right="980" w:firstLine="360"/>
        <w:spacing w:after="0" w:line="247" w:lineRule="auto"/>
        <w:rPr>
          <w:sz w:val="20"/>
          <w:szCs w:val="20"/>
          <w:color w:val="auto"/>
        </w:rPr>
      </w:pPr>
      <w:r>
        <w:rPr>
          <w:rFonts w:ascii="Arial" w:cs="Arial" w:eastAsia="Arial" w:hAnsi="Arial"/>
          <w:sz w:val="18"/>
          <w:szCs w:val="18"/>
          <w:color w:val="auto"/>
        </w:rPr>
        <w:t>For the avoidance of doubt, a transaction shall not constitute a Change in Control Transaction if its sole purpose is either to change the state of the Company’s incorporation or to create a holding company that shall be owned in substantially the same proportions by the persons who held the Company’s securities immediately before such transaction.</w:t>
      </w:r>
    </w:p>
    <w:p>
      <w:pPr>
        <w:spacing w:after="0" w:line="133" w:lineRule="exact"/>
        <w:rPr>
          <w:sz w:val="20"/>
          <w:szCs w:val="20"/>
          <w:color w:val="auto"/>
        </w:rPr>
      </w:pPr>
    </w:p>
    <w:p>
      <w:pPr>
        <w:ind w:left="920" w:right="1080" w:firstLine="360"/>
        <w:spacing w:after="0" w:line="271" w:lineRule="auto"/>
        <w:rPr>
          <w:sz w:val="20"/>
          <w:szCs w:val="20"/>
          <w:color w:val="auto"/>
        </w:rPr>
      </w:pPr>
      <w:r>
        <w:rPr>
          <w:rFonts w:ascii="Arial" w:cs="Arial" w:eastAsia="Arial" w:hAnsi="Arial"/>
          <w:sz w:val="18"/>
          <w:szCs w:val="18"/>
          <w:i w:val="1"/>
          <w:iCs w:val="1"/>
          <w:color w:val="auto"/>
        </w:rPr>
        <w:t xml:space="preserve">“Designated Affiliate” </w:t>
      </w:r>
      <w:r>
        <w:rPr>
          <w:rFonts w:ascii="Arial" w:cs="Arial" w:eastAsia="Arial" w:hAnsi="Arial"/>
          <w:sz w:val="18"/>
          <w:szCs w:val="18"/>
          <w:color w:val="auto"/>
        </w:rPr>
        <w:t>means any Affiliate designated by the Plan Administrator as eligible to participate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Non-423 Plan.</w:t>
      </w:r>
    </w:p>
    <w:p>
      <w:pPr>
        <w:spacing w:after="0" w:line="113" w:lineRule="exact"/>
        <w:rPr>
          <w:sz w:val="20"/>
          <w:szCs w:val="20"/>
          <w:color w:val="auto"/>
        </w:rPr>
      </w:pPr>
    </w:p>
    <w:p>
      <w:pPr>
        <w:ind w:left="920" w:right="1260" w:firstLine="360"/>
        <w:spacing w:after="0" w:line="271" w:lineRule="auto"/>
        <w:rPr>
          <w:sz w:val="20"/>
          <w:szCs w:val="20"/>
          <w:color w:val="auto"/>
        </w:rPr>
      </w:pPr>
      <w:r>
        <w:rPr>
          <w:rFonts w:ascii="Arial" w:cs="Arial" w:eastAsia="Arial" w:hAnsi="Arial"/>
          <w:sz w:val="18"/>
          <w:szCs w:val="18"/>
          <w:i w:val="1"/>
          <w:iCs w:val="1"/>
          <w:color w:val="auto"/>
        </w:rPr>
        <w:t xml:space="preserve">“Designated Corporation” </w:t>
      </w:r>
      <w:r>
        <w:rPr>
          <w:rFonts w:ascii="Arial" w:cs="Arial" w:eastAsia="Arial" w:hAnsi="Arial"/>
          <w:sz w:val="18"/>
          <w:szCs w:val="18"/>
          <w:color w:val="auto"/>
        </w:rPr>
        <w:t>means any Parent Corporation or Subsidiary Corporation designated by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as eligible to participate under the Section 423 Plan.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40" w:type="dxa"/>
            <w:vAlign w:val="bottom"/>
          </w:tcPr>
          <w:p>
            <w:pPr>
              <w:ind w:left="920"/>
              <w:spacing w:after="0"/>
              <w:rPr>
                <w:sz w:val="20"/>
                <w:szCs w:val="20"/>
                <w:color w:val="auto"/>
              </w:rPr>
            </w:pPr>
            <w:r>
              <w:rPr>
                <w:rFonts w:ascii="Arial" w:cs="Arial" w:eastAsia="Arial" w:hAnsi="Arial"/>
                <w:sz w:val="13"/>
                <w:szCs w:val="13"/>
                <w:color w:val="auto"/>
              </w:rPr>
              <w:t> </w:t>
            </w:r>
          </w:p>
        </w:tc>
        <w:tc>
          <w:tcPr>
            <w:tcW w:w="7880" w:type="dxa"/>
            <w:vAlign w:val="bottom"/>
          </w:tcPr>
          <w:p>
            <w:pPr>
              <w:ind w:left="2180"/>
              <w:spacing w:after="0"/>
              <w:rPr>
                <w:sz w:val="20"/>
                <w:szCs w:val="20"/>
                <w:color w:val="auto"/>
              </w:rPr>
            </w:pPr>
            <w:r>
              <w:rPr>
                <w:rFonts w:ascii="Arial" w:cs="Arial" w:eastAsia="Arial" w:hAnsi="Arial"/>
                <w:sz w:val="18"/>
                <w:szCs w:val="18"/>
                <w:color w:val="auto"/>
              </w:rPr>
              <w:t>-A-2-</w:t>
            </w:r>
          </w:p>
        </w:tc>
      </w:tr>
      <w:tr>
        <w:trPr>
          <w:trHeight w:val="233"/>
        </w:trPr>
        <w:tc>
          <w:tcPr>
            <w:tcW w:w="3140" w:type="dxa"/>
            <w:vAlign w:val="bottom"/>
            <w:tcBorders>
              <w:bottom w:val="single" w:sz="8" w:color="auto"/>
            </w:tcBorders>
          </w:tcPr>
          <w:p>
            <w:pPr>
              <w:spacing w:after="0"/>
              <w:rPr>
                <w:sz w:val="20"/>
                <w:szCs w:val="20"/>
                <w:color w:val="auto"/>
              </w:rPr>
            </w:pPr>
          </w:p>
        </w:tc>
        <w:tc>
          <w:tcPr>
            <w:tcW w:w="788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263" w:right="439" w:bottom="1440" w:gutter="0" w:footer="0" w:header="0"/>
        </w:sectPr>
      </w:pPr>
    </w:p>
    <w:bookmarkStart w:id="72" w:name="page73"/>
    <w:bookmarkEnd w:id="72"/>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right="960" w:firstLine="360"/>
        <w:spacing w:after="0" w:line="242" w:lineRule="auto"/>
        <w:rPr>
          <w:sz w:val="20"/>
          <w:szCs w:val="20"/>
          <w:color w:val="auto"/>
        </w:rPr>
      </w:pPr>
      <w:r>
        <w:rPr>
          <w:rFonts w:ascii="Arial" w:cs="Arial" w:eastAsia="Arial" w:hAnsi="Arial"/>
          <w:sz w:val="18"/>
          <w:szCs w:val="18"/>
          <w:i w:val="1"/>
          <w:iCs w:val="1"/>
          <w:color w:val="auto"/>
        </w:rPr>
        <w:t xml:space="preserve">“Eligible Compensation” </w:t>
      </w:r>
      <w:r>
        <w:rPr>
          <w:rFonts w:ascii="Arial" w:cs="Arial" w:eastAsia="Arial" w:hAnsi="Arial"/>
          <w:sz w:val="18"/>
          <w:szCs w:val="18"/>
          <w:color w:val="auto"/>
        </w:rPr>
        <w:t>means all regular cash compensation, including overtime, cash bonuses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commissions. Regular cash compensation does not include severance pay, hiring and relocation bonuses, pay in lieu of vacations, sick leave or any other special payments. The Plan Administrator, in its discretion, may, on a uniform and nondiscriminatory basis for each Offering, establish a different definition of Eligible Compensation for a subsequent Offering. Further, the Plan Administrator shall have discretion to determine the application of this definition to Participants outside the United States.</w:t>
      </w:r>
    </w:p>
    <w:p>
      <w:pPr>
        <w:spacing w:after="0" w:line="152" w:lineRule="exact"/>
        <w:rPr>
          <w:sz w:val="20"/>
          <w:szCs w:val="20"/>
          <w:color w:val="auto"/>
        </w:rPr>
      </w:pPr>
    </w:p>
    <w:p>
      <w:pPr>
        <w:ind w:left="920" w:right="1060" w:firstLine="360"/>
        <w:spacing w:after="0"/>
        <w:rPr>
          <w:sz w:val="20"/>
          <w:szCs w:val="20"/>
          <w:color w:val="auto"/>
        </w:rPr>
      </w:pPr>
      <w:r>
        <w:rPr>
          <w:rFonts w:ascii="Arial" w:cs="Arial" w:eastAsia="Arial" w:hAnsi="Arial"/>
          <w:sz w:val="18"/>
          <w:szCs w:val="18"/>
          <w:i w:val="1"/>
          <w:iCs w:val="1"/>
          <w:color w:val="auto"/>
        </w:rPr>
        <w:t xml:space="preserve">“Eligible Employee” </w:t>
      </w:r>
      <w:r>
        <w:rPr>
          <w:rFonts w:ascii="Arial" w:cs="Arial" w:eastAsia="Arial" w:hAnsi="Arial"/>
          <w:sz w:val="18"/>
          <w:szCs w:val="18"/>
          <w:color w:val="auto"/>
        </w:rPr>
        <w:t>means any individual providing services to the Company or a Designated Corporation or</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Designated Affiliate in an employee-employer relationship, in each case regardless of any subsequent reclassification by the Company or by any Designated Corporation or Designated Affiliate, any governmental agency, or any court, and subject to the qualifications set forth in this definition section. For purposes of the Non-423 Plan and subject to the Plan Administrator’s sole discretion, this may include individuals who are employed or engaged by a third party agency but provide services to the Company or a Designated Corporation or Designated Affiliate, at the direction of the Company or a Designated Corporation or Designated Affiliate.</w:t>
      </w:r>
    </w:p>
    <w:p>
      <w:pPr>
        <w:spacing w:after="0" w:line="144" w:lineRule="exact"/>
        <w:rPr>
          <w:sz w:val="20"/>
          <w:szCs w:val="20"/>
          <w:color w:val="auto"/>
        </w:rPr>
      </w:pPr>
    </w:p>
    <w:p>
      <w:pPr>
        <w:ind w:left="920" w:right="1000" w:firstLine="360"/>
        <w:spacing w:after="0"/>
        <w:rPr>
          <w:sz w:val="20"/>
          <w:szCs w:val="20"/>
          <w:color w:val="auto"/>
        </w:rPr>
      </w:pPr>
      <w:r>
        <w:rPr>
          <w:rFonts w:ascii="Arial" w:cs="Arial" w:eastAsia="Arial" w:hAnsi="Arial"/>
          <w:sz w:val="18"/>
          <w:szCs w:val="18"/>
          <w:color w:val="auto"/>
        </w:rPr>
        <w:t>For purposes of the Plan, the employment relationship shall be treated as continuing intact while the individual is on military or sick leave or other bona fide leave of absence approved by the Company or the applicable Designated Corporation or Designated Affiliate so long as the leave does not exceed three (3) months or, if longer than three (3) months, the individual’s right to reemployment is provided by statute or has been agreed to by contract or in a written policy of the Company which provides for a right of reemployment following the leave of absence. The employment relationship shall be treated as continuing intact where an Eligible Employee transfers employment between the Company, Designated Corporations and/or Designated Affiliates, to the extent permitted under Section 423 of the Code.</w:t>
      </w:r>
    </w:p>
    <w:p>
      <w:pPr>
        <w:spacing w:after="0" w:line="140" w:lineRule="exact"/>
        <w:rPr>
          <w:sz w:val="20"/>
          <w:szCs w:val="20"/>
          <w:color w:val="auto"/>
        </w:rPr>
      </w:pPr>
    </w:p>
    <w:p>
      <w:pPr>
        <w:ind w:left="920" w:right="980" w:firstLine="360"/>
        <w:spacing w:after="0" w:line="238" w:lineRule="auto"/>
        <w:rPr>
          <w:sz w:val="20"/>
          <w:szCs w:val="20"/>
          <w:color w:val="auto"/>
        </w:rPr>
      </w:pPr>
      <w:r>
        <w:rPr>
          <w:rFonts w:ascii="Arial" w:cs="Arial" w:eastAsia="Arial" w:hAnsi="Arial"/>
          <w:sz w:val="18"/>
          <w:szCs w:val="18"/>
          <w:color w:val="auto"/>
        </w:rPr>
        <w:t>The Plan Administrator, in its discretion, from time to time may, prior to an Offering Date for all Options to be granted on such Offering Date, determine (on a uniform and nondiscriminatory basis or as otherwise permitted by U.S. Treasury Regulation Section 1.423-2 for Options granted under the Section 423 Plan) that the definition of Eligible Employee shall or shall not include an individual if he or she: (a) customarily works twenty (20) hours or less per week (or such lesser period of time as may be determined by the Plan Administrator in its discretion), (b) customarily works not more than five (5) months per calendar year (or such lesser period of time as may be determined by the Plan Administrator in its discretion), (c) is a highly compensated employee within the meaning of Section 414(q) of the Code, or (d) is a highly compensated employee within the meaning of Section 414(q) of the Code with compensation above a certain level or is an officer or subject to the disclosure requirements of Section 16(a) of the Exchange Act. Under the Section 423 Plan, any such exclusion shall be applied with respect to an Offering in a manner complying with U.S. Treasury Regulation Section 1.423-2(e).</w:t>
      </w:r>
    </w:p>
    <w:p>
      <w:pPr>
        <w:spacing w:after="0" w:line="159" w:lineRule="exact"/>
        <w:rPr>
          <w:sz w:val="20"/>
          <w:szCs w:val="20"/>
          <w:color w:val="auto"/>
        </w:rPr>
      </w:pPr>
    </w:p>
    <w:p>
      <w:pPr>
        <w:jc w:val="both"/>
        <w:ind w:left="920" w:right="1080" w:firstLine="360"/>
        <w:spacing w:after="0" w:line="253" w:lineRule="auto"/>
        <w:rPr>
          <w:sz w:val="20"/>
          <w:szCs w:val="20"/>
          <w:color w:val="auto"/>
        </w:rPr>
      </w:pPr>
      <w:r>
        <w:rPr>
          <w:rFonts w:ascii="Arial" w:cs="Arial" w:eastAsia="Arial" w:hAnsi="Arial"/>
          <w:sz w:val="18"/>
          <w:szCs w:val="18"/>
          <w:color w:val="auto"/>
        </w:rPr>
        <w:t>A Participant shall cease to be an Eligible Employee upon the Participant’s termination of employment, upon the Participant’s Employer ceasing to be a Designated Corporation or Designated Affiliate, or upon the Participant transferring to an Affiliate that is not a Designated Corporation or Designated Affiliate.</w:t>
      </w:r>
    </w:p>
    <w:p>
      <w:pPr>
        <w:spacing w:after="0" w:line="128" w:lineRule="exact"/>
        <w:rPr>
          <w:sz w:val="20"/>
          <w:szCs w:val="20"/>
          <w:color w:val="auto"/>
        </w:rPr>
      </w:pPr>
    </w:p>
    <w:p>
      <w:pPr>
        <w:jc w:val="both"/>
        <w:ind w:left="920" w:right="1060" w:firstLine="36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Employer</w:t>
      </w:r>
      <w:r>
        <w:rPr>
          <w:rFonts w:ascii="Arial" w:cs="Arial" w:eastAsia="Arial" w:hAnsi="Arial"/>
          <w:sz w:val="18"/>
          <w:szCs w:val="18"/>
          <w:color w:val="auto"/>
        </w:rPr>
        <w:t>” means the Company or the Designated Corporation or Designated Affiliate that is the employer of the applicable Eligible Employee in accordance with the definition of Eligible Employee set forth above.</w:t>
      </w:r>
    </w:p>
    <w:p>
      <w:pPr>
        <w:spacing w:after="0" w:line="167"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 xml:space="preserve">“ESPP Broker” </w:t>
      </w:r>
      <w:r>
        <w:rPr>
          <w:rFonts w:ascii="Arial" w:cs="Arial" w:eastAsia="Arial" w:hAnsi="Arial"/>
          <w:sz w:val="18"/>
          <w:szCs w:val="18"/>
          <w:color w:val="auto"/>
        </w:rPr>
        <w:t>has the meaning set forth in Section 10.</w:t>
      </w:r>
    </w:p>
    <w:p>
      <w:pPr>
        <w:spacing w:after="0" w:line="212"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U.S. Securities Exchange Act of 1934, as amended.</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means, as of any date, the value of the Stock determined as follows:</w:t>
      </w:r>
    </w:p>
    <w:p>
      <w:pPr>
        <w:spacing w:after="0" w:line="171" w:lineRule="exact"/>
        <w:rPr>
          <w:sz w:val="20"/>
          <w:szCs w:val="20"/>
          <w:color w:val="auto"/>
        </w:rPr>
      </w:pPr>
    </w:p>
    <w:p>
      <w:pPr>
        <w:ind w:left="920" w:right="940" w:firstLine="354"/>
        <w:spacing w:after="0" w:line="247" w:lineRule="auto"/>
        <w:tabs>
          <w:tab w:leader="none" w:pos="155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If the Stock is listed on any established stock exchange or national market system (including, without limitation, the Nasdaq Global Select Market), its Fair Market Value shall be the closing sales price for such Stock as quoted on such exchange or system on the date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Plan Administrator deems reliable; or</w:t>
      </w:r>
    </w:p>
    <w:p>
      <w:pPr>
        <w:spacing w:after="0" w:line="146" w:lineRule="exact"/>
        <w:rPr>
          <w:rFonts w:ascii="Arial" w:cs="Arial" w:eastAsia="Arial" w:hAnsi="Arial"/>
          <w:sz w:val="18"/>
          <w:szCs w:val="18"/>
          <w:color w:val="auto"/>
        </w:rPr>
      </w:pPr>
    </w:p>
    <w:p>
      <w:pPr>
        <w:ind w:left="920" w:right="1220" w:firstLine="354"/>
        <w:spacing w:after="0" w:line="271" w:lineRule="auto"/>
        <w:tabs>
          <w:tab w:leader="none" w:pos="155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the absence of an established market for the Stock, its Fair Market Value shall be determined in good faith by the Plan Administrator.</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40" w:type="dxa"/>
            <w:vAlign w:val="bottom"/>
          </w:tcPr>
          <w:p>
            <w:pPr>
              <w:ind w:left="920"/>
              <w:spacing w:after="0"/>
              <w:rPr>
                <w:sz w:val="20"/>
                <w:szCs w:val="20"/>
                <w:color w:val="auto"/>
              </w:rPr>
            </w:pPr>
            <w:r>
              <w:rPr>
                <w:rFonts w:ascii="Arial" w:cs="Arial" w:eastAsia="Arial" w:hAnsi="Arial"/>
                <w:sz w:val="13"/>
                <w:szCs w:val="13"/>
                <w:color w:val="auto"/>
              </w:rPr>
              <w:t> </w:t>
            </w:r>
          </w:p>
        </w:tc>
        <w:tc>
          <w:tcPr>
            <w:tcW w:w="7880" w:type="dxa"/>
            <w:vAlign w:val="bottom"/>
          </w:tcPr>
          <w:p>
            <w:pPr>
              <w:ind w:left="2180"/>
              <w:spacing w:after="0"/>
              <w:rPr>
                <w:sz w:val="20"/>
                <w:szCs w:val="20"/>
                <w:color w:val="auto"/>
              </w:rPr>
            </w:pPr>
            <w:r>
              <w:rPr>
                <w:rFonts w:ascii="Arial" w:cs="Arial" w:eastAsia="Arial" w:hAnsi="Arial"/>
                <w:sz w:val="18"/>
                <w:szCs w:val="18"/>
                <w:color w:val="auto"/>
              </w:rPr>
              <w:t>-A-3-</w:t>
            </w:r>
          </w:p>
        </w:tc>
      </w:tr>
      <w:tr>
        <w:trPr>
          <w:trHeight w:val="219"/>
        </w:trPr>
        <w:tc>
          <w:tcPr>
            <w:tcW w:w="3140" w:type="dxa"/>
            <w:vAlign w:val="bottom"/>
            <w:tcBorders>
              <w:bottom w:val="single" w:sz="8" w:color="auto"/>
            </w:tcBorders>
          </w:tcPr>
          <w:p>
            <w:pPr>
              <w:spacing w:after="0"/>
              <w:rPr>
                <w:sz w:val="19"/>
                <w:szCs w:val="19"/>
                <w:color w:val="auto"/>
              </w:rPr>
            </w:pPr>
          </w:p>
        </w:tc>
        <w:tc>
          <w:tcPr>
            <w:tcW w:w="788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73" w:name="page74"/>
    <w:bookmarkEnd w:id="73"/>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right="960" w:firstLine="360"/>
        <w:spacing w:after="0" w:line="247" w:lineRule="auto"/>
        <w:rPr>
          <w:sz w:val="20"/>
          <w:szCs w:val="20"/>
          <w:color w:val="auto"/>
        </w:rPr>
      </w:pPr>
      <w:r>
        <w:rPr>
          <w:rFonts w:ascii="Arial" w:cs="Arial" w:eastAsia="Arial" w:hAnsi="Arial"/>
          <w:sz w:val="18"/>
          <w:szCs w:val="18"/>
          <w:color w:val="auto"/>
        </w:rPr>
        <w:t>For purposes of the Plan, if the date as of which the Fair Market Value is to be determined is not a Trading Day, then, solely for the purpose of determining Fair Market Value, such date shall be: (i) in the case of the Offering Date, the first Trading Day following the Offering Date; (ii) in the case of the Purchase Date, the last Trading Day prior to the Purchase Date.</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 xml:space="preserve">“Offering” </w:t>
      </w:r>
      <w:r>
        <w:rPr>
          <w:rFonts w:ascii="Arial" w:cs="Arial" w:eastAsia="Arial" w:hAnsi="Arial"/>
          <w:sz w:val="18"/>
          <w:szCs w:val="18"/>
          <w:color w:val="auto"/>
        </w:rPr>
        <w:t>has the meaning set forth in Section 5.1.</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 xml:space="preserve">“Offering Date” </w:t>
      </w:r>
      <w:r>
        <w:rPr>
          <w:rFonts w:ascii="Arial" w:cs="Arial" w:eastAsia="Arial" w:hAnsi="Arial"/>
          <w:sz w:val="18"/>
          <w:szCs w:val="18"/>
          <w:color w:val="auto"/>
        </w:rPr>
        <w:t>means the first day of an Offering.</w:t>
      </w:r>
    </w:p>
    <w:p>
      <w:pPr>
        <w:spacing w:after="0" w:line="212"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means an option granted under the Plan to an Eligible Employee to purchase shares of Stock.</w:t>
      </w:r>
    </w:p>
    <w:p>
      <w:pPr>
        <w:spacing w:after="0" w:line="185" w:lineRule="exact"/>
        <w:rPr>
          <w:sz w:val="20"/>
          <w:szCs w:val="20"/>
          <w:color w:val="auto"/>
        </w:rPr>
      </w:pPr>
    </w:p>
    <w:p>
      <w:pPr>
        <w:jc w:val="both"/>
        <w:ind w:left="920" w:right="940" w:firstLine="360"/>
        <w:spacing w:after="0" w:line="271" w:lineRule="auto"/>
        <w:rPr>
          <w:sz w:val="20"/>
          <w:szCs w:val="20"/>
          <w:color w:val="auto"/>
        </w:rPr>
      </w:pPr>
      <w:r>
        <w:rPr>
          <w:rFonts w:ascii="Arial" w:cs="Arial" w:eastAsia="Arial" w:hAnsi="Arial"/>
          <w:sz w:val="18"/>
          <w:szCs w:val="18"/>
          <w:i w:val="1"/>
          <w:iCs w:val="1"/>
          <w:color w:val="auto"/>
        </w:rPr>
        <w:t xml:space="preserve">“Parent Corporation” </w:t>
      </w:r>
      <w:r>
        <w:rPr>
          <w:rFonts w:ascii="Arial" w:cs="Arial" w:eastAsia="Arial" w:hAnsi="Arial"/>
          <w:sz w:val="18"/>
          <w:szCs w:val="18"/>
          <w:color w:val="auto"/>
        </w:rPr>
        <w:t>means a “parent corporation” of the Company, whether now or hereafter existing, as such</w:t>
      </w:r>
      <w:r>
        <w:rPr>
          <w:rFonts w:ascii="Arial" w:cs="Arial" w:eastAsia="Arial" w:hAnsi="Arial"/>
          <w:sz w:val="18"/>
          <w:szCs w:val="18"/>
          <w:i w:val="1"/>
          <w:iCs w:val="1"/>
          <w:color w:val="auto"/>
        </w:rPr>
        <w:t xml:space="preserve"> </w:t>
      </w:r>
      <w:r>
        <w:rPr>
          <w:rFonts w:ascii="Arial" w:cs="Arial" w:eastAsia="Arial" w:hAnsi="Arial"/>
          <w:sz w:val="18"/>
          <w:szCs w:val="18"/>
          <w:color w:val="auto"/>
        </w:rPr>
        <w:t>term is defined in Section 424(e) of the Code.</w:t>
      </w:r>
    </w:p>
    <w:p>
      <w:pPr>
        <w:spacing w:after="0" w:line="113" w:lineRule="exact"/>
        <w:rPr>
          <w:sz w:val="20"/>
          <w:szCs w:val="20"/>
          <w:color w:val="auto"/>
        </w:rPr>
      </w:pPr>
    </w:p>
    <w:p>
      <w:pPr>
        <w:jc w:val="both"/>
        <w:ind w:left="920" w:right="960" w:firstLine="360"/>
        <w:spacing w:after="0" w:line="253" w:lineRule="auto"/>
        <w:rPr>
          <w:sz w:val="20"/>
          <w:szCs w:val="20"/>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any Eligible Employee who has elected to participate in an Offering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set forth in Section 6.1 and who has not withdrawn from the Plan or whose participation in the Plan has not terminated.</w:t>
      </w:r>
    </w:p>
    <w:p>
      <w:pPr>
        <w:spacing w:after="0" w:line="128" w:lineRule="exact"/>
        <w:rPr>
          <w:sz w:val="20"/>
          <w:szCs w:val="20"/>
          <w:color w:val="auto"/>
        </w:rPr>
      </w:pPr>
    </w:p>
    <w:p>
      <w:pPr>
        <w:ind w:left="920" w:right="1160" w:firstLine="360"/>
        <w:spacing w:after="0" w:line="271" w:lineRule="auto"/>
        <w:rPr>
          <w:sz w:val="20"/>
          <w:szCs w:val="20"/>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means the Itron, Inc. 2012 Employee Stock Purchase Plan, as set forth herein, and as amended from</w:t>
      </w:r>
      <w:r>
        <w:rPr>
          <w:rFonts w:ascii="Arial" w:cs="Arial" w:eastAsia="Arial" w:hAnsi="Arial"/>
          <w:sz w:val="18"/>
          <w:szCs w:val="18"/>
          <w:i w:val="1"/>
          <w:iCs w:val="1"/>
          <w:color w:val="auto"/>
        </w:rPr>
        <w:t xml:space="preserve"> </w:t>
      </w:r>
      <w:r>
        <w:rPr>
          <w:rFonts w:ascii="Arial" w:cs="Arial" w:eastAsia="Arial" w:hAnsi="Arial"/>
          <w:sz w:val="18"/>
          <w:szCs w:val="18"/>
          <w:color w:val="auto"/>
        </w:rPr>
        <w:t>time to time, which includes a Section 423 Plan and a Non-423 Plan.</w:t>
      </w:r>
    </w:p>
    <w:p>
      <w:pPr>
        <w:spacing w:after="0" w:line="127" w:lineRule="exact"/>
        <w:rPr>
          <w:sz w:val="20"/>
          <w:szCs w:val="20"/>
          <w:color w:val="auto"/>
        </w:rPr>
      </w:pPr>
    </w:p>
    <w:p>
      <w:pPr>
        <w:ind w:left="920" w:right="1040" w:firstLine="360"/>
        <w:spacing w:after="0" w:line="271" w:lineRule="auto"/>
        <w:rPr>
          <w:sz w:val="20"/>
          <w:szCs w:val="20"/>
          <w:color w:val="auto"/>
        </w:rPr>
      </w:pPr>
      <w:r>
        <w:rPr>
          <w:rFonts w:ascii="Arial" w:cs="Arial" w:eastAsia="Arial" w:hAnsi="Arial"/>
          <w:sz w:val="18"/>
          <w:szCs w:val="18"/>
          <w:i w:val="1"/>
          <w:iCs w:val="1"/>
          <w:color w:val="auto"/>
        </w:rPr>
        <w:t xml:space="preserve">“Plan Administrator” </w:t>
      </w:r>
      <w:r>
        <w:rPr>
          <w:rFonts w:ascii="Arial" w:cs="Arial" w:eastAsia="Arial" w:hAnsi="Arial"/>
          <w:sz w:val="18"/>
          <w:szCs w:val="18"/>
          <w:color w:val="auto"/>
        </w:rPr>
        <w:t>means the Board or any committee of the Board designated to administer the Plan under</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3.1.</w:t>
      </w:r>
    </w:p>
    <w:p>
      <w:pPr>
        <w:spacing w:after="0" w:line="154"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 xml:space="preserve">“Purchase Date” </w:t>
      </w:r>
      <w:r>
        <w:rPr>
          <w:rFonts w:ascii="Arial" w:cs="Arial" w:eastAsia="Arial" w:hAnsi="Arial"/>
          <w:sz w:val="18"/>
          <w:szCs w:val="18"/>
          <w:color w:val="auto"/>
        </w:rPr>
        <w:t>means the last day of each Purchase Period.</w:t>
      </w:r>
    </w:p>
    <w:p>
      <w:pPr>
        <w:spacing w:after="0" w:line="212"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 xml:space="preserve">“Purchase Period” </w:t>
      </w:r>
      <w:r>
        <w:rPr>
          <w:rFonts w:ascii="Arial" w:cs="Arial" w:eastAsia="Arial" w:hAnsi="Arial"/>
          <w:sz w:val="18"/>
          <w:szCs w:val="18"/>
          <w:color w:val="auto"/>
        </w:rPr>
        <w:t>has the meaning set forth in Section 5.2.</w:t>
      </w:r>
    </w:p>
    <w:p>
      <w:pPr>
        <w:spacing w:after="0" w:line="212"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 xml:space="preserve">“Purchase Price” </w:t>
      </w:r>
      <w:r>
        <w:rPr>
          <w:rFonts w:ascii="Arial" w:cs="Arial" w:eastAsia="Arial" w:hAnsi="Arial"/>
          <w:sz w:val="18"/>
          <w:szCs w:val="18"/>
          <w:color w:val="auto"/>
        </w:rPr>
        <w:t>has the meaning set forth in Section 8.</w:t>
      </w:r>
    </w:p>
    <w:p>
      <w:pPr>
        <w:spacing w:after="0" w:line="212"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 xml:space="preserve">“Stock” </w:t>
      </w:r>
      <w:r>
        <w:rPr>
          <w:rFonts w:ascii="Arial" w:cs="Arial" w:eastAsia="Arial" w:hAnsi="Arial"/>
          <w:sz w:val="18"/>
          <w:szCs w:val="18"/>
          <w:color w:val="auto"/>
        </w:rPr>
        <w:t>means the common stock, no par value, of the Company.</w:t>
      </w:r>
    </w:p>
    <w:p>
      <w:pPr>
        <w:spacing w:after="0" w:line="171" w:lineRule="exact"/>
        <w:rPr>
          <w:sz w:val="20"/>
          <w:szCs w:val="20"/>
          <w:color w:val="auto"/>
        </w:rPr>
      </w:pPr>
    </w:p>
    <w:p>
      <w:pPr>
        <w:ind w:left="920" w:right="1000" w:firstLine="360"/>
        <w:spacing w:after="0" w:line="271" w:lineRule="auto"/>
        <w:rPr>
          <w:sz w:val="20"/>
          <w:szCs w:val="20"/>
          <w:color w:val="auto"/>
        </w:rPr>
      </w:pPr>
      <w:r>
        <w:rPr>
          <w:rFonts w:ascii="Arial" w:cs="Arial" w:eastAsia="Arial" w:hAnsi="Arial"/>
          <w:sz w:val="18"/>
          <w:szCs w:val="18"/>
          <w:i w:val="1"/>
          <w:iCs w:val="1"/>
          <w:color w:val="auto"/>
        </w:rPr>
        <w:t xml:space="preserve">“Subsidiary Corporation” </w:t>
      </w:r>
      <w:r>
        <w:rPr>
          <w:rFonts w:ascii="Arial" w:cs="Arial" w:eastAsia="Arial" w:hAnsi="Arial"/>
          <w:sz w:val="18"/>
          <w:szCs w:val="18"/>
          <w:color w:val="auto"/>
        </w:rPr>
        <w:t>means a “subsidiary corporation” of the Company, whether now or hereafter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as such term is defined in Section 424(f) of the Code.</w:t>
      </w:r>
    </w:p>
    <w:p>
      <w:pPr>
        <w:spacing w:after="0" w:line="154"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 xml:space="preserve">“Successor Corporation” </w:t>
      </w:r>
      <w:r>
        <w:rPr>
          <w:rFonts w:ascii="Arial" w:cs="Arial" w:eastAsia="Arial" w:hAnsi="Arial"/>
          <w:sz w:val="18"/>
          <w:szCs w:val="18"/>
          <w:color w:val="auto"/>
        </w:rPr>
        <w:t>has the meaning set forth in Section 18.2.</w:t>
      </w:r>
    </w:p>
    <w:p>
      <w:pPr>
        <w:spacing w:after="0" w:line="171" w:lineRule="exact"/>
        <w:rPr>
          <w:sz w:val="20"/>
          <w:szCs w:val="20"/>
          <w:color w:val="auto"/>
        </w:rPr>
      </w:pPr>
    </w:p>
    <w:p>
      <w:pPr>
        <w:ind w:left="920" w:right="1360" w:firstLine="36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Trading Day</w:t>
      </w:r>
      <w:r>
        <w:rPr>
          <w:rFonts w:ascii="Arial" w:cs="Arial" w:eastAsia="Arial" w:hAnsi="Arial"/>
          <w:sz w:val="18"/>
          <w:szCs w:val="18"/>
          <w:color w:val="auto"/>
        </w:rPr>
        <w:t>” means a day on which the stock exchange or national market system on which the Stock is listed is open for trading.</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3. ADMINISTRATION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3.1 Plan Administrator</w:t>
      </w:r>
    </w:p>
    <w:p>
      <w:pPr>
        <w:spacing w:after="0" w:line="171" w:lineRule="exact"/>
        <w:rPr>
          <w:sz w:val="20"/>
          <w:szCs w:val="20"/>
          <w:color w:val="auto"/>
        </w:rPr>
      </w:pPr>
    </w:p>
    <w:p>
      <w:pPr>
        <w:ind w:left="920" w:right="980" w:firstLine="360"/>
        <w:spacing w:after="0" w:line="247" w:lineRule="auto"/>
        <w:rPr>
          <w:sz w:val="20"/>
          <w:szCs w:val="20"/>
          <w:color w:val="auto"/>
        </w:rPr>
      </w:pPr>
      <w:r>
        <w:rPr>
          <w:rFonts w:ascii="Arial" w:cs="Arial" w:eastAsia="Arial" w:hAnsi="Arial"/>
          <w:sz w:val="18"/>
          <w:szCs w:val="18"/>
          <w:color w:val="auto"/>
        </w:rPr>
        <w:t>The Plan shall be administered by the Compensation Committee of the Board, except to the extent that (a) the Board appoints another committee or committees (which term includes subcommittees) consisting of one or more members of the Board to administer the Plan or (ii) the Board determines to administer the Plan. Committee members shall serve for such terms as the Board may determine, subject to removal by the Board at any time.</w:t>
      </w:r>
    </w:p>
    <w:p>
      <w:pPr>
        <w:spacing w:after="0" w:line="17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3.2 Administration and Interpretation by the Plan Administrator</w:t>
      </w:r>
    </w:p>
    <w:p>
      <w:pPr>
        <w:spacing w:after="0" w:line="171" w:lineRule="exact"/>
        <w:rPr>
          <w:sz w:val="20"/>
          <w:szCs w:val="20"/>
          <w:color w:val="auto"/>
        </w:rPr>
      </w:pPr>
    </w:p>
    <w:p>
      <w:pPr>
        <w:ind w:left="920" w:right="1020" w:firstLine="360"/>
        <w:spacing w:after="0" w:line="255" w:lineRule="auto"/>
        <w:rPr>
          <w:sz w:val="20"/>
          <w:szCs w:val="20"/>
          <w:color w:val="auto"/>
        </w:rPr>
      </w:pPr>
      <w:r>
        <w:rPr>
          <w:rFonts w:ascii="Arial" w:cs="Arial" w:eastAsia="Arial" w:hAnsi="Arial"/>
          <w:sz w:val="17"/>
          <w:szCs w:val="17"/>
          <w:color w:val="auto"/>
        </w:rPr>
        <w:t>Subject to the provisions of the Plan, the Plan Administrator shall have exclusive authority, in its discretion, to determine all matters relating to Options granted under the Plan, including, without limitation, the authority to: (a) construe, interpret, reconcile any inconsistency in, correct any default in and supply any omission in, and apply the terms of the Plan and any subscription agreement or other instrument or agreement relating to the Plan, (b) adjudicate all disputed claims filed under the Plan (including making factual determinations), (c) determine the terms and conditions of any Offering and any Option under the Plan, (d) establish, amend, suspend or waive such rules and regulations and appoint such agents as it shall deem appropriate for the proper administration of the Plan, (e) amend an outstanding Option or grant a replacement Option for an Option previously granted under the Plan if, in the discretion of the Plan Administrator, it determines that (i) the tax consequences of such Option to the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40" w:type="dxa"/>
            <w:vAlign w:val="bottom"/>
          </w:tcPr>
          <w:p>
            <w:pPr>
              <w:ind w:left="920"/>
              <w:spacing w:after="0"/>
              <w:rPr>
                <w:sz w:val="20"/>
                <w:szCs w:val="20"/>
                <w:color w:val="auto"/>
              </w:rPr>
            </w:pPr>
            <w:r>
              <w:rPr>
                <w:rFonts w:ascii="Arial" w:cs="Arial" w:eastAsia="Arial" w:hAnsi="Arial"/>
                <w:sz w:val="13"/>
                <w:szCs w:val="13"/>
                <w:color w:val="auto"/>
              </w:rPr>
              <w:t> </w:t>
            </w:r>
          </w:p>
        </w:tc>
        <w:tc>
          <w:tcPr>
            <w:tcW w:w="7880" w:type="dxa"/>
            <w:vAlign w:val="bottom"/>
          </w:tcPr>
          <w:p>
            <w:pPr>
              <w:ind w:left="2180"/>
              <w:spacing w:after="0"/>
              <w:rPr>
                <w:sz w:val="20"/>
                <w:szCs w:val="20"/>
                <w:color w:val="auto"/>
              </w:rPr>
            </w:pPr>
            <w:r>
              <w:rPr>
                <w:rFonts w:ascii="Arial" w:cs="Arial" w:eastAsia="Arial" w:hAnsi="Arial"/>
                <w:sz w:val="18"/>
                <w:szCs w:val="18"/>
                <w:color w:val="auto"/>
              </w:rPr>
              <w:t>-A-4-</w:t>
            </w:r>
          </w:p>
        </w:tc>
      </w:tr>
      <w:tr>
        <w:trPr>
          <w:trHeight w:val="233"/>
        </w:trPr>
        <w:tc>
          <w:tcPr>
            <w:tcW w:w="3140" w:type="dxa"/>
            <w:vAlign w:val="bottom"/>
            <w:tcBorders>
              <w:bottom w:val="single" w:sz="8" w:color="auto"/>
            </w:tcBorders>
          </w:tcPr>
          <w:p>
            <w:pPr>
              <w:spacing w:after="0"/>
              <w:rPr>
                <w:sz w:val="20"/>
                <w:szCs w:val="20"/>
                <w:color w:val="auto"/>
              </w:rPr>
            </w:pPr>
          </w:p>
        </w:tc>
        <w:tc>
          <w:tcPr>
            <w:tcW w:w="788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263" w:right="439" w:bottom="1440" w:gutter="0" w:footer="0" w:header="0"/>
        </w:sectPr>
      </w:pPr>
    </w:p>
    <w:bookmarkStart w:id="74" w:name="page75"/>
    <w:bookmarkEnd w:id="74"/>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right="1000"/>
        <w:spacing w:after="0"/>
        <w:rPr>
          <w:sz w:val="20"/>
          <w:szCs w:val="20"/>
          <w:color w:val="auto"/>
        </w:rPr>
      </w:pPr>
      <w:r>
        <w:rPr>
          <w:rFonts w:ascii="Arial" w:cs="Arial" w:eastAsia="Arial" w:hAnsi="Arial"/>
          <w:sz w:val="18"/>
          <w:szCs w:val="18"/>
          <w:color w:val="auto"/>
        </w:rPr>
        <w:t>Company or the Participant differ from those consequences that were expected to occur on the date the Option was granted, or (ii) clarifications or interpretations of, or changes to, tax law or regulations permit Options to be granted that have more favorable tax consequences than initially anticipated, (f) impose such terms and conditions under an Offering as the Plan Administrator may deem necessary to ensure that the terms of an Offering comply with the requirements under FAS 123(R) applicable to employee stock purchase plan offerings intended to receive non-compensatory accounting treatment, and (g) make any other determination and take any other action that the Plan Administrator deems necessary or desirable for the administration of the Plan.</w:t>
      </w:r>
    </w:p>
    <w:p>
      <w:pPr>
        <w:spacing w:after="0" w:line="158" w:lineRule="exact"/>
        <w:rPr>
          <w:sz w:val="20"/>
          <w:szCs w:val="20"/>
          <w:color w:val="auto"/>
        </w:rPr>
      </w:pPr>
    </w:p>
    <w:p>
      <w:pPr>
        <w:ind w:left="920" w:right="1080" w:firstLine="360"/>
        <w:spacing w:after="0" w:line="239" w:lineRule="auto"/>
        <w:rPr>
          <w:sz w:val="20"/>
          <w:szCs w:val="20"/>
          <w:color w:val="auto"/>
        </w:rPr>
      </w:pPr>
      <w:r>
        <w:rPr>
          <w:rFonts w:ascii="Arial" w:cs="Arial" w:eastAsia="Arial" w:hAnsi="Arial"/>
          <w:sz w:val="18"/>
          <w:szCs w:val="18"/>
          <w:color w:val="auto"/>
        </w:rPr>
        <w:t>In particular, the Plan Administrator shall have exclusive authority, in its discretion, to: designate separate Offerings under the Plan, determine which entities shall be Designated Corporations or Designated Affiliates, determine who is an Eligible Employee, change the length and duration of Offerings and Purchase Periods, limit the frequency and/or number of changes in the amount deducted or contributed during an Offering or Purchase Period, permit payroll deductions or contributions in excess of the amount designated by a Participant in order to adjust for delays or mistakes in the Company’s processing of properly completed subscription agreements, establish reasonable waiting and adjustment periods and/or accounting and crediting procedures to ensure that amounts applied toward the purchase of Stock for each Participant properly correspond with payroll deductions or other contribution amounts, and establish such other limitations or procedures as the Plan Administrator determines in its sole discretion advisable that are consistent with the Plan.</w:t>
      </w:r>
    </w:p>
    <w:p>
      <w:pPr>
        <w:spacing w:after="0" w:line="139" w:lineRule="exact"/>
        <w:rPr>
          <w:sz w:val="20"/>
          <w:szCs w:val="20"/>
          <w:color w:val="auto"/>
        </w:rPr>
      </w:pPr>
    </w:p>
    <w:p>
      <w:pPr>
        <w:ind w:left="920" w:right="960" w:firstLine="360"/>
        <w:spacing w:after="0" w:line="237" w:lineRule="auto"/>
        <w:rPr>
          <w:sz w:val="20"/>
          <w:szCs w:val="20"/>
          <w:color w:val="auto"/>
        </w:rPr>
      </w:pPr>
      <w:r>
        <w:rPr>
          <w:rFonts w:ascii="Arial" w:cs="Arial" w:eastAsia="Arial" w:hAnsi="Arial"/>
          <w:sz w:val="18"/>
          <w:szCs w:val="18"/>
          <w:color w:val="auto"/>
        </w:rPr>
        <w:t>Further, the Plan Administrator may adopt such rules, procedures and sub-plans as are necessary or appropriate to permit the participation in the Plan by employees who are foreign nationals or employed outside the United States, the terms of which sub-plans may take precedence over other provisions of this Plan, with the exception of Sections 4 and 8 below, but unless otherwise superseded by the terms of such sub-plan, the provisions of this Plan shall govern the operation of such sub-plan. To the extent inconsistent with the requirements of Section 423, any such sub-plan shall be considered part of the Non-423 Plan, and rights granted thereunder shall not be required by the terms of the Plan to comply with Section 423 of the Code. Without limiting the generality of the foregoing, the Plan Administrator is specifically authorized to adopt rules and procedures regarding eligibility to participate, the definition of Eligible Compensation, handling of payroll deductions and other contributions, taking of payroll deductions and making of contributions to the Plan, the method of determining the Purchase Price and the discount from Fair Market Value at which Stock may be purchased in accordance with Section 8 hereof, establishment of bank or trust accounts to hold contributions, payment of interest, establishment of the exchange rate applicable to payroll deductions taken and other contributions made in a currency other than U.S. dollars, obligations to pay payroll tax, tax withholding procedures and handling of stock certificates that vary with applicable local requirements.</w:t>
      </w:r>
    </w:p>
    <w:p>
      <w:pPr>
        <w:spacing w:after="0" w:line="147" w:lineRule="exact"/>
        <w:rPr>
          <w:sz w:val="20"/>
          <w:szCs w:val="20"/>
          <w:color w:val="auto"/>
        </w:rPr>
      </w:pPr>
    </w:p>
    <w:p>
      <w:pPr>
        <w:ind w:left="920" w:right="1000" w:firstLine="360"/>
        <w:spacing w:after="0" w:line="244" w:lineRule="auto"/>
        <w:rPr>
          <w:sz w:val="20"/>
          <w:szCs w:val="20"/>
          <w:color w:val="auto"/>
        </w:rPr>
      </w:pPr>
      <w:r>
        <w:rPr>
          <w:rFonts w:ascii="Arial" w:cs="Arial" w:eastAsia="Arial" w:hAnsi="Arial"/>
          <w:sz w:val="18"/>
          <w:szCs w:val="18"/>
          <w:color w:val="auto"/>
        </w:rPr>
        <w:t>The Plan Administrator’s interpretation of the Plan and its rules and regulations, and all actions taken and determinations made by the Plan Administrator pursuant to the Plan, shall be conclusive and binding on all parties involved or affected. To the extent not prohibited by applicable law, the Plan Administrator may, from time to time, delegate some or all of its authority under the Plan to a subcommittee or to such of the Company’s officers or other persons or groups of persons as it deems necessary, appropriate or advisable.</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4. STOCK SUBJECT TO PLAN</w:t>
      </w:r>
    </w:p>
    <w:p>
      <w:pPr>
        <w:spacing w:after="0" w:line="185" w:lineRule="exact"/>
        <w:rPr>
          <w:sz w:val="20"/>
          <w:szCs w:val="20"/>
          <w:color w:val="auto"/>
        </w:rPr>
      </w:pPr>
    </w:p>
    <w:p>
      <w:pPr>
        <w:ind w:left="920" w:right="1080" w:firstLine="360"/>
        <w:spacing w:after="0" w:line="271" w:lineRule="auto"/>
        <w:rPr>
          <w:sz w:val="20"/>
          <w:szCs w:val="20"/>
          <w:color w:val="auto"/>
        </w:rPr>
      </w:pPr>
      <w:r>
        <w:rPr>
          <w:rFonts w:ascii="Arial" w:cs="Arial" w:eastAsia="Arial" w:hAnsi="Arial"/>
          <w:sz w:val="18"/>
          <w:szCs w:val="18"/>
          <w:color w:val="auto"/>
        </w:rPr>
        <w:t>Subject to adjustment from time to time as provided in Section 18.1, the maximum number of shares of Stock that shall be available for issuance under the Plan shall be 1,125,000 shares.</w:t>
      </w:r>
    </w:p>
    <w:p>
      <w:pPr>
        <w:spacing w:after="0" w:line="113" w:lineRule="exact"/>
        <w:rPr>
          <w:sz w:val="20"/>
          <w:szCs w:val="20"/>
          <w:color w:val="auto"/>
        </w:rPr>
      </w:pPr>
    </w:p>
    <w:p>
      <w:pPr>
        <w:ind w:left="920" w:right="1380" w:firstLine="360"/>
        <w:spacing w:after="0" w:line="271" w:lineRule="auto"/>
        <w:rPr>
          <w:sz w:val="20"/>
          <w:szCs w:val="20"/>
          <w:color w:val="auto"/>
        </w:rPr>
      </w:pPr>
      <w:r>
        <w:rPr>
          <w:rFonts w:ascii="Arial" w:cs="Arial" w:eastAsia="Arial" w:hAnsi="Arial"/>
          <w:sz w:val="18"/>
          <w:szCs w:val="18"/>
          <w:color w:val="auto"/>
        </w:rPr>
        <w:t>Shares issued under the Plan shall be drawn from authorized and unissued shares or shares now held or subsequently acquired by the Company.</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5. OFFERINGS UNDER THE PLAN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5.1 Offerings</w:t>
      </w:r>
    </w:p>
    <w:p>
      <w:pPr>
        <w:spacing w:after="0" w:line="185" w:lineRule="exact"/>
        <w:rPr>
          <w:sz w:val="20"/>
          <w:szCs w:val="20"/>
          <w:color w:val="auto"/>
        </w:rPr>
      </w:pPr>
    </w:p>
    <w:p>
      <w:pPr>
        <w:ind w:left="920" w:right="940" w:firstLine="360"/>
        <w:spacing w:after="0" w:line="242" w:lineRule="auto"/>
        <w:rPr>
          <w:sz w:val="20"/>
          <w:szCs w:val="20"/>
          <w:color w:val="auto"/>
        </w:rPr>
      </w:pPr>
      <w:r>
        <w:rPr>
          <w:rFonts w:ascii="Arial" w:cs="Arial" w:eastAsia="Arial" w:hAnsi="Arial"/>
          <w:sz w:val="18"/>
          <w:szCs w:val="18"/>
          <w:color w:val="auto"/>
        </w:rPr>
        <w:t>Except as otherwise set forth below, the Plan shall be implemented by a series of Offerings (each, an “Offering”). Offerings shall commence on January 1, April 1, July 1 and October 1 of each year and end on the next March 31, June 30, September 30 and December 31, respectively, occurring thereafter. Notwithstanding the foregoing, the Plan Administrator may establish (a) a different term for one or more future Offerings and (b) different commencing and ending dates for such Offerings; provided, however, that an Offering may not exceed five years.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40" w:type="dxa"/>
            <w:vAlign w:val="bottom"/>
          </w:tcPr>
          <w:p>
            <w:pPr>
              <w:ind w:left="920"/>
              <w:spacing w:after="0"/>
              <w:rPr>
                <w:sz w:val="20"/>
                <w:szCs w:val="20"/>
                <w:color w:val="auto"/>
              </w:rPr>
            </w:pPr>
            <w:r>
              <w:rPr>
                <w:rFonts w:ascii="Arial" w:cs="Arial" w:eastAsia="Arial" w:hAnsi="Arial"/>
                <w:sz w:val="13"/>
                <w:szCs w:val="13"/>
                <w:color w:val="auto"/>
              </w:rPr>
              <w:t> </w:t>
            </w:r>
          </w:p>
        </w:tc>
        <w:tc>
          <w:tcPr>
            <w:tcW w:w="7880" w:type="dxa"/>
            <w:vAlign w:val="bottom"/>
          </w:tcPr>
          <w:p>
            <w:pPr>
              <w:ind w:left="2180"/>
              <w:spacing w:after="0"/>
              <w:rPr>
                <w:sz w:val="20"/>
                <w:szCs w:val="20"/>
                <w:color w:val="auto"/>
              </w:rPr>
            </w:pPr>
            <w:r>
              <w:rPr>
                <w:rFonts w:ascii="Arial" w:cs="Arial" w:eastAsia="Arial" w:hAnsi="Arial"/>
                <w:sz w:val="18"/>
                <w:szCs w:val="18"/>
                <w:color w:val="auto"/>
              </w:rPr>
              <w:t>-A-5-</w:t>
            </w:r>
          </w:p>
        </w:tc>
      </w:tr>
      <w:tr>
        <w:trPr>
          <w:trHeight w:val="219"/>
        </w:trPr>
        <w:tc>
          <w:tcPr>
            <w:tcW w:w="3140" w:type="dxa"/>
            <w:vAlign w:val="bottom"/>
            <w:tcBorders>
              <w:bottom w:val="single" w:sz="8" w:color="auto"/>
            </w:tcBorders>
          </w:tcPr>
          <w:p>
            <w:pPr>
              <w:spacing w:after="0"/>
              <w:rPr>
                <w:sz w:val="19"/>
                <w:szCs w:val="19"/>
                <w:color w:val="auto"/>
              </w:rPr>
            </w:pPr>
          </w:p>
        </w:tc>
        <w:tc>
          <w:tcPr>
            <w:tcW w:w="788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75" w:name="page76"/>
    <w:bookmarkEnd w:id="75"/>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right="1040" w:firstLine="360"/>
        <w:spacing w:after="0"/>
        <w:rPr>
          <w:sz w:val="20"/>
          <w:szCs w:val="20"/>
          <w:color w:val="auto"/>
        </w:rPr>
      </w:pPr>
      <w:r>
        <w:rPr>
          <w:rFonts w:ascii="Arial" w:cs="Arial" w:eastAsia="Arial" w:hAnsi="Arial"/>
          <w:sz w:val="18"/>
          <w:szCs w:val="18"/>
          <w:color w:val="auto"/>
        </w:rPr>
        <w:t>Unless otherwise specified by the Plan Administrator, each Offering to Eligible Employees of the Company, a Designated Corporation or a Designated Affiliate shall be deemed a separate Offering (the terms of which Offering under the Non-423 Plan need not be identical), even if the dates and other terms of the separate Offerings are identical and the provisions of the Plan shall separately apply to each Offering. To the extent permitted by U.S. Treasury Regulation Section 1.423-2(a)(1), the terms of each separate Offering under the Section 423 Plan need not be identical, provided that the terms of the Plan and an Offering together satisfy U.S. Treasury Regulation Section 1.423-2(a)(2) and (a)(3).</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5.2 Purchase Periods</w:t>
      </w:r>
    </w:p>
    <w:p>
      <w:pPr>
        <w:spacing w:after="0" w:line="171" w:lineRule="exact"/>
        <w:rPr>
          <w:sz w:val="20"/>
          <w:szCs w:val="20"/>
          <w:color w:val="auto"/>
        </w:rPr>
      </w:pPr>
    </w:p>
    <w:p>
      <w:pPr>
        <w:ind w:left="920" w:right="1300" w:firstLine="360"/>
        <w:spacing w:after="0" w:line="242" w:lineRule="auto"/>
        <w:rPr>
          <w:sz w:val="20"/>
          <w:szCs w:val="20"/>
          <w:color w:val="auto"/>
        </w:rPr>
      </w:pPr>
      <w:r>
        <w:rPr>
          <w:rFonts w:ascii="Arial" w:cs="Arial" w:eastAsia="Arial" w:hAnsi="Arial"/>
          <w:sz w:val="18"/>
          <w:szCs w:val="18"/>
          <w:color w:val="auto"/>
        </w:rPr>
        <w:t>Each Offering shall consist of one Purchase Period (a “Purchase Period”). The last day of each Purchase Period shall be the Purchase Date for such Purchase Period. Purchase Periods shall commence on January 1, April 1, July 1 and October 1 of each year and shall end on the next March 31, June 30, September 30 and December 31, respectively, occurring thereafter. Notwithstanding the foregoing, the Plan Administrator may establish (a) a different term for one or more future Purchase Periods and (b) different commencing dates and Purchase Dates for any such Purchase Period.</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6. PARTICIPATION IN THE PLAN; GRANT OF OPTION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6.1 Initial Participation</w:t>
      </w:r>
    </w:p>
    <w:p>
      <w:pPr>
        <w:spacing w:after="0" w:line="171" w:lineRule="exact"/>
        <w:rPr>
          <w:sz w:val="20"/>
          <w:szCs w:val="20"/>
          <w:color w:val="auto"/>
        </w:rPr>
      </w:pPr>
    </w:p>
    <w:p>
      <w:pPr>
        <w:ind w:left="920" w:right="1100" w:firstLine="360"/>
        <w:spacing w:after="0" w:line="239" w:lineRule="auto"/>
        <w:rPr>
          <w:sz w:val="20"/>
          <w:szCs w:val="20"/>
          <w:color w:val="auto"/>
        </w:rPr>
      </w:pPr>
      <w:r>
        <w:rPr>
          <w:rFonts w:ascii="Arial" w:cs="Arial" w:eastAsia="Arial" w:hAnsi="Arial"/>
          <w:sz w:val="18"/>
          <w:szCs w:val="18"/>
          <w:color w:val="auto"/>
        </w:rPr>
        <w:t>An Eligible Employee may become a Participant in the Plan by completing, within any prescribed enrollment period prior to the applicable Offering Date, a subscription agreement (either through the Company’s online Plan enrollment process or in paper form) and/or any other forms and following any other procedures for enrollment in the Plan as may be established by the Plan Administrator from time to time. A Participant’s enrollment in the Plan shall remain in effect for successive Offerings under the terms of the Plan and Offering then in effect unless his or her participation in the Plan is terminated as provided in Sections 11 and 12 below. Any such Participant is not required to complete any additional subscription agreement or other form or procedure in order to continue participation in the Plan, unless requested by the Plan Administrator for legal or administrative reasons. Eligible Employees may not participate in more than one Offering at a time.</w:t>
      </w:r>
    </w:p>
    <w:p>
      <w:pPr>
        <w:spacing w:after="0" w:line="156" w:lineRule="exact"/>
        <w:rPr>
          <w:sz w:val="20"/>
          <w:szCs w:val="20"/>
          <w:color w:val="auto"/>
        </w:rPr>
      </w:pPr>
    </w:p>
    <w:p>
      <w:pPr>
        <w:ind w:left="920" w:right="1100" w:firstLine="360"/>
        <w:spacing w:after="0" w:line="253" w:lineRule="auto"/>
        <w:rPr>
          <w:sz w:val="20"/>
          <w:szCs w:val="20"/>
          <w:color w:val="auto"/>
        </w:rPr>
      </w:pPr>
      <w:r>
        <w:rPr>
          <w:rFonts w:ascii="Arial" w:cs="Arial" w:eastAsia="Arial" w:hAnsi="Arial"/>
          <w:sz w:val="18"/>
          <w:szCs w:val="18"/>
          <w:color w:val="auto"/>
        </w:rPr>
        <w:t>An individual who becomes an Eligible Employee after an Offering has commenced shall not be eligible to participate in such Offering but may participate in any subsequent Offering, provided that such individual is still an Eligible Employee as of the commencement of any such subsequent Offering.</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6.2 Continued Participation</w:t>
      </w:r>
    </w:p>
    <w:p>
      <w:pPr>
        <w:spacing w:after="0" w:line="185" w:lineRule="exact"/>
        <w:rPr>
          <w:sz w:val="20"/>
          <w:szCs w:val="20"/>
          <w:color w:val="auto"/>
        </w:rPr>
      </w:pPr>
    </w:p>
    <w:p>
      <w:pPr>
        <w:ind w:left="920" w:right="1040" w:firstLine="360"/>
        <w:spacing w:after="0" w:line="253" w:lineRule="auto"/>
        <w:rPr>
          <w:sz w:val="20"/>
          <w:szCs w:val="20"/>
          <w:color w:val="auto"/>
        </w:rPr>
      </w:pPr>
      <w:r>
        <w:rPr>
          <w:rFonts w:ascii="Arial" w:cs="Arial" w:eastAsia="Arial" w:hAnsi="Arial"/>
          <w:sz w:val="18"/>
          <w:szCs w:val="18"/>
          <w:color w:val="auto"/>
        </w:rPr>
        <w:t>If a Participant withdraws from an Offering or the Plan pursuant to Section 11 below, he or she must follow the procedures for becoming a Participant described in Section 6.1 above in order to participate in the Plan for a subsequent Offering.</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6.3 Exclusions from Participation</w:t>
      </w:r>
    </w:p>
    <w:p>
      <w:pPr>
        <w:spacing w:after="0" w:line="185" w:lineRule="exact"/>
        <w:rPr>
          <w:sz w:val="20"/>
          <w:szCs w:val="20"/>
          <w:color w:val="auto"/>
        </w:rPr>
      </w:pPr>
    </w:p>
    <w:p>
      <w:pPr>
        <w:ind w:left="920" w:right="1000" w:firstLine="360"/>
        <w:spacing w:after="0" w:line="242" w:lineRule="auto"/>
        <w:rPr>
          <w:sz w:val="20"/>
          <w:szCs w:val="20"/>
          <w:color w:val="auto"/>
        </w:rPr>
      </w:pPr>
      <w:r>
        <w:rPr>
          <w:rFonts w:ascii="Arial" w:cs="Arial" w:eastAsia="Arial" w:hAnsi="Arial"/>
          <w:sz w:val="18"/>
          <w:szCs w:val="18"/>
          <w:color w:val="auto"/>
        </w:rPr>
        <w:t>In the case of the Section 423 Plan, Eligible Employees who are citizens or residents of a non-U.S. jurisdiction (without regard to whether they also are citizens or residents of the United States or resident aliens within the meaning of Section 7701(b)(1)(A) of the Code) may be excluded from participation in the Plan or an Offering to the extent permitted under Section 423 of the Code. In the case of the Non-423 Plan, Eligible Employees may be excluded from participation in the Plan or an Offering if the Plan Administrator has determined that participation of such Eligible Employees is not advisable or practicable.</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6.4 Grant of Option to Participants</w:t>
      </w:r>
    </w:p>
    <w:p>
      <w:pPr>
        <w:spacing w:after="0" w:line="185" w:lineRule="exact"/>
        <w:rPr>
          <w:sz w:val="20"/>
          <w:szCs w:val="20"/>
          <w:color w:val="auto"/>
        </w:rPr>
      </w:pPr>
    </w:p>
    <w:p>
      <w:pPr>
        <w:ind w:left="920" w:right="1000" w:firstLine="360"/>
        <w:spacing w:after="0" w:line="247" w:lineRule="auto"/>
        <w:rPr>
          <w:sz w:val="20"/>
          <w:szCs w:val="20"/>
          <w:color w:val="auto"/>
        </w:rPr>
      </w:pPr>
      <w:r>
        <w:rPr>
          <w:rFonts w:ascii="Arial" w:cs="Arial" w:eastAsia="Arial" w:hAnsi="Arial"/>
          <w:sz w:val="18"/>
          <w:szCs w:val="18"/>
          <w:color w:val="auto"/>
        </w:rPr>
        <w:t>On each Offering Date and subject in all cases to the provisions of the Plan, each Participant shall be granted an Option to purchase on each Purchase Date during the applicable Offering (at the applicable Purchase Price) up to a number of shares of Stock determined by dividing such Participant’s payroll deductions or other contributions accumulated prior to such Purchase Date by the applicable Purchase Price.</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40" w:type="dxa"/>
            <w:vAlign w:val="bottom"/>
          </w:tcPr>
          <w:p>
            <w:pPr>
              <w:ind w:left="920"/>
              <w:spacing w:after="0"/>
              <w:rPr>
                <w:sz w:val="20"/>
                <w:szCs w:val="20"/>
                <w:color w:val="auto"/>
              </w:rPr>
            </w:pPr>
            <w:r>
              <w:rPr>
                <w:rFonts w:ascii="Arial" w:cs="Arial" w:eastAsia="Arial" w:hAnsi="Arial"/>
                <w:sz w:val="13"/>
                <w:szCs w:val="13"/>
                <w:color w:val="auto"/>
              </w:rPr>
              <w:t> </w:t>
            </w:r>
          </w:p>
        </w:tc>
        <w:tc>
          <w:tcPr>
            <w:tcW w:w="7880" w:type="dxa"/>
            <w:vAlign w:val="bottom"/>
          </w:tcPr>
          <w:p>
            <w:pPr>
              <w:ind w:left="2180"/>
              <w:spacing w:after="0"/>
              <w:rPr>
                <w:sz w:val="20"/>
                <w:szCs w:val="20"/>
                <w:color w:val="auto"/>
              </w:rPr>
            </w:pPr>
            <w:r>
              <w:rPr>
                <w:rFonts w:ascii="Arial" w:cs="Arial" w:eastAsia="Arial" w:hAnsi="Arial"/>
                <w:sz w:val="18"/>
                <w:szCs w:val="18"/>
                <w:color w:val="auto"/>
              </w:rPr>
              <w:t>-A-6-</w:t>
            </w:r>
          </w:p>
        </w:tc>
      </w:tr>
      <w:tr>
        <w:trPr>
          <w:trHeight w:val="219"/>
        </w:trPr>
        <w:tc>
          <w:tcPr>
            <w:tcW w:w="3140" w:type="dxa"/>
            <w:vAlign w:val="bottom"/>
            <w:tcBorders>
              <w:bottom w:val="single" w:sz="8" w:color="auto"/>
            </w:tcBorders>
          </w:tcPr>
          <w:p>
            <w:pPr>
              <w:spacing w:after="0"/>
              <w:rPr>
                <w:sz w:val="19"/>
                <w:szCs w:val="19"/>
                <w:color w:val="auto"/>
              </w:rPr>
            </w:pPr>
          </w:p>
        </w:tc>
        <w:tc>
          <w:tcPr>
            <w:tcW w:w="788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76" w:name="page77"/>
    <w:bookmarkEnd w:id="76"/>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7. LIMITATIONS ON RIGHT TO PURCHASE SHARES</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7.1 5% Limitation</w:t>
      </w:r>
    </w:p>
    <w:p>
      <w:pPr>
        <w:spacing w:after="0" w:line="185" w:lineRule="exact"/>
        <w:rPr>
          <w:sz w:val="20"/>
          <w:szCs w:val="20"/>
          <w:color w:val="auto"/>
        </w:rPr>
      </w:pPr>
    </w:p>
    <w:p>
      <w:pPr>
        <w:ind w:left="920" w:right="1120" w:firstLine="360"/>
        <w:spacing w:after="0" w:line="242" w:lineRule="auto"/>
        <w:rPr>
          <w:sz w:val="20"/>
          <w:szCs w:val="20"/>
          <w:color w:val="auto"/>
        </w:rPr>
      </w:pPr>
      <w:r>
        <w:rPr>
          <w:rFonts w:ascii="Arial" w:cs="Arial" w:eastAsia="Arial" w:hAnsi="Arial"/>
          <w:sz w:val="18"/>
          <w:szCs w:val="18"/>
          <w:color w:val="auto"/>
        </w:rPr>
        <w:t>Notwithstanding any provisions of the Plan to the contrary, no Eligible Employee shall be granted an Option under the Plan to the extent that, immediately after the grant, such Eligible Employee (or any other person whose stock would be attributed to such Eligible Employee pursuant to Section 424(d) of the Code) would own capital stock of the Company or any Parent Corporation or Subsidiary Corporation and/or hold outstanding options to purchase such stock possessing five percent (5%) or more of the total combined voting power or value of all classes of the capital stock of the Company or of any Parent Corporation or Subsidiary Corporation.</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7.2 $25,000 Limitation</w:t>
      </w:r>
    </w:p>
    <w:p>
      <w:pPr>
        <w:spacing w:after="0" w:line="185" w:lineRule="exact"/>
        <w:rPr>
          <w:sz w:val="20"/>
          <w:szCs w:val="20"/>
          <w:color w:val="auto"/>
        </w:rPr>
      </w:pPr>
    </w:p>
    <w:p>
      <w:pPr>
        <w:ind w:left="920" w:right="940" w:firstLine="360"/>
        <w:spacing w:after="0" w:line="242" w:lineRule="auto"/>
        <w:rPr>
          <w:sz w:val="20"/>
          <w:szCs w:val="20"/>
          <w:color w:val="auto"/>
        </w:rPr>
      </w:pPr>
      <w:r>
        <w:rPr>
          <w:rFonts w:ascii="Arial" w:cs="Arial" w:eastAsia="Arial" w:hAnsi="Arial"/>
          <w:sz w:val="18"/>
          <w:szCs w:val="18"/>
          <w:color w:val="auto"/>
        </w:rPr>
        <w:t>Notwithstanding any provisions of the Plan to the contrary, no Eligible Employee shall be granted an Option under the Plan to the extent that his or her rights to purchase stock under all employee stock purchase plans (as defined in Section 423 of the Code) of the Company or any Parent Corporation or Subsidiary Corporation accrues at a rate, which exceeds twenty-five thousand dollars ($ 25,000) worth of stock (determined at the Fair Market Value of the stock at the time such Option is granted) for each calendar year in which such Option is outstanding at any time, as determined in accordance with Section 423 of the Code and the regulations thereunder.</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7.3 Number of Shares Purchased</w:t>
      </w:r>
    </w:p>
    <w:p>
      <w:pPr>
        <w:spacing w:after="0" w:line="185" w:lineRule="exact"/>
        <w:rPr>
          <w:sz w:val="20"/>
          <w:szCs w:val="20"/>
          <w:color w:val="auto"/>
        </w:rPr>
      </w:pPr>
    </w:p>
    <w:p>
      <w:pPr>
        <w:ind w:left="920" w:right="980" w:firstLine="360"/>
        <w:spacing w:after="0" w:line="244" w:lineRule="auto"/>
        <w:rPr>
          <w:sz w:val="20"/>
          <w:szCs w:val="20"/>
          <w:color w:val="auto"/>
        </w:rPr>
      </w:pPr>
      <w:r>
        <w:rPr>
          <w:rFonts w:ascii="Arial" w:cs="Arial" w:eastAsia="Arial" w:hAnsi="Arial"/>
          <w:sz w:val="18"/>
          <w:szCs w:val="18"/>
          <w:color w:val="auto"/>
        </w:rPr>
        <w:t>No Participant shall be entitled to purchase more than 250 shares of Stock (or such other number as the Plan Administrator shall specify for a future Offering) under the Plan in any Purchase Period. Any remaining cash balance not applied to the purchase of Shares during an Offering for any reason shall not be carried forward to any subsequent Offering and shall instead be refunded, without interest (subject to Section 9.6 above), as soon as practicable following the Purchase Date.</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7.4 Pro Rata Allocation</w:t>
      </w:r>
    </w:p>
    <w:p>
      <w:pPr>
        <w:spacing w:after="0" w:line="185" w:lineRule="exact"/>
        <w:rPr>
          <w:sz w:val="20"/>
          <w:szCs w:val="20"/>
          <w:color w:val="auto"/>
        </w:rPr>
      </w:pPr>
    </w:p>
    <w:p>
      <w:pPr>
        <w:ind w:left="920" w:right="1000" w:firstLine="360"/>
        <w:spacing w:after="0" w:line="247" w:lineRule="auto"/>
        <w:rPr>
          <w:sz w:val="20"/>
          <w:szCs w:val="20"/>
          <w:color w:val="auto"/>
        </w:rPr>
      </w:pPr>
      <w:r>
        <w:rPr>
          <w:rFonts w:ascii="Arial" w:cs="Arial" w:eastAsia="Arial" w:hAnsi="Arial"/>
          <w:sz w:val="18"/>
          <w:szCs w:val="18"/>
          <w:color w:val="auto"/>
        </w:rPr>
        <w:t>In the event the number of shares of Stock that might be purchased by all Participants in the Plan exceeds the number of shares of Stock available in the Plan, the Plan Administrator shall make a pro rata allocation of the remaining shares of Stock in as uniform a manner as shall be practicable and as the Plan Administrator shall determine to be equitable.</w:t>
      </w:r>
    </w:p>
    <w:p>
      <w:pPr>
        <w:spacing w:after="0" w:line="17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8. PURCHASE PRICE</w:t>
      </w:r>
    </w:p>
    <w:p>
      <w:pPr>
        <w:spacing w:after="0" w:line="185" w:lineRule="exact"/>
        <w:rPr>
          <w:sz w:val="20"/>
          <w:szCs w:val="20"/>
          <w:color w:val="auto"/>
        </w:rPr>
      </w:pPr>
    </w:p>
    <w:p>
      <w:pPr>
        <w:ind w:left="920" w:right="1080" w:firstLine="360"/>
        <w:spacing w:after="0" w:line="244" w:lineRule="auto"/>
        <w:rPr>
          <w:sz w:val="20"/>
          <w:szCs w:val="20"/>
          <w:color w:val="auto"/>
        </w:rPr>
      </w:pPr>
      <w:r>
        <w:rPr>
          <w:rFonts w:ascii="Arial" w:cs="Arial" w:eastAsia="Arial" w:hAnsi="Arial"/>
          <w:sz w:val="18"/>
          <w:szCs w:val="18"/>
          <w:color w:val="auto"/>
        </w:rPr>
        <w:t>The purchase price (the “Purchase Price”) at which Stock may be acquired pursuant to the exercise of an Option granted under the Plan shall be an amount equal to ninety-five percent (95%) of the Fair Market Value of a share of Stock on the Purchase Date; provided, however, that the Plan Administrator may establish a different Purchase Price for any Offering which shall not be less than 85% of the lower of: (a) the Fair Market Value of a share of Stock on the Offering Date, and (b) the Fair Market Value of a share of Stock on the Purchase Date.</w:t>
      </w:r>
    </w:p>
    <w:p>
      <w:pPr>
        <w:spacing w:after="0" w:line="176" w:lineRule="exact"/>
        <w:rPr>
          <w:sz w:val="20"/>
          <w:szCs w:val="20"/>
          <w:color w:val="auto"/>
        </w:rPr>
      </w:pPr>
    </w:p>
    <w:p>
      <w:pPr>
        <w:ind w:left="920" w:right="4180"/>
        <w:spacing w:after="0" w:line="422" w:lineRule="auto"/>
        <w:rPr>
          <w:sz w:val="20"/>
          <w:szCs w:val="20"/>
          <w:color w:val="auto"/>
        </w:rPr>
      </w:pPr>
      <w:r>
        <w:rPr>
          <w:rFonts w:ascii="Arial" w:cs="Arial" w:eastAsia="Arial" w:hAnsi="Arial"/>
          <w:sz w:val="18"/>
          <w:szCs w:val="18"/>
          <w:b w:val="1"/>
          <w:bCs w:val="1"/>
          <w:color w:val="auto"/>
        </w:rPr>
        <w:t>SECTION 9. EXERCISE OF OPTION; PAYMENT OF PURCHASE PRICE 9.1 Exercise of Option; General Rules</w:t>
      </w:r>
    </w:p>
    <w:p>
      <w:pPr>
        <w:spacing w:after="0" w:line="1" w:lineRule="exact"/>
        <w:rPr>
          <w:sz w:val="20"/>
          <w:szCs w:val="20"/>
          <w:color w:val="auto"/>
        </w:rPr>
      </w:pPr>
    </w:p>
    <w:p>
      <w:pPr>
        <w:ind w:left="920" w:right="1120" w:firstLine="360"/>
        <w:spacing w:after="0" w:line="271" w:lineRule="auto"/>
        <w:rPr>
          <w:sz w:val="20"/>
          <w:szCs w:val="20"/>
          <w:color w:val="auto"/>
        </w:rPr>
      </w:pPr>
      <w:r>
        <w:rPr>
          <w:rFonts w:ascii="Arial" w:cs="Arial" w:eastAsia="Arial" w:hAnsi="Arial"/>
          <w:sz w:val="18"/>
          <w:szCs w:val="18"/>
          <w:color w:val="auto"/>
        </w:rPr>
        <w:t>Subject to Section 9.10 below, each Participant’s Option to purchase shares of Stock under the Plan shall be exercised automatically on each Purchase Date.</w:t>
      </w:r>
    </w:p>
    <w:p>
      <w:pPr>
        <w:spacing w:after="0" w:line="113" w:lineRule="exact"/>
        <w:rPr>
          <w:sz w:val="20"/>
          <w:szCs w:val="20"/>
          <w:color w:val="auto"/>
        </w:rPr>
      </w:pPr>
    </w:p>
    <w:p>
      <w:pPr>
        <w:ind w:left="920" w:right="960" w:firstLine="360"/>
        <w:spacing w:after="0" w:line="244" w:lineRule="auto"/>
        <w:rPr>
          <w:sz w:val="20"/>
          <w:szCs w:val="20"/>
          <w:color w:val="auto"/>
        </w:rPr>
      </w:pPr>
      <w:r>
        <w:rPr>
          <w:rFonts w:ascii="Arial" w:cs="Arial" w:eastAsia="Arial" w:hAnsi="Arial"/>
          <w:sz w:val="18"/>
          <w:szCs w:val="18"/>
          <w:color w:val="auto"/>
        </w:rPr>
        <w:t>Stock that is acquired pursuant to the exercise of an Option shall be paid for by means of payroll deductions taken from the Participant’s Eligible Compensation during each Purchase Period. Except as set forth in this Section 9, the amount of payroll deductions to be taken from a Participant’s Eligible Compensation during each pay period shall be determined by the Participant at the time of completing the subscription agreement and enrolling in the Plan as described in Section 6.1 above.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40" w:type="dxa"/>
            <w:vAlign w:val="bottom"/>
          </w:tcPr>
          <w:p>
            <w:pPr>
              <w:ind w:left="920"/>
              <w:spacing w:after="0"/>
              <w:rPr>
                <w:sz w:val="20"/>
                <w:szCs w:val="20"/>
                <w:color w:val="auto"/>
              </w:rPr>
            </w:pPr>
            <w:r>
              <w:rPr>
                <w:rFonts w:ascii="Arial" w:cs="Arial" w:eastAsia="Arial" w:hAnsi="Arial"/>
                <w:sz w:val="13"/>
                <w:szCs w:val="13"/>
                <w:color w:val="auto"/>
              </w:rPr>
              <w:t> </w:t>
            </w:r>
          </w:p>
        </w:tc>
        <w:tc>
          <w:tcPr>
            <w:tcW w:w="7880" w:type="dxa"/>
            <w:vAlign w:val="bottom"/>
          </w:tcPr>
          <w:p>
            <w:pPr>
              <w:ind w:left="2180"/>
              <w:spacing w:after="0"/>
              <w:rPr>
                <w:sz w:val="20"/>
                <w:szCs w:val="20"/>
                <w:color w:val="auto"/>
              </w:rPr>
            </w:pPr>
            <w:r>
              <w:rPr>
                <w:rFonts w:ascii="Arial" w:cs="Arial" w:eastAsia="Arial" w:hAnsi="Arial"/>
                <w:sz w:val="18"/>
                <w:szCs w:val="18"/>
                <w:color w:val="auto"/>
              </w:rPr>
              <w:t>-A-7-</w:t>
            </w:r>
          </w:p>
        </w:tc>
      </w:tr>
      <w:tr>
        <w:trPr>
          <w:trHeight w:val="219"/>
        </w:trPr>
        <w:tc>
          <w:tcPr>
            <w:tcW w:w="3140" w:type="dxa"/>
            <w:vAlign w:val="bottom"/>
            <w:tcBorders>
              <w:bottom w:val="single" w:sz="8" w:color="auto"/>
            </w:tcBorders>
          </w:tcPr>
          <w:p>
            <w:pPr>
              <w:spacing w:after="0"/>
              <w:rPr>
                <w:sz w:val="19"/>
                <w:szCs w:val="19"/>
                <w:color w:val="auto"/>
              </w:rPr>
            </w:pPr>
          </w:p>
        </w:tc>
        <w:tc>
          <w:tcPr>
            <w:tcW w:w="788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77" w:name="page78"/>
    <w:bookmarkEnd w:id="77"/>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right="1180" w:firstLine="360"/>
        <w:spacing w:after="0" w:line="244" w:lineRule="auto"/>
        <w:rPr>
          <w:sz w:val="20"/>
          <w:szCs w:val="20"/>
          <w:color w:val="auto"/>
        </w:rPr>
      </w:pPr>
      <w:r>
        <w:rPr>
          <w:rFonts w:ascii="Arial" w:cs="Arial" w:eastAsia="Arial" w:hAnsi="Arial"/>
          <w:sz w:val="18"/>
          <w:szCs w:val="18"/>
          <w:color w:val="auto"/>
        </w:rPr>
        <w:t>Notwithstanding the foregoing or any provisions to the contrary in the Plan, the Administrator may allow Participants to make payments under the Plan via cash, check or other means instead of payroll deductions if payroll deductions are not permitted or feasible under applicable law and, for any Offering under the Section 423 Plan, the Plan Administrator determines that such other contributions are permissible under Section 423 of the Code.</w:t>
      </w:r>
    </w:p>
    <w:p>
      <w:pPr>
        <w:spacing w:after="0" w:line="1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9.2 Amount of Payroll Deductions or Other Contributions</w:t>
      </w:r>
    </w:p>
    <w:p>
      <w:pPr>
        <w:spacing w:after="0" w:line="171" w:lineRule="exact"/>
        <w:rPr>
          <w:sz w:val="20"/>
          <w:szCs w:val="20"/>
          <w:color w:val="auto"/>
        </w:rPr>
      </w:pPr>
    </w:p>
    <w:p>
      <w:pPr>
        <w:ind w:left="920" w:right="1000" w:firstLine="360"/>
        <w:spacing w:after="0" w:line="242" w:lineRule="auto"/>
        <w:rPr>
          <w:sz w:val="20"/>
          <w:szCs w:val="20"/>
          <w:color w:val="auto"/>
        </w:rPr>
      </w:pPr>
      <w:r>
        <w:rPr>
          <w:rFonts w:ascii="Arial" w:cs="Arial" w:eastAsia="Arial" w:hAnsi="Arial"/>
          <w:sz w:val="18"/>
          <w:szCs w:val="18"/>
          <w:color w:val="auto"/>
        </w:rPr>
        <w:t>The amount of payroll deductions taken from (or other contributions made by) a Participant during any Purchase Period shall be a percentage of the Participant’s Eligible Compensation, such amount to be, in either case, at least 1% of the Participant’s Eligible Compensation for such Purchase Period and not more than 10% of the Participant’s Eligible Compensation for such Purchase Period (or such other percentages as the Plan Administrator may establish for future Offerings). Amounts shall be deducted (or contributed) in whole percentages only.</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9.3 Commencement of Payroll Deductions and Other Contributions</w:t>
      </w:r>
    </w:p>
    <w:p>
      <w:pPr>
        <w:spacing w:after="0" w:line="171" w:lineRule="exact"/>
        <w:rPr>
          <w:sz w:val="20"/>
          <w:szCs w:val="20"/>
          <w:color w:val="auto"/>
        </w:rPr>
      </w:pPr>
    </w:p>
    <w:p>
      <w:pPr>
        <w:ind w:left="920" w:right="960" w:firstLine="360"/>
        <w:spacing w:after="0" w:line="242" w:lineRule="auto"/>
        <w:rPr>
          <w:sz w:val="20"/>
          <w:szCs w:val="20"/>
          <w:color w:val="auto"/>
        </w:rPr>
      </w:pPr>
      <w:r>
        <w:rPr>
          <w:rFonts w:ascii="Arial" w:cs="Arial" w:eastAsia="Arial" w:hAnsi="Arial"/>
          <w:sz w:val="18"/>
          <w:szCs w:val="18"/>
          <w:color w:val="auto"/>
        </w:rPr>
        <w:t>Payroll deductions shall commence on the first payday following the Offering Date and shall continue through the last payday of the Offering, unless sooner altered or terminated as provided in the Plan. Should a payday occur on a Purchase Date, a Participant shall have the payroll deductions made on such day applied to his or her account under the current Purchase Period, unless otherwise provided by the Plan Administrator. Other contributions (if permitted) shall be made at the time and in the manner prescribed by the Plan Administrator and communicated to Eligible Employees during the prescribed enrollment period for the applicable Offering.</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9.4 Changes in Payroll Deduction or Other Contributions</w:t>
      </w:r>
    </w:p>
    <w:p>
      <w:pPr>
        <w:spacing w:after="0" w:line="171" w:lineRule="exact"/>
        <w:rPr>
          <w:sz w:val="20"/>
          <w:szCs w:val="20"/>
          <w:color w:val="auto"/>
        </w:rPr>
      </w:pPr>
    </w:p>
    <w:p>
      <w:pPr>
        <w:ind w:left="920" w:right="1040" w:firstLine="354"/>
        <w:spacing w:after="0"/>
        <w:tabs>
          <w:tab w:leader="none" w:pos="155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Unless the Plan Administrator establishes otherwise for a future Offering, during an Offering, a Participant may elect to decrease the amount deducted (or otherwise contributed) from his or her Eligible Compensation by completing an amended subscription agreement (either through the Company’s online Plan enrollment process or in paper form). Any such change in rate shall be effective as soon as administratively practicable following the Participant’s completion of such an amended subscription agreement, provided that the Plan Administrator may establish in advance of a particular Purchase Period a deadline by which any such change must be submitted before the change shall be effective for a pay period. Such amended subscription agreement shall remain in effect until the Participant changes such agreement in accordance with the terms of the Plan.</w:t>
      </w:r>
    </w:p>
    <w:p>
      <w:pPr>
        <w:spacing w:after="0" w:line="153" w:lineRule="exact"/>
        <w:rPr>
          <w:rFonts w:ascii="Arial" w:cs="Arial" w:eastAsia="Arial" w:hAnsi="Arial"/>
          <w:sz w:val="18"/>
          <w:szCs w:val="18"/>
          <w:color w:val="auto"/>
        </w:rPr>
      </w:pPr>
    </w:p>
    <w:p>
      <w:pPr>
        <w:ind w:left="920" w:right="1080" w:firstLine="354"/>
        <w:spacing w:after="0"/>
        <w:tabs>
          <w:tab w:leader="none" w:pos="155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Unless the Plan Administrator establishes otherwise for a future Offering, a Participant may elect to increase or decrease the amount to be deducted (or otherwise contributed) from his or her Eligible Compensation for future Offerings by completing an amended subscription agreement (either through the Company’s online Plan enrollment process or in paper form) during the prescribed enrollment period prior to the applicable Offering or by such other deadline as may be established by the Plan Administrator in advance of a particular Offering. Such amended subscription agreement shall remain in effect until the Participant changes such agreement in accordance with the terms of the Plan.</w:t>
      </w:r>
    </w:p>
    <w:p>
      <w:pPr>
        <w:spacing w:after="0" w:line="144" w:lineRule="exact"/>
        <w:rPr>
          <w:rFonts w:ascii="Arial" w:cs="Arial" w:eastAsia="Arial" w:hAnsi="Arial"/>
          <w:sz w:val="18"/>
          <w:szCs w:val="18"/>
          <w:color w:val="auto"/>
        </w:rPr>
      </w:pPr>
    </w:p>
    <w:p>
      <w:pPr>
        <w:ind w:left="920" w:right="940" w:firstLine="354"/>
        <w:spacing w:after="0" w:line="242" w:lineRule="auto"/>
        <w:tabs>
          <w:tab w:leader="none" w:pos="1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Notwithstanding the foregoing, a Participant’s payroll deductions or contributions shall be decreased to 0% during an Offering to the extent necessary to comply with Section 423(b)(8) of the Code and Section 7.2 above. Payroll deductions or contributions shall re-commence at the rate provided in such Participant’s subscription agreement at the beginning of the first Offering that is scheduled to end in the following calendar year, unless the Participant terminates participation in an Offering or the Plan as provided in Section 11 below or indicates otherwise in an amended subscription agreement.</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9.5 Memorandum Accounts</w:t>
      </w:r>
    </w:p>
    <w:p>
      <w:pPr>
        <w:spacing w:after="0" w:line="171" w:lineRule="exact"/>
        <w:rPr>
          <w:sz w:val="20"/>
          <w:szCs w:val="20"/>
          <w:color w:val="auto"/>
        </w:rPr>
      </w:pPr>
    </w:p>
    <w:p>
      <w:pPr>
        <w:ind w:left="920" w:right="1000" w:firstLine="360"/>
        <w:spacing w:after="0" w:line="271" w:lineRule="auto"/>
        <w:rPr>
          <w:sz w:val="20"/>
          <w:szCs w:val="20"/>
          <w:color w:val="auto"/>
        </w:rPr>
      </w:pPr>
      <w:r>
        <w:rPr>
          <w:rFonts w:ascii="Arial" w:cs="Arial" w:eastAsia="Arial" w:hAnsi="Arial"/>
          <w:sz w:val="18"/>
          <w:szCs w:val="18"/>
          <w:color w:val="auto"/>
        </w:rPr>
        <w:t>Individual accounts shall be maintained for each Participant for memorandum purposes only, unless otherwise required by applicable law, as determined by the Plan Administrator.</w:t>
      </w:r>
    </w:p>
    <w:p>
      <w:pPr>
        <w:spacing w:after="0" w:line="127" w:lineRule="exact"/>
        <w:rPr>
          <w:sz w:val="20"/>
          <w:szCs w:val="20"/>
          <w:color w:val="auto"/>
        </w:rPr>
      </w:pPr>
    </w:p>
    <w:p>
      <w:pPr>
        <w:ind w:left="920" w:right="1020" w:firstLine="360"/>
        <w:spacing w:after="0" w:line="253" w:lineRule="auto"/>
        <w:rPr>
          <w:sz w:val="20"/>
          <w:szCs w:val="20"/>
          <w:color w:val="auto"/>
        </w:rPr>
      </w:pPr>
      <w:r>
        <w:rPr>
          <w:rFonts w:ascii="Arial" w:cs="Arial" w:eastAsia="Arial" w:hAnsi="Arial"/>
          <w:sz w:val="18"/>
          <w:szCs w:val="18"/>
          <w:color w:val="auto"/>
        </w:rPr>
        <w:t>All payroll deductions from a Participant’s Eligible Compensation or other contributions which are credited to such account shall be deposited with the general funds of the Company and may be used by the Company for any corporate purpose, unless otherwise required by applicable law, as determined by the Plan Administrator.</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40" w:type="dxa"/>
            <w:vAlign w:val="bottom"/>
          </w:tcPr>
          <w:p>
            <w:pPr>
              <w:ind w:left="920"/>
              <w:spacing w:after="0"/>
              <w:rPr>
                <w:sz w:val="20"/>
                <w:szCs w:val="20"/>
                <w:color w:val="auto"/>
              </w:rPr>
            </w:pPr>
            <w:r>
              <w:rPr>
                <w:rFonts w:ascii="Arial" w:cs="Arial" w:eastAsia="Arial" w:hAnsi="Arial"/>
                <w:sz w:val="13"/>
                <w:szCs w:val="13"/>
                <w:color w:val="auto"/>
              </w:rPr>
              <w:t> </w:t>
            </w:r>
          </w:p>
        </w:tc>
        <w:tc>
          <w:tcPr>
            <w:tcW w:w="7880" w:type="dxa"/>
            <w:vAlign w:val="bottom"/>
          </w:tcPr>
          <w:p>
            <w:pPr>
              <w:ind w:left="2180"/>
              <w:spacing w:after="0"/>
              <w:rPr>
                <w:sz w:val="20"/>
                <w:szCs w:val="20"/>
                <w:color w:val="auto"/>
              </w:rPr>
            </w:pPr>
            <w:r>
              <w:rPr>
                <w:rFonts w:ascii="Arial" w:cs="Arial" w:eastAsia="Arial" w:hAnsi="Arial"/>
                <w:sz w:val="18"/>
                <w:szCs w:val="18"/>
                <w:color w:val="auto"/>
              </w:rPr>
              <w:t>-A-8-</w:t>
            </w:r>
          </w:p>
        </w:tc>
      </w:tr>
      <w:tr>
        <w:trPr>
          <w:trHeight w:val="219"/>
        </w:trPr>
        <w:tc>
          <w:tcPr>
            <w:tcW w:w="3140" w:type="dxa"/>
            <w:vAlign w:val="bottom"/>
            <w:tcBorders>
              <w:bottom w:val="single" w:sz="8" w:color="auto"/>
            </w:tcBorders>
          </w:tcPr>
          <w:p>
            <w:pPr>
              <w:spacing w:after="0"/>
              <w:rPr>
                <w:sz w:val="19"/>
                <w:szCs w:val="19"/>
                <w:color w:val="auto"/>
              </w:rPr>
            </w:pPr>
          </w:p>
        </w:tc>
        <w:tc>
          <w:tcPr>
            <w:tcW w:w="788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78" w:name="page79"/>
    <w:bookmarkEnd w:id="78"/>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9.6 No Interest</w:t>
      </w:r>
    </w:p>
    <w:p>
      <w:pPr>
        <w:spacing w:after="0" w:line="185" w:lineRule="exact"/>
        <w:rPr>
          <w:sz w:val="20"/>
          <w:szCs w:val="20"/>
          <w:color w:val="auto"/>
        </w:rPr>
      </w:pPr>
    </w:p>
    <w:p>
      <w:pPr>
        <w:ind w:left="920" w:right="1140" w:firstLine="360"/>
        <w:spacing w:after="0" w:line="271" w:lineRule="auto"/>
        <w:rPr>
          <w:sz w:val="20"/>
          <w:szCs w:val="20"/>
          <w:color w:val="auto"/>
        </w:rPr>
      </w:pPr>
      <w:r>
        <w:rPr>
          <w:rFonts w:ascii="Arial" w:cs="Arial" w:eastAsia="Arial" w:hAnsi="Arial"/>
          <w:sz w:val="18"/>
          <w:szCs w:val="18"/>
          <w:color w:val="auto"/>
        </w:rPr>
        <w:t>No interest shall accrue on a Participant’s contributions to the Plan, except as may be required by applicable law, as determined by the Plan Administrator.</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9.7 Acquisition of Stock</w:t>
      </w:r>
    </w:p>
    <w:p>
      <w:pPr>
        <w:spacing w:after="0" w:line="171" w:lineRule="exact"/>
        <w:rPr>
          <w:sz w:val="20"/>
          <w:szCs w:val="20"/>
          <w:color w:val="auto"/>
        </w:rPr>
      </w:pPr>
    </w:p>
    <w:p>
      <w:pPr>
        <w:ind w:left="920" w:right="940" w:firstLine="360"/>
        <w:spacing w:after="0" w:line="239" w:lineRule="auto"/>
        <w:rPr>
          <w:sz w:val="20"/>
          <w:szCs w:val="20"/>
          <w:color w:val="auto"/>
        </w:rPr>
      </w:pPr>
      <w:r>
        <w:rPr>
          <w:rFonts w:ascii="Arial" w:cs="Arial" w:eastAsia="Arial" w:hAnsi="Arial"/>
          <w:sz w:val="18"/>
          <w:szCs w:val="18"/>
          <w:color w:val="auto"/>
        </w:rPr>
        <w:t>Subject to the limitations set forth in Section 7 above, on each Purchase Date, each Participant shall acquire, pursuant to the automatic exercise of the Participant’s Option, the number of whole shares of Stock arrived at by dividing the total amount of the Participant’s accumulated payroll deductions or other contributions for the Purchase Period by the Purchase Price; provided, however, that in no event shall the number of shares of Stock purchased by the Participant exceed the number of shares of Stock subject to the Participant’s Option. Fractional shares may be issued under the Plan only to the extent permitted by the Plan Administrator. For Participants whose Eligible Compensation is paid in a currency other than US Dollars, the accumulated payroll deductions and any other contributions specifically provided for in an Offering shall be converted into US Dollars at an exchange rate determined by the Board in its sole discretion.</w:t>
      </w:r>
    </w:p>
    <w:p>
      <w:pPr>
        <w:spacing w:after="0" w:line="18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9.8 Refund of Excess Amounts</w:t>
      </w:r>
    </w:p>
    <w:p>
      <w:pPr>
        <w:spacing w:after="0" w:line="171" w:lineRule="exact"/>
        <w:rPr>
          <w:sz w:val="20"/>
          <w:szCs w:val="20"/>
          <w:color w:val="auto"/>
        </w:rPr>
      </w:pPr>
    </w:p>
    <w:p>
      <w:pPr>
        <w:ind w:left="920" w:right="1140" w:firstLine="360"/>
        <w:spacing w:after="0"/>
        <w:rPr>
          <w:sz w:val="20"/>
          <w:szCs w:val="20"/>
          <w:color w:val="auto"/>
        </w:rPr>
      </w:pPr>
      <w:r>
        <w:rPr>
          <w:rFonts w:ascii="Arial" w:cs="Arial" w:eastAsia="Arial" w:hAnsi="Arial"/>
          <w:sz w:val="18"/>
          <w:szCs w:val="18"/>
          <w:color w:val="auto"/>
        </w:rPr>
        <w:t>Any cash balance remaining in the Participant’s account shall be refunded to the Participant as soon as practical after the Purchase Date. In the event the cash to be returned to a Participant pursuant to the preceding sentence is an amount less than the amount necessary to purchase a whole share of Stock, and the Plan Administrator has determined that fractional shares may not be issued, the Plan Administrator may establish procedures whereby such cash is maintained in the Participant’s account and applied to the purchase of Stock in the subsequent Purchase Period. If the Participant does not participate in the next Purchase Period, such remaining cash balance shall be refunded to the Participant as soon as practical after the Purchase Date without the payment of any interest (subject to Section 9.6 above).</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9.9 Withholding Obligations</w:t>
      </w:r>
    </w:p>
    <w:p>
      <w:pPr>
        <w:spacing w:after="0" w:line="185" w:lineRule="exact"/>
        <w:rPr>
          <w:sz w:val="20"/>
          <w:szCs w:val="20"/>
          <w:color w:val="auto"/>
        </w:rPr>
      </w:pPr>
    </w:p>
    <w:p>
      <w:pPr>
        <w:ind w:left="920" w:right="980" w:firstLine="360"/>
        <w:spacing w:after="0" w:line="238" w:lineRule="auto"/>
        <w:rPr>
          <w:sz w:val="20"/>
          <w:szCs w:val="20"/>
          <w:color w:val="auto"/>
        </w:rPr>
      </w:pPr>
      <w:r>
        <w:rPr>
          <w:rFonts w:ascii="Arial" w:cs="Arial" w:eastAsia="Arial" w:hAnsi="Arial"/>
          <w:sz w:val="18"/>
          <w:szCs w:val="18"/>
          <w:color w:val="auto"/>
        </w:rPr>
        <w:t>At the time the Option is exercised or at the time some or all of the Stock issued under the Plan is disposed of (or at any other time that a taxable event related to the Plan occurs), the Participant must make adequate provision for the Company’s or the Employer’s federal, state, local or any other tax liability payable to any authority including taxes imposed by jurisdictions outside of the U.S., national insurance, social security or other tax withholding obligations, if any, which arise upon the exercise of the Option or the disposition of the Stock (or any other taxable event related to the Plan), including, for the avoidance of doubt, any liability to pay an employer tax or social insurance contribution which has been shifted from the Company or any Employer to the Participant as a matter of law or contract. At any time, the Company or the Employer may, but shall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sale or early disposition of Stock by the Participant. In addition, the Company or the Employer may, but shall not be obligated to, withhold from the proceeds of the sale of Stock or any other method of withholding the Company or the Employer deems appropriate.</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9.10 Termination of Participation</w:t>
      </w:r>
    </w:p>
    <w:p>
      <w:pPr>
        <w:spacing w:after="0" w:line="171" w:lineRule="exact"/>
        <w:rPr>
          <w:sz w:val="20"/>
          <w:szCs w:val="20"/>
          <w:color w:val="auto"/>
        </w:rPr>
      </w:pPr>
    </w:p>
    <w:p>
      <w:pPr>
        <w:ind w:left="920" w:right="940" w:firstLine="360"/>
        <w:spacing w:after="0" w:line="275" w:lineRule="auto"/>
        <w:rPr>
          <w:sz w:val="20"/>
          <w:szCs w:val="20"/>
          <w:color w:val="auto"/>
        </w:rPr>
      </w:pPr>
      <w:r>
        <w:rPr>
          <w:rFonts w:ascii="Arial" w:cs="Arial" w:eastAsia="Arial" w:hAnsi="Arial"/>
          <w:sz w:val="17"/>
          <w:szCs w:val="17"/>
          <w:color w:val="auto"/>
        </w:rPr>
        <w:t>No Stock shall be purchased on a Purchase Date on behalf of a Participant whose participation in a current Offering or the Plan has terminated on or before such Purchase Date, whether such termination is due to withdrawal as described in Section 11 below or due to termination of employment as described in Section 12 below.</w:t>
      </w:r>
    </w:p>
    <w:p>
      <w:pPr>
        <w:spacing w:after="0" w:line="15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10. STOCK OWNERSHIP</w:t>
      </w:r>
    </w:p>
    <w:p>
      <w:pPr>
        <w:spacing w:after="0" w:line="171" w:lineRule="exact"/>
        <w:rPr>
          <w:sz w:val="20"/>
          <w:szCs w:val="20"/>
          <w:color w:val="auto"/>
        </w:rPr>
      </w:pPr>
    </w:p>
    <w:p>
      <w:pPr>
        <w:ind w:left="920" w:right="960" w:firstLine="360"/>
        <w:spacing w:after="0"/>
        <w:rPr>
          <w:sz w:val="20"/>
          <w:szCs w:val="20"/>
          <w:color w:val="auto"/>
        </w:rPr>
      </w:pPr>
      <w:r>
        <w:rPr>
          <w:rFonts w:ascii="Arial" w:cs="Arial" w:eastAsia="Arial" w:hAnsi="Arial"/>
          <w:sz w:val="18"/>
          <w:szCs w:val="18"/>
          <w:color w:val="auto"/>
        </w:rPr>
        <w:t>Promptly following each Purchase Date, the number of shares of Stock purchased by each Participant shall be deposited into an account established in the Participant’s name at a stock brokerage or other financial services firm designated or approved by the Plan Administrator (the “ESPP Broker”). A Participant shall be free to undertake a disposition of the shares of Stock in his or her account at any time, but the Company may require that, in the absence of such a disposition, the shares of Stock remain in the Participant’s account at the ESPP Broker until the disposition of the shares of Stock or until such other time as the Company deems necessary in order for it to comply with any applicable laws or regulations or desirable for the administration of the Plan.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40" w:type="dxa"/>
            <w:vAlign w:val="bottom"/>
          </w:tcPr>
          <w:p>
            <w:pPr>
              <w:ind w:left="920"/>
              <w:spacing w:after="0"/>
              <w:rPr>
                <w:sz w:val="20"/>
                <w:szCs w:val="20"/>
                <w:color w:val="auto"/>
              </w:rPr>
            </w:pPr>
            <w:r>
              <w:rPr>
                <w:rFonts w:ascii="Arial" w:cs="Arial" w:eastAsia="Arial" w:hAnsi="Arial"/>
                <w:sz w:val="13"/>
                <w:szCs w:val="13"/>
                <w:color w:val="auto"/>
              </w:rPr>
              <w:t> </w:t>
            </w:r>
          </w:p>
        </w:tc>
        <w:tc>
          <w:tcPr>
            <w:tcW w:w="7880" w:type="dxa"/>
            <w:vAlign w:val="bottom"/>
          </w:tcPr>
          <w:p>
            <w:pPr>
              <w:ind w:left="2180"/>
              <w:spacing w:after="0"/>
              <w:rPr>
                <w:sz w:val="20"/>
                <w:szCs w:val="20"/>
                <w:color w:val="auto"/>
              </w:rPr>
            </w:pPr>
            <w:r>
              <w:rPr>
                <w:rFonts w:ascii="Arial" w:cs="Arial" w:eastAsia="Arial" w:hAnsi="Arial"/>
                <w:sz w:val="18"/>
                <w:szCs w:val="18"/>
                <w:color w:val="auto"/>
              </w:rPr>
              <w:t>-A-9-</w:t>
            </w:r>
          </w:p>
        </w:tc>
      </w:tr>
      <w:tr>
        <w:trPr>
          <w:trHeight w:val="233"/>
        </w:trPr>
        <w:tc>
          <w:tcPr>
            <w:tcW w:w="3140" w:type="dxa"/>
            <w:vAlign w:val="bottom"/>
            <w:tcBorders>
              <w:bottom w:val="single" w:sz="8" w:color="auto"/>
            </w:tcBorders>
          </w:tcPr>
          <w:p>
            <w:pPr>
              <w:spacing w:after="0"/>
              <w:rPr>
                <w:sz w:val="20"/>
                <w:szCs w:val="20"/>
                <w:color w:val="auto"/>
              </w:rPr>
            </w:pPr>
          </w:p>
        </w:tc>
        <w:tc>
          <w:tcPr>
            <w:tcW w:w="788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263" w:right="439" w:bottom="1440" w:gutter="0" w:footer="0" w:header="0"/>
        </w:sectPr>
      </w:pPr>
    </w:p>
    <w:bookmarkStart w:id="79" w:name="page80"/>
    <w:bookmarkEnd w:id="79"/>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11. WITHDRAWAL</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11.1 Withdrawal From an Offering</w:t>
      </w:r>
    </w:p>
    <w:p>
      <w:pPr>
        <w:spacing w:after="0" w:line="185" w:lineRule="exact"/>
        <w:rPr>
          <w:sz w:val="20"/>
          <w:szCs w:val="20"/>
          <w:color w:val="auto"/>
        </w:rPr>
      </w:pPr>
    </w:p>
    <w:p>
      <w:pPr>
        <w:ind w:left="920" w:right="940" w:firstLine="360"/>
        <w:spacing w:after="0" w:line="239" w:lineRule="auto"/>
        <w:rPr>
          <w:sz w:val="20"/>
          <w:szCs w:val="20"/>
          <w:color w:val="auto"/>
        </w:rPr>
      </w:pPr>
      <w:r>
        <w:rPr>
          <w:rFonts w:ascii="Arial" w:cs="Arial" w:eastAsia="Arial" w:hAnsi="Arial"/>
          <w:sz w:val="18"/>
          <w:szCs w:val="18"/>
          <w:color w:val="auto"/>
        </w:rPr>
        <w:t>A Participant may withdraw from an Offering by completing a notice of withdrawal (either through the Company’s online Plan enrollment process or in paper form) and/or any other forms and following any procedures for withdrawal from an Offering as may be established by the Plan Administrator from time to time. Such withdrawal may be elected at any time prior to the end of an Offering; provided, however, that if a Participant withdraws after the Purchase Date for a Purchase Period of an Offering, the withdrawal shall not affect Stock acquired by the Participant in an earlier Purchase Period and, provided further, that the Plan Administrator may determine that the notice of withdrawal (and any other prescribed procedures) must be completed by a particular deadline in advance of a Purchase Date of an Offering in order for such withdrawal to be effective with respect to such Purchase Period within the Offering. A Participant is prohibited from again participating in the same Offering at any time after withdrawing from such Offering.</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11.2 Withdrawal From the Plan</w:t>
      </w:r>
    </w:p>
    <w:p>
      <w:pPr>
        <w:spacing w:after="0" w:line="185" w:lineRule="exact"/>
        <w:rPr>
          <w:sz w:val="20"/>
          <w:szCs w:val="20"/>
          <w:color w:val="auto"/>
        </w:rPr>
      </w:pPr>
    </w:p>
    <w:p>
      <w:pPr>
        <w:ind w:left="920" w:right="980" w:firstLine="360"/>
        <w:spacing w:after="0" w:line="239" w:lineRule="auto"/>
        <w:rPr>
          <w:sz w:val="20"/>
          <w:szCs w:val="20"/>
          <w:color w:val="auto"/>
        </w:rPr>
      </w:pPr>
      <w:r>
        <w:rPr>
          <w:rFonts w:ascii="Arial" w:cs="Arial" w:eastAsia="Arial" w:hAnsi="Arial"/>
          <w:sz w:val="18"/>
          <w:szCs w:val="18"/>
          <w:color w:val="auto"/>
        </w:rPr>
        <w:t>A Participant may withdraw from the Plan by completing a notice of withdrawal (either through the Company’s online Plan enrollment process or in paper form) and/or any other forms and following any procedures for withdrawal from the Plan as may be established by the Plan Administrator from time to time. The Plan Administrator may determine that the notice of withdrawal (and any other prescribed procedures) must be completed by a particular deadline in order for such withdrawal to be effective with respect to an Offering and/or Purchase Period. In the event a Participant withdraws from the Plan, such Participant may not resume participation in the Plan during the same Offering, but may participate in any subsequent Offering under the Plan by again satisfying the definition of Eligible Employee and following the procedures for enrolling in the Plan as described in Section 6.1.</w:t>
      </w:r>
    </w:p>
    <w:p>
      <w:pPr>
        <w:spacing w:after="0" w:line="18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11.3 Return of Payroll Deductions or Other Contributions</w:t>
      </w:r>
    </w:p>
    <w:p>
      <w:pPr>
        <w:spacing w:after="0" w:line="185" w:lineRule="exact"/>
        <w:rPr>
          <w:sz w:val="20"/>
          <w:szCs w:val="20"/>
          <w:color w:val="auto"/>
        </w:rPr>
      </w:pPr>
    </w:p>
    <w:p>
      <w:pPr>
        <w:ind w:left="920" w:right="1020" w:firstLine="360"/>
        <w:spacing w:after="0" w:line="244" w:lineRule="auto"/>
        <w:rPr>
          <w:sz w:val="20"/>
          <w:szCs w:val="20"/>
          <w:color w:val="auto"/>
        </w:rPr>
      </w:pPr>
      <w:r>
        <w:rPr>
          <w:rFonts w:ascii="Arial" w:cs="Arial" w:eastAsia="Arial" w:hAnsi="Arial"/>
          <w:sz w:val="18"/>
          <w:szCs w:val="18"/>
          <w:color w:val="auto"/>
        </w:rPr>
        <w:t>Upon withdrawal from an Offering or the Plan pursuant to Sections 11.1 or 11.2 above, the Participant’s accumulated payroll deductions or contributions that have not been applied to the purchase of Stock shall be returned to the Participant as soon as practical after the withdrawal, without the payment of any interest (subject to Section 9.6), and the Participant’s interest in the Offering and the Plan shall terminate. Such accumulated payroll deductions or contributions may not be applied to any other Offering under the Plan.</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12. TERMINATION OF EMPLOYMENT</w:t>
      </w:r>
    </w:p>
    <w:p>
      <w:pPr>
        <w:spacing w:after="0" w:line="185" w:lineRule="exact"/>
        <w:rPr>
          <w:sz w:val="20"/>
          <w:szCs w:val="20"/>
          <w:color w:val="auto"/>
        </w:rPr>
      </w:pPr>
    </w:p>
    <w:p>
      <w:pPr>
        <w:ind w:left="920" w:right="980" w:firstLine="360"/>
        <w:spacing w:after="0"/>
        <w:rPr>
          <w:sz w:val="20"/>
          <w:szCs w:val="20"/>
          <w:color w:val="auto"/>
        </w:rPr>
      </w:pPr>
      <w:r>
        <w:rPr>
          <w:rFonts w:ascii="Arial" w:cs="Arial" w:eastAsia="Arial" w:hAnsi="Arial"/>
          <w:sz w:val="18"/>
          <w:szCs w:val="18"/>
          <w:color w:val="auto"/>
        </w:rPr>
        <w:t>Termination of a Participant’s employment with the Company or a Designated Corporation or Designated Affiliate for any reason (including retirement, death, the Employer ceasing to remain a Designated Corporation or Designated Affiliate) shall immediately terminate the Participant’s participation in the Plan. In such event, the payroll deductions or contributions credited to the Participant’s account since the last Purchase Date shall, as soon as practical, be returned to the Participant or, in the case of a Participant’s death, to the Participant’s legal representative, and all the Participant’s rights under the Plan shall terminate. Interest shall not be paid on sums returned to a Participant pursuant to this Section 12 (subject to Section 9.6).</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13. TRANSFERABILITY</w:t>
      </w:r>
    </w:p>
    <w:p>
      <w:pPr>
        <w:spacing w:after="0" w:line="185" w:lineRule="exact"/>
        <w:rPr>
          <w:sz w:val="20"/>
          <w:szCs w:val="20"/>
          <w:color w:val="auto"/>
        </w:rPr>
      </w:pPr>
    </w:p>
    <w:p>
      <w:pPr>
        <w:ind w:left="920" w:right="940" w:firstLine="360"/>
        <w:spacing w:after="0" w:line="244" w:lineRule="auto"/>
        <w:rPr>
          <w:sz w:val="20"/>
          <w:szCs w:val="20"/>
          <w:color w:val="auto"/>
        </w:rPr>
      </w:pPr>
      <w:r>
        <w:rPr>
          <w:rFonts w:ascii="Arial" w:cs="Arial" w:eastAsia="Arial" w:hAnsi="Arial"/>
          <w:sz w:val="18"/>
          <w:szCs w:val="18"/>
          <w:color w:val="auto"/>
        </w:rPr>
        <w:t>An Option granted under the Plan shall not be transferable otherwise than by will or the laws of descent and distribution, and is exercisable during the Participant’s lifetime only by the Participant. The Plan Administrator shall not recognize, and shall be under no duty to recognize, any assignment or purported assignment by a Participant, other than by will or the laws of descent and distribution, of the Participant’s interest in the Plan, of his or her Option or of any rights under his or her Option.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00" w:type="dxa"/>
            <w:vAlign w:val="bottom"/>
          </w:tcPr>
          <w:p>
            <w:pPr>
              <w:ind w:left="920"/>
              <w:spacing w:after="0"/>
              <w:rPr>
                <w:sz w:val="20"/>
                <w:szCs w:val="20"/>
                <w:color w:val="auto"/>
              </w:rPr>
            </w:pPr>
            <w:r>
              <w:rPr>
                <w:rFonts w:ascii="Arial" w:cs="Arial" w:eastAsia="Arial" w:hAnsi="Arial"/>
                <w:sz w:val="13"/>
                <w:szCs w:val="13"/>
                <w:color w:val="auto"/>
              </w:rPr>
              <w:t> </w:t>
            </w:r>
          </w:p>
        </w:tc>
        <w:tc>
          <w:tcPr>
            <w:tcW w:w="7920" w:type="dxa"/>
            <w:vAlign w:val="bottom"/>
          </w:tcPr>
          <w:p>
            <w:pPr>
              <w:ind w:left="2160"/>
              <w:spacing w:after="0"/>
              <w:rPr>
                <w:sz w:val="20"/>
                <w:szCs w:val="20"/>
                <w:color w:val="auto"/>
              </w:rPr>
            </w:pPr>
            <w:r>
              <w:rPr>
                <w:rFonts w:ascii="Arial" w:cs="Arial" w:eastAsia="Arial" w:hAnsi="Arial"/>
                <w:sz w:val="18"/>
                <w:szCs w:val="18"/>
                <w:color w:val="auto"/>
              </w:rPr>
              <w:t>-A-10-</w:t>
            </w:r>
          </w:p>
        </w:tc>
      </w:tr>
      <w:tr>
        <w:trPr>
          <w:trHeight w:val="219"/>
        </w:trPr>
        <w:tc>
          <w:tcPr>
            <w:tcW w:w="3100" w:type="dxa"/>
            <w:vAlign w:val="bottom"/>
            <w:tcBorders>
              <w:bottom w:val="single" w:sz="8" w:color="auto"/>
            </w:tcBorders>
          </w:tcPr>
          <w:p>
            <w:pPr>
              <w:spacing w:after="0"/>
              <w:rPr>
                <w:sz w:val="19"/>
                <w:szCs w:val="19"/>
                <w:color w:val="auto"/>
              </w:rPr>
            </w:pPr>
          </w:p>
        </w:tc>
        <w:tc>
          <w:tcPr>
            <w:tcW w:w="792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80" w:name="page81"/>
    <w:bookmarkEnd w:id="80"/>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14. NO RIGHTS OF SHAREHOLDER UNTIL SHARES ISSUED</w:t>
      </w:r>
    </w:p>
    <w:p>
      <w:pPr>
        <w:spacing w:after="0" w:line="185" w:lineRule="exact"/>
        <w:rPr>
          <w:sz w:val="20"/>
          <w:szCs w:val="20"/>
          <w:color w:val="auto"/>
        </w:rPr>
      </w:pPr>
    </w:p>
    <w:p>
      <w:pPr>
        <w:ind w:left="920" w:right="960" w:firstLine="360"/>
        <w:spacing w:after="0" w:line="242" w:lineRule="auto"/>
        <w:rPr>
          <w:sz w:val="20"/>
          <w:szCs w:val="20"/>
          <w:color w:val="auto"/>
        </w:rPr>
      </w:pPr>
      <w:r>
        <w:rPr>
          <w:rFonts w:ascii="Arial" w:cs="Arial" w:eastAsia="Arial" w:hAnsi="Arial"/>
          <w:sz w:val="18"/>
          <w:szCs w:val="18"/>
          <w:color w:val="auto"/>
        </w:rPr>
        <w:t>With respect to shares of Stock subject to an Option, a Participant shall not be deemed to be a shareholder of the Company, and he or she shall not have any of the rights or privileges of a shareholder. A Participant shall have the rights and privileges of a shareholder of the Company when, but not until, the shares of Stock have been issued following exercise of the Participant’s Option recorded, as in the books of the brokerage firm selected by the Plan Administrator or, as applicable, the Company, its transfer agent, stock plan administrator or such other outside entity which is not a brokerage firm.</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15. LIMITATIONS ON SALE OF STOCK PURCHASED UNDER THE PLAN</w:t>
      </w:r>
    </w:p>
    <w:p>
      <w:pPr>
        <w:spacing w:after="0" w:line="171" w:lineRule="exact"/>
        <w:rPr>
          <w:sz w:val="20"/>
          <w:szCs w:val="20"/>
          <w:color w:val="auto"/>
        </w:rPr>
      </w:pPr>
    </w:p>
    <w:p>
      <w:pPr>
        <w:ind w:left="920" w:right="980" w:firstLine="360"/>
        <w:spacing w:after="0" w:line="244" w:lineRule="auto"/>
        <w:rPr>
          <w:sz w:val="20"/>
          <w:szCs w:val="20"/>
          <w:color w:val="auto"/>
        </w:rPr>
      </w:pPr>
      <w:r>
        <w:rPr>
          <w:rFonts w:ascii="Arial" w:cs="Arial" w:eastAsia="Arial" w:hAnsi="Arial"/>
          <w:sz w:val="18"/>
          <w:szCs w:val="18"/>
          <w:color w:val="auto"/>
        </w:rPr>
        <w:t>The Plan is intended to provide Stock for investment and not for resale. The Company does not, however, intend to restrict or influence any Participant in the conduct of his or her own affairs. A Participant, therefore, may sell Stock purchased under the Plan at any time he or she chooses subject to compliance with Company policies and any applicable U.S. federal and state and foreign securities laws. A Participant assumes the risk of any market fluctuations in the price of the Stock.</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16. AMENDMENT OR TERMINATION OF THE PLAN</w:t>
      </w:r>
    </w:p>
    <w:p>
      <w:pPr>
        <w:spacing w:after="0" w:line="171" w:lineRule="exact"/>
        <w:rPr>
          <w:sz w:val="20"/>
          <w:szCs w:val="20"/>
          <w:color w:val="auto"/>
        </w:rPr>
      </w:pPr>
    </w:p>
    <w:p>
      <w:pPr>
        <w:ind w:left="920" w:right="1000" w:firstLine="360"/>
        <w:spacing w:after="0" w:line="244" w:lineRule="auto"/>
        <w:rPr>
          <w:sz w:val="20"/>
          <w:szCs w:val="20"/>
          <w:color w:val="auto"/>
        </w:rPr>
      </w:pPr>
      <w:r>
        <w:rPr>
          <w:rFonts w:ascii="Arial" w:cs="Arial" w:eastAsia="Arial" w:hAnsi="Arial"/>
          <w:sz w:val="18"/>
          <w:szCs w:val="18"/>
          <w:color w:val="auto"/>
        </w:rPr>
        <w:t>The Plan Administrator may amend, modify, suspend or terminate the Plan at any time without the approval of the shareholders of the Company; provided, however, that the Company shall obtain shareholder approval of any amendment in such a manner and to such a degree as required by applicable law or government regulation, or the rules of the Nasdaq Stock Market or any stock exchange or national market system on which the shares of Stock may be listed or to comply with Section 423 of the Code.</w:t>
      </w:r>
    </w:p>
    <w:p>
      <w:pPr>
        <w:spacing w:after="0" w:line="149" w:lineRule="exact"/>
        <w:rPr>
          <w:sz w:val="20"/>
          <w:szCs w:val="20"/>
          <w:color w:val="auto"/>
        </w:rPr>
      </w:pPr>
    </w:p>
    <w:p>
      <w:pPr>
        <w:ind w:left="920" w:right="1060" w:firstLine="360"/>
        <w:spacing w:after="0" w:line="247" w:lineRule="auto"/>
        <w:rPr>
          <w:sz w:val="20"/>
          <w:szCs w:val="20"/>
          <w:color w:val="auto"/>
        </w:rPr>
      </w:pPr>
      <w:r>
        <w:rPr>
          <w:rFonts w:ascii="Arial" w:cs="Arial" w:eastAsia="Arial" w:hAnsi="Arial"/>
          <w:sz w:val="18"/>
          <w:szCs w:val="18"/>
          <w:color w:val="auto"/>
        </w:rPr>
        <w:t>Without any limitations to the foregoing, if the Plan Administrator determines that the ongoing operation of the Plan may result in unfavorable financial accounting consequences, the Plan Administrator may, in its discretion and, to the extent necessary or desirable, modify or amend the Plan to reduce or eliminate such accounting consequences including, but not limited to:</w:t>
      </w:r>
    </w:p>
    <w:p>
      <w:pPr>
        <w:spacing w:after="0" w:line="133" w:lineRule="exact"/>
        <w:rPr>
          <w:sz w:val="20"/>
          <w:szCs w:val="20"/>
          <w:color w:val="auto"/>
        </w:rPr>
      </w:pPr>
    </w:p>
    <w:p>
      <w:pPr>
        <w:ind w:left="920" w:right="1020" w:firstLine="354"/>
        <w:spacing w:after="0" w:line="271" w:lineRule="auto"/>
        <w:tabs>
          <w:tab w:leader="none" w:pos="149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altering the Purchase Price for any Purchase Period, including a Purchase Period in progress at the time of the Plan Administrator action; or</w:t>
      </w:r>
    </w:p>
    <w:p>
      <w:pPr>
        <w:spacing w:after="0" w:line="113" w:lineRule="exact"/>
        <w:rPr>
          <w:rFonts w:ascii="Arial" w:cs="Arial" w:eastAsia="Arial" w:hAnsi="Arial"/>
          <w:sz w:val="18"/>
          <w:szCs w:val="18"/>
          <w:color w:val="auto"/>
        </w:rPr>
      </w:pPr>
    </w:p>
    <w:p>
      <w:pPr>
        <w:ind w:left="920" w:right="1240" w:firstLine="354"/>
        <w:spacing w:after="0" w:line="271" w:lineRule="auto"/>
        <w:tabs>
          <w:tab w:leader="none" w:pos="153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shortening any Purchase Period so that the Purchase Period ends on a new Purchase Date, including a Purchase Period in progress at the time of the Plan Administrator action.</w:t>
      </w:r>
    </w:p>
    <w:p>
      <w:pPr>
        <w:spacing w:after="0" w:line="15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Such modifications or amendments shall not require consent of any Participant.</w:t>
      </w:r>
    </w:p>
    <w:p>
      <w:pPr>
        <w:spacing w:after="0" w:line="185" w:lineRule="exact"/>
        <w:rPr>
          <w:sz w:val="20"/>
          <w:szCs w:val="20"/>
          <w:color w:val="auto"/>
        </w:rPr>
      </w:pPr>
    </w:p>
    <w:p>
      <w:pPr>
        <w:ind w:left="920" w:right="1340" w:firstLine="360"/>
        <w:spacing w:after="0" w:line="271" w:lineRule="auto"/>
        <w:rPr>
          <w:sz w:val="20"/>
          <w:szCs w:val="20"/>
          <w:color w:val="auto"/>
        </w:rPr>
      </w:pPr>
      <w:r>
        <w:rPr>
          <w:rFonts w:ascii="Arial" w:cs="Arial" w:eastAsia="Arial" w:hAnsi="Arial"/>
          <w:sz w:val="18"/>
          <w:szCs w:val="18"/>
          <w:color w:val="auto"/>
        </w:rPr>
        <w:t>For the avoidance of doubt, the authority to take action under this Section 16 may not be delegated by the Plan Administrator to an officer or other employee.</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17. NO RIGHTS AS AN EMPLOYEE</w:t>
      </w:r>
    </w:p>
    <w:p>
      <w:pPr>
        <w:spacing w:after="0" w:line="171" w:lineRule="exact"/>
        <w:rPr>
          <w:sz w:val="20"/>
          <w:szCs w:val="20"/>
          <w:color w:val="auto"/>
        </w:rPr>
      </w:pPr>
    </w:p>
    <w:p>
      <w:pPr>
        <w:ind w:left="920" w:right="940" w:firstLine="360"/>
        <w:spacing w:after="0" w:line="247" w:lineRule="auto"/>
        <w:rPr>
          <w:sz w:val="20"/>
          <w:szCs w:val="20"/>
          <w:color w:val="auto"/>
        </w:rPr>
      </w:pPr>
      <w:r>
        <w:rPr>
          <w:rFonts w:ascii="Arial" w:cs="Arial" w:eastAsia="Arial" w:hAnsi="Arial"/>
          <w:sz w:val="18"/>
          <w:szCs w:val="18"/>
          <w:color w:val="auto"/>
        </w:rPr>
        <w:t>Nothing in the Plan shall be construed to give any person (including any Eligible Employee or Participant) the right to remain in the employ of the Company or an Affiliate or to affect the right of the Company or an Affiliate to terminate the employment of any person (including any Eligible Employee or Participant) at any time with or without cause.</w:t>
      </w:r>
    </w:p>
    <w:p>
      <w:pPr>
        <w:spacing w:after="0" w:line="17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18. ADJUSTMENTS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18.1 Adjustment of Shares</w:t>
      </w:r>
    </w:p>
    <w:p>
      <w:pPr>
        <w:spacing w:after="0" w:line="185" w:lineRule="exact"/>
        <w:rPr>
          <w:sz w:val="20"/>
          <w:szCs w:val="20"/>
          <w:color w:val="auto"/>
        </w:rPr>
      </w:pPr>
    </w:p>
    <w:p>
      <w:pPr>
        <w:ind w:left="920" w:right="940" w:firstLine="360"/>
        <w:spacing w:after="0" w:line="239" w:lineRule="auto"/>
        <w:rPr>
          <w:sz w:val="20"/>
          <w:szCs w:val="20"/>
          <w:color w:val="auto"/>
        </w:rPr>
      </w:pPr>
      <w:r>
        <w:rPr>
          <w:rFonts w:ascii="Arial" w:cs="Arial" w:eastAsia="Arial" w:hAnsi="Arial"/>
          <w:sz w:val="18"/>
          <w:szCs w:val="18"/>
          <w:color w:val="auto"/>
        </w:rPr>
        <w:t>In the event that, at any time or from time to time, a stock dividend, stock split, spin-off, combination or exchange of shares, recapitalization, merger, consolidation, distribution to shareholders other than a normal cash dividend, or other change in the Company’s corporate or capital structure results in (a) the outstanding shares, or any securities exchanged therefor or received in their place, being exchanged for a different number or class of securities of the Company or of any other corporation or (b) new, different or additional securities of the Company or of any other corporation being received by the holders of shares of Stock, then the Plan Administrator shall make such equitable adjustments as it shall deem appropriate in the circumstances in (i) the maximum number and kind of securities subject to the Plan as set forth in Section 4, (ii) the maximum number and kind of securities that are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20" w:type="dxa"/>
            <w:vAlign w:val="bottom"/>
          </w:tcPr>
          <w:p>
            <w:pPr>
              <w:ind w:left="920"/>
              <w:spacing w:after="0"/>
              <w:rPr>
                <w:sz w:val="20"/>
                <w:szCs w:val="20"/>
                <w:color w:val="auto"/>
              </w:rPr>
            </w:pPr>
            <w:r>
              <w:rPr>
                <w:rFonts w:ascii="Arial" w:cs="Arial" w:eastAsia="Arial" w:hAnsi="Arial"/>
                <w:sz w:val="13"/>
                <w:szCs w:val="13"/>
                <w:color w:val="auto"/>
              </w:rPr>
              <w:t> </w:t>
            </w:r>
          </w:p>
        </w:tc>
        <w:tc>
          <w:tcPr>
            <w:tcW w:w="7900" w:type="dxa"/>
            <w:vAlign w:val="bottom"/>
          </w:tcPr>
          <w:p>
            <w:pPr>
              <w:ind w:left="2160"/>
              <w:spacing w:after="0"/>
              <w:rPr>
                <w:sz w:val="20"/>
                <w:szCs w:val="20"/>
                <w:color w:val="auto"/>
              </w:rPr>
            </w:pPr>
            <w:r>
              <w:rPr>
                <w:rFonts w:ascii="Arial" w:cs="Arial" w:eastAsia="Arial" w:hAnsi="Arial"/>
                <w:sz w:val="18"/>
                <w:szCs w:val="18"/>
                <w:color w:val="auto"/>
              </w:rPr>
              <w:t>-A-11-</w:t>
            </w:r>
          </w:p>
        </w:tc>
      </w:tr>
      <w:tr>
        <w:trPr>
          <w:trHeight w:val="219"/>
        </w:trPr>
        <w:tc>
          <w:tcPr>
            <w:tcW w:w="3120" w:type="dxa"/>
            <w:vAlign w:val="bottom"/>
            <w:tcBorders>
              <w:bottom w:val="single" w:sz="8" w:color="auto"/>
            </w:tcBorders>
          </w:tcPr>
          <w:p>
            <w:pPr>
              <w:spacing w:after="0"/>
              <w:rPr>
                <w:sz w:val="19"/>
                <w:szCs w:val="19"/>
                <w:color w:val="auto"/>
              </w:rPr>
            </w:pPr>
          </w:p>
        </w:tc>
        <w:tc>
          <w:tcPr>
            <w:tcW w:w="7900" w:type="dxa"/>
            <w:vAlign w:val="bottom"/>
            <w:tcBorders>
              <w:bottom w:val="single" w:sz="8" w:color="auto"/>
            </w:tcBorders>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81" w:name="page82"/>
    <w:bookmarkEnd w:id="81"/>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920" w:right="940"/>
        <w:spacing w:after="0" w:line="244" w:lineRule="auto"/>
        <w:rPr>
          <w:sz w:val="20"/>
          <w:szCs w:val="20"/>
          <w:color w:val="auto"/>
        </w:rPr>
      </w:pPr>
      <w:r>
        <w:rPr>
          <w:rFonts w:ascii="Arial" w:cs="Arial" w:eastAsia="Arial" w:hAnsi="Arial"/>
          <w:sz w:val="18"/>
          <w:szCs w:val="18"/>
          <w:color w:val="auto"/>
        </w:rPr>
        <w:t>subject to any outstanding Option and the per share price of such securities and (iii) the maximum number and kind of securities that may be purchased by a Participant in a Purchase Period. The determination by the Plan Administrator as to the terms of any of the foregoing adjustments shall be conclusive and binding. Notwithstanding the foregoing, a Change in Control Transaction shall not be governed by this Section 18.1 but shall be governed by Section 18.2.</w:t>
      </w:r>
    </w:p>
    <w:p>
      <w:pPr>
        <w:spacing w:after="0" w:line="29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18.2 Change in Control Transaction</w:t>
      </w:r>
    </w:p>
    <w:p>
      <w:pPr>
        <w:spacing w:after="0" w:line="171" w:lineRule="exact"/>
        <w:rPr>
          <w:sz w:val="20"/>
          <w:szCs w:val="20"/>
          <w:color w:val="auto"/>
        </w:rPr>
      </w:pPr>
    </w:p>
    <w:p>
      <w:pPr>
        <w:ind w:left="920" w:right="960" w:firstLine="360"/>
        <w:spacing w:after="0" w:line="239" w:lineRule="auto"/>
        <w:rPr>
          <w:sz w:val="20"/>
          <w:szCs w:val="20"/>
          <w:color w:val="auto"/>
        </w:rPr>
      </w:pPr>
      <w:r>
        <w:rPr>
          <w:rFonts w:ascii="Arial" w:cs="Arial" w:eastAsia="Arial" w:hAnsi="Arial"/>
          <w:sz w:val="18"/>
          <w:szCs w:val="18"/>
          <w:color w:val="auto"/>
        </w:rPr>
        <w:t>In the event of a proposed Change in Control Transaction, each outstanding Option shall be assumed or an equivalent option substituted by the successor company or parent thereof (the “Successor Corporation”). In the event that the Successor Corporation refuses to assume or substitute for the Option, the Plan Administrator may, in its sole discretion, elect to shorten any Offering then in progress by setting a new Purchase Date, in which case, the new Purchase Date shall be a specified date before the date of the Change in Control Transaction and the Board shall notify each Participant, prior to the new Purchase Date, that the Purchase Date for the Participant’s Option has been changed to the new Purchase Date and that the Participant’s Option shall be exercised automatically on the new Purchase Date, unless prior to such date the Participant has withdrawn from an Offering then in progress or the Plan as provided in Section 11.</w:t>
      </w:r>
    </w:p>
    <w:p>
      <w:pPr>
        <w:spacing w:after="0" w:line="19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18.3 Limitations</w:t>
      </w:r>
    </w:p>
    <w:p>
      <w:pPr>
        <w:spacing w:after="0" w:line="171" w:lineRule="exact"/>
        <w:rPr>
          <w:sz w:val="20"/>
          <w:szCs w:val="20"/>
          <w:color w:val="auto"/>
        </w:rPr>
      </w:pPr>
    </w:p>
    <w:p>
      <w:pPr>
        <w:ind w:left="920" w:right="960" w:firstLine="360"/>
        <w:spacing w:after="0" w:line="253" w:lineRule="auto"/>
        <w:rPr>
          <w:sz w:val="20"/>
          <w:szCs w:val="20"/>
          <w:color w:val="auto"/>
        </w:rPr>
      </w:pPr>
      <w:r>
        <w:rPr>
          <w:rFonts w:ascii="Arial" w:cs="Arial" w:eastAsia="Arial" w:hAnsi="Arial"/>
          <w:sz w:val="18"/>
          <w:szCs w:val="18"/>
          <w:color w:val="auto"/>
        </w:rPr>
        <w:t>The grant of Options shall in no way affect the Company’s right to adjust, reclassify, reorganize or otherwise change its capital or business structure or to merge, consolidate, dissolve, liquidate or sell or transfer all or any part of its business or assets.</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19. CONDITIONS UPON ISSUANCE OF SHARES</w:t>
      </w:r>
    </w:p>
    <w:p>
      <w:pPr>
        <w:spacing w:after="0" w:line="171" w:lineRule="exact"/>
        <w:rPr>
          <w:sz w:val="20"/>
          <w:szCs w:val="20"/>
          <w:color w:val="auto"/>
        </w:rPr>
      </w:pPr>
    </w:p>
    <w:p>
      <w:pPr>
        <w:ind w:left="920" w:right="980" w:firstLine="360"/>
        <w:spacing w:after="0" w:line="237" w:lineRule="auto"/>
        <w:rPr>
          <w:sz w:val="20"/>
          <w:szCs w:val="20"/>
          <w:color w:val="auto"/>
        </w:rPr>
      </w:pPr>
      <w:r>
        <w:rPr>
          <w:rFonts w:ascii="Arial" w:cs="Arial" w:eastAsia="Arial" w:hAnsi="Arial"/>
          <w:sz w:val="18"/>
          <w:szCs w:val="18"/>
          <w:color w:val="auto"/>
        </w:rPr>
        <w:t>Stock shall not be issued with respect to an Option unless the exercise of such Option and the issuance and delivery of shares of Stock pursuant thereto shall comply with all applicable provisions of law, domestic or foreign, including, without limitation, the U.S. Securities Act of 1933, as amended, the Exchange Act, the rules and regulations promulgated thereunder, and the requirements of any stock exchange upon which the shares may then be listed, and shall be further subject to the approval of counsel for the Company with respect to such compliance. The inability or impracticability of the Company to obtain from any regulatory body having jurisdiction the authority, if any, deemed by the Company’s legal counsel to be necessary or advisable to the lawful issuance and sale of any shares of Stock under the Plan, or the approval of any securities exchange or market system upon which the Stock may then be listed, if any, deemed by the Company’s legal counsel to be necessary or advisable to the issuance and sale of any shares of Stock under the Plan in compliance with the requirements of such securities exchange or market system, shall relieve the Company of any liability in respect of the failure to issue or sell such shares of Stock as to which such requisite authority or approval shall not have been obtained. As a condition to the exercise of an Option,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20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20. SECTION 409A</w:t>
      </w:r>
    </w:p>
    <w:p>
      <w:pPr>
        <w:spacing w:after="0" w:line="171" w:lineRule="exact"/>
        <w:rPr>
          <w:sz w:val="20"/>
          <w:szCs w:val="20"/>
          <w:color w:val="auto"/>
        </w:rPr>
      </w:pPr>
    </w:p>
    <w:p>
      <w:pPr>
        <w:ind w:left="920" w:right="1000" w:firstLine="360"/>
        <w:spacing w:after="0" w:line="238" w:lineRule="auto"/>
        <w:rPr>
          <w:sz w:val="20"/>
          <w:szCs w:val="20"/>
          <w:color w:val="auto"/>
        </w:rPr>
      </w:pPr>
      <w:r>
        <w:rPr>
          <w:rFonts w:ascii="Arial" w:cs="Arial" w:eastAsia="Arial" w:hAnsi="Arial"/>
          <w:sz w:val="18"/>
          <w:szCs w:val="18"/>
          <w:color w:val="auto"/>
        </w:rPr>
        <w:t>The Section 423 Plan is exempt from the application of Section 409A of the Code (“Section 409A”) and any ambiguities herein shall be interpreted to so be exempt from Section 409A. The Non-423 Plan is intended to be exempt from the application of Section 409A under the short-term deferral exception and any ambiguities shall be construed and interpreted in accordance with such intent. In furtherance of the foregoing and notwithstanding any provision in the Plan to the contrary, if the Plan Administrator determines that an Option granted under the Plan may be subject to Section 409A or that any provision in the Plan would cause an Option under the Plan to be subject to Section 409A, the Plan Administrator may, but shall not be required to, amend the terms of the Plan and/or of an outstanding Option granted under the Plan, or take such other action the Plan Administrator determines is necessary or appropriate, in each case, without the Participant’s consent, to exempt any outstanding Option or future Option that may be granted under the Plan from or to allow any such options to comply with Section 409A, but only to the extent any such amendments or action by the Plan Administrator would not violate Section 409A.</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00" w:type="dxa"/>
            <w:vAlign w:val="bottom"/>
          </w:tcPr>
          <w:p>
            <w:pPr>
              <w:ind w:left="920"/>
              <w:spacing w:after="0"/>
              <w:rPr>
                <w:sz w:val="20"/>
                <w:szCs w:val="20"/>
                <w:color w:val="auto"/>
              </w:rPr>
            </w:pPr>
            <w:r>
              <w:rPr>
                <w:rFonts w:ascii="Arial" w:cs="Arial" w:eastAsia="Arial" w:hAnsi="Arial"/>
                <w:sz w:val="13"/>
                <w:szCs w:val="13"/>
                <w:color w:val="auto"/>
              </w:rPr>
              <w:t> </w:t>
            </w:r>
          </w:p>
        </w:tc>
        <w:tc>
          <w:tcPr>
            <w:tcW w:w="7920" w:type="dxa"/>
            <w:vAlign w:val="bottom"/>
          </w:tcPr>
          <w:p>
            <w:pPr>
              <w:ind w:left="2160"/>
              <w:spacing w:after="0"/>
              <w:rPr>
                <w:sz w:val="20"/>
                <w:szCs w:val="20"/>
                <w:color w:val="auto"/>
              </w:rPr>
            </w:pPr>
            <w:r>
              <w:rPr>
                <w:rFonts w:ascii="Arial" w:cs="Arial" w:eastAsia="Arial" w:hAnsi="Arial"/>
                <w:sz w:val="18"/>
                <w:szCs w:val="18"/>
                <w:color w:val="auto"/>
              </w:rPr>
              <w:t>-A-12-</w:t>
            </w:r>
          </w:p>
        </w:tc>
      </w:tr>
      <w:tr>
        <w:trPr>
          <w:trHeight w:val="233"/>
        </w:trPr>
        <w:tc>
          <w:tcPr>
            <w:tcW w:w="3100" w:type="dxa"/>
            <w:vAlign w:val="bottom"/>
            <w:tcBorders>
              <w:bottom w:val="single" w:sz="8" w:color="auto"/>
            </w:tcBorders>
          </w:tcPr>
          <w:p>
            <w:pPr>
              <w:spacing w:after="0"/>
              <w:rPr>
                <w:sz w:val="20"/>
                <w:szCs w:val="20"/>
                <w:color w:val="auto"/>
              </w:rPr>
            </w:pPr>
          </w:p>
        </w:tc>
        <w:tc>
          <w:tcPr>
            <w:tcW w:w="792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263" w:right="439" w:bottom="1440" w:gutter="0" w:footer="0" w:header="0"/>
        </w:sectPr>
      </w:pPr>
    </w:p>
    <w:bookmarkStart w:id="82" w:name="page83"/>
    <w:bookmarkEnd w:id="82"/>
    <w:p>
      <w:pPr>
        <w:ind w:left="92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jc w:val="both"/>
        <w:ind w:left="920" w:right="1040"/>
        <w:spacing w:after="0" w:line="253" w:lineRule="auto"/>
        <w:rPr>
          <w:sz w:val="20"/>
          <w:szCs w:val="20"/>
          <w:color w:val="auto"/>
        </w:rPr>
      </w:pPr>
      <w:r>
        <w:rPr>
          <w:rFonts w:ascii="Arial" w:cs="Arial" w:eastAsia="Arial" w:hAnsi="Arial"/>
          <w:sz w:val="18"/>
          <w:szCs w:val="18"/>
          <w:color w:val="auto"/>
        </w:rPr>
        <w:t>Notwithstanding the foregoing, the Company shall have no liability to a Participant or any other party if the Option under the Plan that is intended to be exempt from or compliant with Section 409A is not so exempt or compliant or for any action taken by the Plan Administrator with respect thereto.</w:t>
      </w:r>
    </w:p>
    <w:p>
      <w:pPr>
        <w:spacing w:after="0" w:line="27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21. TAX QUALIFICATION</w:t>
      </w:r>
    </w:p>
    <w:p>
      <w:pPr>
        <w:spacing w:after="0" w:line="185" w:lineRule="exact"/>
        <w:rPr>
          <w:sz w:val="20"/>
          <w:szCs w:val="20"/>
          <w:color w:val="auto"/>
        </w:rPr>
      </w:pPr>
    </w:p>
    <w:p>
      <w:pPr>
        <w:ind w:left="920" w:right="1040" w:firstLine="360"/>
        <w:spacing w:after="0" w:line="242" w:lineRule="auto"/>
        <w:rPr>
          <w:sz w:val="20"/>
          <w:szCs w:val="20"/>
          <w:color w:val="auto"/>
        </w:rPr>
      </w:pPr>
      <w:r>
        <w:rPr>
          <w:rFonts w:ascii="Arial" w:cs="Arial" w:eastAsia="Arial" w:hAnsi="Arial"/>
          <w:sz w:val="18"/>
          <w:szCs w:val="18"/>
          <w:color w:val="auto"/>
        </w:rPr>
        <w:t>Although the Company may endeavor to (i) qualify an Option for favorable tax treatment under the laws of the United States or jurisdictions outside of the United States or (ii) avoid adverse tax treatment (</w:t>
      </w:r>
      <w:r>
        <w:rPr>
          <w:rFonts w:ascii="Arial" w:cs="Arial" w:eastAsia="Arial" w:hAnsi="Arial"/>
          <w:sz w:val="18"/>
          <w:szCs w:val="18"/>
          <w:i w:val="1"/>
          <w:iCs w:val="1"/>
          <w:color w:val="auto"/>
        </w:rPr>
        <w:t>e.g</w:t>
      </w:r>
      <w:r>
        <w:rPr>
          <w:rFonts w:ascii="Arial" w:cs="Arial" w:eastAsia="Arial" w:hAnsi="Arial"/>
          <w:sz w:val="18"/>
          <w:szCs w:val="18"/>
          <w:color w:val="auto"/>
        </w:rPr>
        <w:t>., under Section 409A), the Company makes no representation to that effect and expressly disavows any covenant to maintain favorable or avoid unfavorable tax treatment, notwithstanding anything to the contrary in this Plan, including Section 20. The Company shall be unconstrained in its corporate activities without regard to the potential negative tax impact on Participants under the Plan.</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22. TERM OF PLAN</w:t>
      </w:r>
    </w:p>
    <w:p>
      <w:pPr>
        <w:spacing w:after="0" w:line="171" w:lineRule="exact"/>
        <w:rPr>
          <w:sz w:val="20"/>
          <w:szCs w:val="20"/>
          <w:color w:val="auto"/>
        </w:rPr>
      </w:pPr>
    </w:p>
    <w:p>
      <w:pPr>
        <w:ind w:left="920" w:right="1040" w:firstLine="360"/>
        <w:spacing w:after="0" w:line="253" w:lineRule="auto"/>
        <w:rPr>
          <w:sz w:val="20"/>
          <w:szCs w:val="20"/>
          <w:color w:val="auto"/>
        </w:rPr>
      </w:pPr>
      <w:r>
        <w:rPr>
          <w:rFonts w:ascii="Arial" w:cs="Arial" w:eastAsia="Arial" w:hAnsi="Arial"/>
          <w:sz w:val="18"/>
          <w:szCs w:val="18"/>
          <w:color w:val="auto"/>
        </w:rPr>
        <w:t>Subject to Section 23 of the Plan, the Plan shall become effective upon its adoption by the Board. The Plan shall continue until the earlier to occur of (a) termination of the Plan by the Plan Administrator (pursuant to Section 16 above), and (b) issuance of all of the shares of Stock reserved for issuance under the Plan.</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23. SHAREHOLDER APPROVAL</w:t>
      </w:r>
    </w:p>
    <w:p>
      <w:pPr>
        <w:spacing w:after="0" w:line="171" w:lineRule="exact"/>
        <w:rPr>
          <w:sz w:val="20"/>
          <w:szCs w:val="20"/>
          <w:color w:val="auto"/>
        </w:rPr>
      </w:pPr>
    </w:p>
    <w:p>
      <w:pPr>
        <w:ind w:left="920" w:right="1060" w:firstLine="360"/>
        <w:spacing w:after="0" w:line="244" w:lineRule="auto"/>
        <w:rPr>
          <w:sz w:val="20"/>
          <w:szCs w:val="20"/>
          <w:color w:val="auto"/>
        </w:rPr>
      </w:pPr>
      <w:r>
        <w:rPr>
          <w:rFonts w:ascii="Arial" w:cs="Arial" w:eastAsia="Arial" w:hAnsi="Arial"/>
          <w:sz w:val="18"/>
          <w:szCs w:val="18"/>
          <w:color w:val="auto"/>
        </w:rPr>
        <w:t>The Plan shall be subject to approval by the shareholders of the Company within twelve (12) months after the date the Plan (or an amendment giving rise to shareholder approval) is adopted by the Board. Such shareholder approval shall be obtained in the manner and to the degree required under U.S. state corporate laws, U.S. federal and state securities laws, the Code and/or any stock exchange or quotation system on which the Stock is listed or quoted.</w:t>
      </w:r>
    </w:p>
    <w:p>
      <w:pPr>
        <w:spacing w:after="0" w:line="17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24. SEVERABILITY</w:t>
      </w:r>
    </w:p>
    <w:p>
      <w:pPr>
        <w:spacing w:after="0" w:line="185" w:lineRule="exact"/>
        <w:rPr>
          <w:sz w:val="20"/>
          <w:szCs w:val="20"/>
          <w:color w:val="auto"/>
        </w:rPr>
      </w:pPr>
    </w:p>
    <w:p>
      <w:pPr>
        <w:ind w:left="920" w:right="960" w:firstLine="360"/>
        <w:spacing w:after="0" w:line="247" w:lineRule="auto"/>
        <w:rPr>
          <w:sz w:val="20"/>
          <w:szCs w:val="20"/>
          <w:color w:val="auto"/>
        </w:rPr>
      </w:pPr>
      <w:r>
        <w:rPr>
          <w:rFonts w:ascii="Arial" w:cs="Arial" w:eastAsia="Arial" w:hAnsi="Arial"/>
          <w:sz w:val="18"/>
          <w:szCs w:val="18"/>
          <w:color w:val="auto"/>
        </w:rPr>
        <w:t>If any provision of the Plan is or becomes or is deemed to be invalid, illegal, or unenforceable for any reason in any jurisdiction or as to any Participant, such invalidity, illegality or unenforceability shall not affect the remaining parts of the Plan, and the Plan shall be construed and enforced as to such jurisdiction or Participant as if the invalid, illegal or unenforceable provision had not been included.</w:t>
      </w:r>
    </w:p>
    <w:p>
      <w:pPr>
        <w:spacing w:after="0" w:line="17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25. HEADINGS</w:t>
      </w:r>
    </w:p>
    <w:p>
      <w:pPr>
        <w:spacing w:after="0" w:line="17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Headings are given to the sections and subsections of the Plan solely as a convenience to facilitate reference.</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Such headings shall not be deemed in any way material or relevant to the construction or interpretation of the Plan.</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SECTION 26. GOVERNING LAW</w:t>
      </w:r>
    </w:p>
    <w:p>
      <w:pPr>
        <w:spacing w:after="0" w:line="171" w:lineRule="exact"/>
        <w:rPr>
          <w:sz w:val="20"/>
          <w:szCs w:val="20"/>
          <w:color w:val="auto"/>
        </w:rPr>
      </w:pPr>
    </w:p>
    <w:p>
      <w:pPr>
        <w:jc w:val="both"/>
        <w:ind w:left="920" w:right="1140" w:firstLine="360"/>
        <w:spacing w:after="0" w:line="253" w:lineRule="auto"/>
        <w:rPr>
          <w:sz w:val="20"/>
          <w:szCs w:val="20"/>
          <w:color w:val="auto"/>
        </w:rPr>
      </w:pPr>
      <w:r>
        <w:rPr>
          <w:rFonts w:ascii="Arial" w:cs="Arial" w:eastAsia="Arial" w:hAnsi="Arial"/>
          <w:sz w:val="18"/>
          <w:szCs w:val="18"/>
          <w:color w:val="auto"/>
        </w:rPr>
        <w:t>The Plan and all determinations made and actions taken hereto, to the extent not otherwise governed by the laws of the United States, shall be governed by the laws of the State of Washington, without giving effect to such state’s conflict of laws principles.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00" w:type="dxa"/>
            <w:vAlign w:val="bottom"/>
          </w:tcPr>
          <w:p>
            <w:pPr>
              <w:ind w:left="920"/>
              <w:spacing w:after="0"/>
              <w:rPr>
                <w:sz w:val="20"/>
                <w:szCs w:val="20"/>
                <w:color w:val="auto"/>
              </w:rPr>
            </w:pPr>
            <w:r>
              <w:rPr>
                <w:rFonts w:ascii="Arial" w:cs="Arial" w:eastAsia="Arial" w:hAnsi="Arial"/>
                <w:sz w:val="13"/>
                <w:szCs w:val="13"/>
                <w:color w:val="auto"/>
              </w:rPr>
              <w:t> </w:t>
            </w:r>
          </w:p>
        </w:tc>
        <w:tc>
          <w:tcPr>
            <w:tcW w:w="7920" w:type="dxa"/>
            <w:vAlign w:val="bottom"/>
          </w:tcPr>
          <w:p>
            <w:pPr>
              <w:ind w:left="2160"/>
              <w:spacing w:after="0"/>
              <w:rPr>
                <w:sz w:val="20"/>
                <w:szCs w:val="20"/>
                <w:color w:val="auto"/>
              </w:rPr>
            </w:pPr>
            <w:r>
              <w:rPr>
                <w:rFonts w:ascii="Arial" w:cs="Arial" w:eastAsia="Arial" w:hAnsi="Arial"/>
                <w:sz w:val="18"/>
                <w:szCs w:val="18"/>
                <w:color w:val="auto"/>
              </w:rPr>
              <w:t>-A-13-</w:t>
            </w:r>
          </w:p>
        </w:tc>
      </w:tr>
      <w:tr>
        <w:trPr>
          <w:trHeight w:val="233"/>
        </w:trPr>
        <w:tc>
          <w:tcPr>
            <w:tcW w:w="3100" w:type="dxa"/>
            <w:vAlign w:val="bottom"/>
            <w:tcBorders>
              <w:bottom w:val="single" w:sz="8" w:color="auto"/>
            </w:tcBorders>
          </w:tcPr>
          <w:p>
            <w:pPr>
              <w:spacing w:after="0"/>
              <w:rPr>
                <w:sz w:val="20"/>
                <w:szCs w:val="20"/>
                <w:color w:val="auto"/>
              </w:rPr>
            </w:pPr>
          </w:p>
        </w:tc>
        <w:tc>
          <w:tcPr>
            <w:tcW w:w="792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263"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lvl w:ilvl="1">
      <w:lvlJc w:val="left"/>
      <w:lvlText w:val="☐"/>
      <w:numFmt w:val="bullet"/>
      <w:start w:val="1"/>
    </w:lvl>
  </w:abstractNum>
  <w:abstractNum w:abstractNumId="1">
    <w:nsid w:val="77465F01"/>
    <w:multiLevelType w:val="hybridMultilevel"/>
    <w:lvl w:ilvl="0">
      <w:lvlJc w:val="left"/>
      <w:lvlText w:val="☒"/>
      <w:numFmt w:val="bullet"/>
      <w:start w:val="1"/>
    </w:lvl>
    <w:lvl w:ilvl="1">
      <w:lvlJc w:val="left"/>
      <w:lvlText w:val="☐"/>
      <w:numFmt w:val="bullet"/>
      <w:start w:val="1"/>
    </w:lvl>
  </w:abstractNum>
  <w:abstractNum w:abstractNumId="2">
    <w:nsid w:val="7724C67E"/>
    <w:multiLevelType w:val="hybridMultilevel"/>
    <w:lvl w:ilvl="0">
      <w:lvlJc w:val="left"/>
      <w:lvlText w:val="%1."/>
      <w:numFmt w:val="decimal"/>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1)"/>
      <w:numFmt w:val="decimal"/>
      <w:start w:val="1"/>
    </w:lvl>
  </w:abstractNum>
  <w:abstractNum w:abstractNumId="5">
    <w:nsid w:val="5E884ADC"/>
    <w:multiLevelType w:val="hybridMultilevel"/>
    <w:lvl w:ilvl="0">
      <w:lvlJc w:val="left"/>
      <w:lvlText w:val="(%1)"/>
      <w:numFmt w:val="decimal"/>
      <w:start w:val="5"/>
    </w:lvl>
  </w:abstractNum>
  <w:abstractNum w:abstractNumId="6">
    <w:nsid w:val="51EAD36B"/>
    <w:multiLevelType w:val="hybridMultilevel"/>
    <w:lvl w:ilvl="0">
      <w:lvlJc w:val="left"/>
      <w:lvlText w:val="(%1)"/>
      <w:numFmt w:val="lowerRoman"/>
      <w:start w:val="2"/>
    </w:lvl>
  </w:abstractNum>
  <w:abstractNum w:abstractNumId="7">
    <w:nsid w:val="2D517796"/>
    <w:multiLevelType w:val="hybridMultilevel"/>
    <w:lvl w:ilvl="0">
      <w:lvlJc w:val="left"/>
      <w:lvlText w:val="(%1)"/>
      <w:numFmt w:val="decimal"/>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1)"/>
      <w:numFmt w:val="decimal"/>
      <w:start w:val="1"/>
    </w:lvl>
  </w:abstractNum>
  <w:abstractNum w:abstractNumId="12">
    <w:nsid w:val="6A2342EC"/>
    <w:multiLevelType w:val="hybridMultilevel"/>
    <w:lvl w:ilvl="0">
      <w:lvlJc w:val="left"/>
      <w:lvlText w:val="(%1)"/>
      <w:numFmt w:val="decimal"/>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1)"/>
      <w:numFmt w:val="decimal"/>
    </w:lvl>
    <w:lvl w:ilvl="1">
      <w:lvlJc w:val="left"/>
      <w:lvlText w:val="•"/>
      <w:numFmt w:val="bullet"/>
      <w:start w:val="1"/>
    </w:lvl>
  </w:abstractNum>
  <w:abstractNum w:abstractNumId="25">
    <w:nsid w:val="684A481A"/>
    <w:multiLevelType w:val="hybridMultilevel"/>
    <w:lvl w:ilvl="0">
      <w:lvlJc w:val="left"/>
      <w:lvlText w:val="•"/>
      <w:numFmt w:val="bullet"/>
      <w:start w:val="1"/>
    </w:lvl>
    <w:lvl w:ilvl="1">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1)"/>
      <w:numFmt w:val="lowerRoman"/>
      <w:start w:val="2"/>
    </w:lvl>
  </w:abstractNum>
  <w:abstractNum w:abstractNumId="39">
    <w:nsid w:val="275AC794"/>
    <w:multiLevelType w:val="hybridMultilevel"/>
    <w:lvl w:ilvl="0">
      <w:lvlJc w:val="left"/>
      <w:lvlText w:val="(%1)"/>
      <w:numFmt w:val="decimal"/>
      <w:start w:val="1"/>
    </w:lvl>
  </w:abstractNum>
  <w:abstractNum w:abstractNumId="40">
    <w:nsid w:val="39386575"/>
    <w:multiLevelType w:val="hybridMultilevel"/>
    <w:lvl w:ilvl="0">
      <w:lvlJc w:val="left"/>
      <w:lvlText w:val="(%1)"/>
      <w:numFmt w:val="decimal"/>
      <w:start w:val="1"/>
    </w:lvl>
  </w:abstractNum>
  <w:abstractNum w:abstractNumId="41">
    <w:nsid w:val="1CF10FD8"/>
    <w:multiLevelType w:val="hybridMultilevel"/>
    <w:lvl w:ilvl="0">
      <w:lvlJc w:val="left"/>
      <w:lvlText w:val="(%1)"/>
      <w:numFmt w:val="decimal"/>
      <w:start w:val="1"/>
    </w:lvl>
  </w:abstractNum>
  <w:abstractNum w:abstractNumId="42">
    <w:nsid w:val="180115BE"/>
    <w:multiLevelType w:val="hybridMultilevel"/>
    <w:lvl w:ilvl="0">
      <w:lvlJc w:val="left"/>
      <w:lvlText w:val="(%1)"/>
      <w:numFmt w:val="decimal"/>
      <w:start w:val="2"/>
    </w:lvl>
  </w:abstractNum>
  <w:abstractNum w:abstractNumId="43">
    <w:nsid w:val="235BA861"/>
    <w:multiLevelType w:val="hybridMultilevel"/>
    <w:lvl w:ilvl="0">
      <w:lvlJc w:val="left"/>
      <w:lvlText w:val="(%1)"/>
      <w:numFmt w:val="decimal"/>
      <w:start w:val="3"/>
    </w:lvl>
  </w:abstractNum>
  <w:abstractNum w:abstractNumId="44">
    <w:nsid w:val="47398C89"/>
    <w:multiLevelType w:val="hybridMultilevel"/>
    <w:lvl w:ilvl="0">
      <w:lvlJc w:val="left"/>
      <w:lvlText w:val="(%1)"/>
      <w:numFmt w:val="decimal"/>
      <w:start w:val="1"/>
    </w:lvl>
  </w:abstractNum>
  <w:abstractNum w:abstractNumId="45">
    <w:nsid w:val="354FE9F9"/>
    <w:multiLevelType w:val="hybridMultilevel"/>
    <w:lvl w:ilvl="0">
      <w:lvlJc w:val="left"/>
      <w:lvlText w:val="(%1)"/>
      <w:numFmt w:val="decimal"/>
      <w:start w:val="1"/>
    </w:lvl>
  </w:abstractNum>
  <w:abstractNum w:abstractNumId="46">
    <w:nsid w:val="15B5AF5C"/>
    <w:multiLevelType w:val="hybridMultilevel"/>
    <w:lvl w:ilvl="0">
      <w:lvlJc w:val="left"/>
      <w:lvlText w:val="(%1)"/>
      <w:numFmt w:val="decimal"/>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
      <w:numFmt w:val="bullet"/>
      <w:start w:val="1"/>
    </w:lvl>
    <w:lvl w:ilvl="1">
      <w:lvlJc w:val="left"/>
      <w:lvlText w:val="•"/>
      <w:numFmt w:val="bullet"/>
      <w:start w:val="1"/>
    </w:lvl>
  </w:abstractNum>
  <w:abstractNum w:abstractNumId="49">
    <w:nsid w:val="10233C99"/>
    <w:multiLevelType w:val="hybridMultilevel"/>
    <w:lvl w:ilvl="0">
      <w:lvlJc w:val="left"/>
      <w:lvlText w:val="•"/>
      <w:numFmt w:val="bullet"/>
      <w:start w:val="1"/>
    </w:lvl>
    <w:lvl w:ilvl="1">
      <w:lvlJc w:val="left"/>
      <w:lvlText w:val="•"/>
      <w:numFmt w:val="bullet"/>
      <w:start w:val="1"/>
    </w:lvl>
  </w:abstractNum>
  <w:abstractNum w:abstractNumId="50">
    <w:nsid w:val="3F6AB60F"/>
    <w:multiLevelType w:val="hybridMultilevel"/>
    <w:lvl w:ilvl="0">
      <w:lvlJc w:val="left"/>
      <w:lvlText w:val="(%1)"/>
      <w:numFmt w:val="decimal"/>
      <w:start w:val="1"/>
    </w:lvl>
  </w:abstractNum>
  <w:abstractNum w:abstractNumId="51">
    <w:nsid w:val="61574095"/>
    <w:multiLevelType w:val="hybridMultilevel"/>
    <w:lvl w:ilvl="0">
      <w:lvlJc w:val="left"/>
      <w:lvlText w:val="(%1)"/>
      <w:numFmt w:val="decimal"/>
      <w:start w:val="1"/>
    </w:lvl>
  </w:abstractNum>
  <w:abstractNum w:abstractNumId="52">
    <w:nsid w:val="7E0C57B1"/>
    <w:multiLevelType w:val="hybridMultilevel"/>
    <w:lvl w:ilvl="0">
      <w:lvlJc w:val="left"/>
      <w:lvlText w:val="(%1)"/>
      <w:numFmt w:val="decimal"/>
      <w:start w:val="1"/>
    </w:lvl>
  </w:abstractNum>
  <w:abstractNum w:abstractNumId="53">
    <w:nsid w:val="77AE35EB"/>
    <w:multiLevelType w:val="hybridMultilevel"/>
    <w:lvl w:ilvl="0">
      <w:lvlJc w:val="left"/>
      <w:lvlText w:val="(%1)"/>
      <w:numFmt w:val="decimal"/>
      <w:start w:val="1"/>
    </w:lvl>
  </w:abstractNum>
  <w:abstractNum w:abstractNumId="54">
    <w:nsid w:val="579BE4F1"/>
    <w:multiLevelType w:val="hybridMultilevel"/>
    <w:lvl w:ilvl="0">
      <w:lvlJc w:val="left"/>
      <w:lvlText w:val="(%1)"/>
      <w:numFmt w:val="decimal"/>
      <w:start w:val="1"/>
    </w:lvl>
  </w:abstractNum>
  <w:abstractNum w:abstractNumId="55">
    <w:nsid w:val="310C50B3"/>
    <w:multiLevelType w:val="hybridMultilevel"/>
    <w:lvl w:ilvl="0">
      <w:lvlJc w:val="left"/>
      <w:lvlText w:val="(%1)"/>
      <w:numFmt w:val="lowerRoman"/>
      <w:start w:val="2"/>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1)"/>
      <w:numFmt w:val="decimal"/>
      <w:start w:val="1"/>
    </w:lvl>
  </w:abstractNum>
  <w:abstractNum w:abstractNumId="58">
    <w:nsid w:val="25A70BF7"/>
    <w:multiLevelType w:val="hybridMultilevel"/>
    <w:lvl w:ilvl="0">
      <w:lvlJc w:val="left"/>
      <w:lvlText w:val="(%1)"/>
      <w:numFmt w:val="decimal"/>
      <w:start w:val="2"/>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1)"/>
      <w:numFmt w:val="decimal"/>
      <w:start w:val="1"/>
    </w:lvl>
  </w:abstractNum>
  <w:abstractNum w:abstractNumId="63">
    <w:nsid w:val="5DB70AE5"/>
    <w:multiLevelType w:val="hybridMultilevel"/>
    <w:lvl w:ilvl="0">
      <w:lvlJc w:val="left"/>
      <w:lvlText w:val="(%1)"/>
      <w:numFmt w:val="decimal"/>
      <w:start w:val="1"/>
    </w:lvl>
  </w:abstractNum>
  <w:abstractNum w:abstractNumId="64">
    <w:nsid w:val="100F8FCA"/>
    <w:multiLevelType w:val="hybridMultilevel"/>
    <w:lvl w:ilvl="0">
      <w:lvlJc w:val="left"/>
      <w:lvlText w:val="(%1)"/>
      <w:numFmt w:val="decimal"/>
      <w:start w:val="1"/>
    </w:lvl>
  </w:abstractNum>
  <w:abstractNum w:abstractNumId="65">
    <w:nsid w:val="6590700B"/>
    <w:multiLevelType w:val="hybridMultilevel"/>
    <w:lvl w:ilvl="0">
      <w:lvlJc w:val="left"/>
      <w:lvlText w:val="*"/>
      <w:numFmt w:val="bullet"/>
      <w:start w:val="1"/>
    </w:lvl>
  </w:abstractNum>
  <w:abstractNum w:abstractNumId="66">
    <w:nsid w:val="15014ACB"/>
    <w:multiLevelType w:val="hybridMultilevel"/>
    <w:lvl w:ilvl="0">
      <w:lvlJc w:val="left"/>
      <w:lvlText w:val="(%1)"/>
      <w:numFmt w:val="decimal"/>
      <w:start w:val="1"/>
    </w:lvl>
  </w:abstractNum>
  <w:abstractNum w:abstractNumId="67">
    <w:nsid w:val="5F5E7FD0"/>
    <w:multiLevelType w:val="hybridMultilevel"/>
    <w:lvl w:ilvl="0">
      <w:lvlJc w:val="left"/>
      <w:lvlText w:val="(%1)"/>
      <w:numFmt w:val="decimal"/>
      <w:start w:val="1"/>
    </w:lvl>
  </w:abstractNum>
  <w:abstractNum w:abstractNumId="68">
    <w:nsid w:val="98A3148"/>
    <w:multiLevelType w:val="hybridMultilevel"/>
    <w:lvl w:ilvl="0">
      <w:lvlJc w:val="left"/>
      <w:lvlText w:val="(%1)"/>
      <w:numFmt w:val="lowerLetter"/>
      <w:start w:val="1"/>
    </w:lvl>
  </w:abstractNum>
  <w:abstractNum w:abstractNumId="69">
    <w:nsid w:val="799D0247"/>
    <w:multiLevelType w:val="hybridMultilevel"/>
    <w:lvl w:ilvl="0">
      <w:lvlJc w:val="left"/>
      <w:lvlText w:val="(%1)"/>
      <w:numFmt w:val="lowerLetter"/>
      <w:start w:val="1"/>
    </w:lvl>
  </w:abstractNum>
  <w:abstractNum w:abstractNumId="70">
    <w:nsid w:val="6B94764"/>
    <w:multiLevelType w:val="hybridMultilevel"/>
    <w:lvl w:ilvl="0">
      <w:lvlJc w:val="left"/>
      <w:lvlText w:val="(%1)"/>
      <w:numFmt w:val="lowerLetter"/>
      <w:start w:val="1"/>
    </w:lvl>
  </w:abstractNum>
  <w:abstractNum w:abstractNumId="71">
    <w:nsid w:val="42C296B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2023-03-21T12:12:25Z</dcterms:created>
  <dcterms:modified xsi:type="dcterms:W3CDTF">2023-03-21T12:12:25Z</dcterms:modified>
</cp:coreProperties>
</file>