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26670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3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000-22418</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File Number)</w:t>
            </w:r>
          </w:p>
        </w:tc>
        <w:tc>
          <w:tcPr>
            <w:tcW w:w="28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2860" w:type="dxa"/>
            <w:vAlign w:val="bottom"/>
          </w:tcPr>
          <w:p>
            <w:pPr>
              <w:spacing w:after="0"/>
              <w:rPr>
                <w:sz w:val="20"/>
                <w:szCs w:val="20"/>
                <w:color w:val="auto"/>
              </w:rPr>
            </w:pPr>
          </w:p>
        </w:tc>
      </w:tr>
      <w:tr>
        <w:trPr>
          <w:trHeight w:val="448"/>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r>
      <w:tr>
        <w:trPr>
          <w:trHeight w:val="448"/>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4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On May 2, 2022, Itron, Inc. issued a press release announcing its financial results for the three months ended March 31, 2022. A copy of this press release and accompanying financial statements are attached as Exhibit 99.1.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400" w:hanging="74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 2022.*</w:t>
      </w:r>
    </w:p>
    <w:p>
      <w:pPr>
        <w:spacing w:after="0" w:line="27"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Securities and Exchange Commission.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ITRON, INC.</w:t>
            </w:r>
          </w:p>
        </w:tc>
        <w:tc>
          <w:tcPr>
            <w:tcW w:w="5120" w:type="dxa"/>
            <w:vAlign w:val="bottom"/>
          </w:tcPr>
          <w:p>
            <w:pPr>
              <w:spacing w:after="0"/>
              <w:rPr>
                <w:sz w:val="20"/>
                <w:szCs w:val="20"/>
                <w:color w:val="auto"/>
              </w:rPr>
            </w:pPr>
          </w:p>
        </w:tc>
      </w:tr>
      <w:tr>
        <w:trPr>
          <w:trHeight w:val="439"/>
        </w:trPr>
        <w:tc>
          <w:tcPr>
            <w:tcW w:w="4500" w:type="dxa"/>
            <w:vAlign w:val="bottom"/>
          </w:tcPr>
          <w:p>
            <w:pPr>
              <w:spacing w:after="0"/>
              <w:rPr>
                <w:sz w:val="24"/>
                <w:szCs w:val="24"/>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0"/>
        </w:trPr>
        <w:tc>
          <w:tcPr>
            <w:tcW w:w="5180" w:type="dxa"/>
            <w:vAlign w:val="bottom"/>
            <w:gridSpan w:val="2"/>
          </w:tcPr>
          <w:p>
            <w:pPr>
              <w:jc w:val="center"/>
              <w:ind w:right="570"/>
              <w:spacing w:after="0" w:line="202" w:lineRule="exact"/>
              <w:rPr>
                <w:sz w:val="20"/>
                <w:szCs w:val="20"/>
                <w:color w:val="auto"/>
              </w:rPr>
            </w:pPr>
            <w:r>
              <w:rPr>
                <w:rFonts w:ascii="Times New Roman" w:cs="Times New Roman" w:eastAsia="Times New Roman" w:hAnsi="Times New Roman"/>
                <w:sz w:val="18"/>
                <w:szCs w:val="18"/>
                <w:color w:val="auto"/>
              </w:rPr>
              <w:t>May 2, 2022</w:t>
            </w:r>
          </w:p>
        </w:tc>
        <w:tc>
          <w:tcPr>
            <w:tcW w:w="940" w:type="dxa"/>
            <w:vAlign w:val="bottom"/>
            <w:tcBorders>
              <w:top w:val="single" w:sz="8" w:color="auto"/>
            </w:tcBorders>
          </w:tcPr>
          <w:p>
            <w:pPr>
              <w:spacing w:after="0"/>
              <w:rPr>
                <w:sz w:val="18"/>
                <w:szCs w:val="18"/>
                <w:color w:val="auto"/>
              </w:rPr>
            </w:pPr>
          </w:p>
        </w:tc>
        <w:tc>
          <w:tcPr>
            <w:tcW w:w="5120" w:type="dxa"/>
            <w:vAlign w:val="bottom"/>
            <w:tcBorders>
              <w:top w:val="single" w:sz="8" w:color="auto"/>
            </w:tcBorders>
          </w:tcPr>
          <w:p>
            <w:pPr>
              <w:jc w:val="center"/>
              <w:ind w:right="850"/>
              <w:spacing w:after="0" w:line="202" w:lineRule="exact"/>
              <w:rPr>
                <w:sz w:val="20"/>
                <w:szCs w:val="20"/>
                <w:color w:val="auto"/>
              </w:rPr>
            </w:pPr>
            <w:r>
              <w:rPr>
                <w:rFonts w:ascii="Times New Roman" w:cs="Times New Roman" w:eastAsia="Times New Roman" w:hAnsi="Times New Roman"/>
                <w:sz w:val="18"/>
                <w:szCs w:val="18"/>
                <w:color w:val="auto"/>
                <w:w w:val="99"/>
              </w:rPr>
              <w:t>Joan S. Hooper</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First Quarter 2022 Financial Results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LIBERTY LAKE, Wash.--(BUSINESS WIRE)--May 2, 2022--Itron, Inc. (NASDAQ:ITRI) announced today financial results for its first quarter ended March 31, 2022. Key results for the quarter include (compared with the first quarter of 2021):</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$475 million, compared with $520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Gross margin of 28.4%; compared with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GAAP net income of $1 million, compared with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GAAP diluted earnings per share (EPS) of $0.02, compared with $0.30;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Non-GAAP diluted EPS of $0.11, compared with $0.52;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Adjusted EBITDA of $19 million, compared with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Free cash flow of $2 million compared with $39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Total backlog of $3.9 billion, compared with $3.4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ind w:right="680"/>
        <w:spacing w:after="0" w:line="244" w:lineRule="auto"/>
        <w:rPr>
          <w:sz w:val="20"/>
          <w:szCs w:val="20"/>
          <w:color w:val="auto"/>
        </w:rPr>
      </w:pPr>
      <w:r>
        <w:rPr>
          <w:rFonts w:ascii="Times New Roman" w:cs="Times New Roman" w:eastAsia="Times New Roman" w:hAnsi="Times New Roman"/>
          <w:sz w:val="22"/>
          <w:szCs w:val="22"/>
          <w:color w:val="auto"/>
        </w:rPr>
        <w:t>"In the first quarter of 2022, customer demand remained strong with a focus on our Networked Solutions and Outcomes offerings. While we continue to be impacted by the current supply constraints and an inflationary environment, we remain focused on driving our strategy forward," said Tom Deitrich, Itron's president and chief executive officer.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First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14"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2"/>
          <w:szCs w:val="22"/>
          <w:color w:val="auto"/>
        </w:rPr>
        <w:t>Total first quarter revenue decreased 9% to $475 million, or 6%, excluding the impact of changes in foreign currency exchange rates. The decrease was due to the impact of component constraints limiting our ability to meet customer demand.</w:t>
      </w:r>
    </w:p>
    <w:p>
      <w:pPr>
        <w:spacing w:after="0" w:line="178" w:lineRule="exact"/>
        <w:rPr>
          <w:sz w:val="20"/>
          <w:szCs w:val="20"/>
          <w:color w:val="auto"/>
        </w:rPr>
      </w:pPr>
    </w:p>
    <w:p>
      <w:pPr>
        <w:ind w:right="1680"/>
        <w:spacing w:after="0" w:line="344" w:lineRule="auto"/>
        <w:rPr>
          <w:sz w:val="20"/>
          <w:szCs w:val="20"/>
          <w:color w:val="auto"/>
        </w:rPr>
      </w:pPr>
      <w:r>
        <w:rPr>
          <w:rFonts w:ascii="Times New Roman" w:cs="Times New Roman" w:eastAsia="Times New Roman" w:hAnsi="Times New Roman"/>
          <w:sz w:val="22"/>
          <w:szCs w:val="22"/>
          <w:color w:val="auto"/>
        </w:rPr>
        <w:t xml:space="preserve">Device Solutions revenue declined 19%, and Networked Solutions and Outcomes revenue each decreased 3%. </w:t>
      </w:r>
      <w:r>
        <w:rPr>
          <w:rFonts w:ascii="Times New Roman" w:cs="Times New Roman" w:eastAsia="Times New Roman" w:hAnsi="Times New Roman"/>
          <w:sz w:val="22"/>
          <w:szCs w:val="22"/>
          <w:u w:val="single" w:color="auto"/>
          <w:color w:val="auto"/>
        </w:rPr>
        <w:t>Gross Margin</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Consolidated company gross margin of 28.4% decreased 380 basis points from the prior year, primarily due to higher component costs and manufacturing inefficiencies related to component shortages.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Operating Expenses and Operating Income</w:t>
      </w:r>
    </w:p>
    <w:p>
      <w:pPr>
        <w:spacing w:after="0" w:line="14"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GAAP operating expenses of $128 million decreased $8 million from the prior year, primarily due to lower restructuring, amortization and product development expenses. Non-GAAP operating expenses of $126 million decreased $2 million from the prior year primarily due to lower product development expenses.</w:t>
      </w:r>
    </w:p>
    <w:p>
      <w:pPr>
        <w:spacing w:after="0" w:line="1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GAAP operating income of $7 million was $24 million lower than the prior year and non-GAAP operating income of $9 million was $30 million lower than last year. The decreases were due to lower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w:t>
      </w:r>
    </w:p>
    <w:p>
      <w:pPr>
        <w:spacing w:after="0" w:line="14"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22"/>
          <w:szCs w:val="22"/>
          <w:color w:val="auto"/>
        </w:rPr>
        <w:t>Net income attributable to Itron, Inc. for the quarter was $1 million, or $0.02 per diluted share, compared with $13 million, or $0.30 per diluted share in 2021. The decrease was driven by lower GAAP operating income.</w:t>
      </w:r>
    </w:p>
    <w:p>
      <w:pPr>
        <w:spacing w:after="0" w:line="17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Non-GAAP net income, which excludes certain charges including amortization of intangible assets, amortization of debt placement fees, debt extinguishment, restructuring, loss on sale of business, acquisition and integration, and the income tax effect of those adjustments, was $5 million, or $0.11 per diluted share, compared with $22 million, or $0.52 per diluted share, in 2021. The lower year over year results were primarily due to lower non-GAAP operating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20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Net cash provided by operating activities was $8 million in the first quarter compared with $50 million in the same quarter of 2021. Free cash flow was $2 million in the first quarter compared with $39 million in the prior year. The year over year decrease in cash flow was primarily due to higher variable compensation payments in the current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Total backlog was $3.9 billion and 12-month backlog was $1.6 billion, compared with $3.4 billion and $1.3 billion, respectively, in the prior year. Bookings in the quarter totaled $417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21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1"/>
          <w:szCs w:val="21"/>
          <w:color w:val="auto"/>
        </w:rPr>
        <w:t>Itron will host a conference call to discuss the financial results and guidance contained in this release at 10 a.m. EDT on May 2, 2022. The call will be webcast in a listen-only mode. Webcast information and conference call materials will be made available 10 minutes before the start of the call and will be accessible on Itron’s website at http://investors.itron.com/events.cfm. A replay of the audio webcast will be made available at http://investors.itron.com/events.cfm. A telephone replay of the conference call will be available through May 7, 2022. To access the telephone replay, dial 888-203-1112 or 719-457-0820 and enter passcode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3063181.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206"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21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 We undertake no obligation to update or revise any forward-looking statement, whether written or 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7" w:name="page8"/>
    <w:bookmarkEnd w:id="7"/>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50"/>
        </w:trPr>
        <w:tc>
          <w:tcPr>
            <w:tcW w:w="4440" w:type="dxa"/>
            <w:vAlign w:val="bottom"/>
          </w:tcPr>
          <w:p>
            <w:pPr>
              <w:spacing w:after="0"/>
              <w:rPr>
                <w:sz w:val="21"/>
                <w:szCs w:val="21"/>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4300" w:type="dxa"/>
            <w:vAlign w:val="bottom"/>
          </w:tcPr>
          <w:p>
            <w:pPr>
              <w:spacing w:after="0"/>
              <w:rPr>
                <w:sz w:val="21"/>
                <w:szCs w:val="21"/>
                <w:color w:val="auto"/>
              </w:rPr>
            </w:pPr>
          </w:p>
        </w:tc>
      </w:tr>
      <w:tr>
        <w:trPr>
          <w:trHeight w:val="238"/>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300" w:type="dxa"/>
            <w:vAlign w:val="bottom"/>
          </w:tcPr>
          <w:p>
            <w:pPr>
              <w:spacing w:after="0"/>
              <w:rPr>
                <w:sz w:val="20"/>
                <w:szCs w:val="20"/>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399,810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442,804</w:t>
            </w:r>
          </w:p>
        </w:tc>
        <w:tc>
          <w:tcPr>
            <w:tcW w:w="4300" w:type="dxa"/>
            <w:vAlign w:val="bottom"/>
          </w:tcPr>
          <w:p>
            <w:pPr>
              <w:spacing w:after="0"/>
              <w:rPr>
                <w:sz w:val="21"/>
                <w:szCs w:val="21"/>
                <w:color w:val="auto"/>
              </w:rPr>
            </w:pPr>
          </w:p>
        </w:tc>
      </w:tr>
      <w:tr>
        <w:trPr>
          <w:trHeight w:val="256"/>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75,521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76,770</w:t>
            </w:r>
          </w:p>
        </w:tc>
        <w:tc>
          <w:tcPr>
            <w:tcW w:w="4300" w:type="dxa"/>
            <w:vAlign w:val="bottom"/>
          </w:tcPr>
          <w:p>
            <w:pPr>
              <w:spacing w:after="0"/>
              <w:rPr>
                <w:sz w:val="22"/>
                <w:szCs w:val="22"/>
                <w:color w:val="auto"/>
              </w:rPr>
            </w:pPr>
          </w:p>
        </w:tc>
      </w:tr>
      <w:tr>
        <w:trPr>
          <w:trHeight w:val="228"/>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475,331</w:t>
            </w: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519,574</w:t>
            </w:r>
          </w:p>
        </w:tc>
        <w:tc>
          <w:tcPr>
            <w:tcW w:w="4300" w:type="dxa"/>
            <w:vAlign w:val="bottom"/>
          </w:tcPr>
          <w:p>
            <w:pPr>
              <w:spacing w:after="0"/>
              <w:rPr>
                <w:sz w:val="19"/>
                <w:szCs w:val="19"/>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294,820</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307,691</w:t>
            </w:r>
          </w:p>
        </w:tc>
        <w:tc>
          <w:tcPr>
            <w:tcW w:w="4300" w:type="dxa"/>
            <w:vAlign w:val="bottom"/>
          </w:tcPr>
          <w:p>
            <w:pPr>
              <w:spacing w:after="0"/>
              <w:rPr>
                <w:sz w:val="21"/>
                <w:szCs w:val="21"/>
                <w:color w:val="auto"/>
              </w:rPr>
            </w:pPr>
          </w:p>
        </w:tc>
      </w:tr>
      <w:tr>
        <w:trPr>
          <w:trHeight w:val="257"/>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45,287</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44,839</w:t>
            </w:r>
          </w:p>
        </w:tc>
        <w:tc>
          <w:tcPr>
            <w:tcW w:w="4300" w:type="dxa"/>
            <w:vAlign w:val="bottom"/>
          </w:tcPr>
          <w:p>
            <w:pPr>
              <w:spacing w:after="0"/>
              <w:rPr>
                <w:sz w:val="22"/>
                <w:szCs w:val="22"/>
                <w:color w:val="auto"/>
              </w:rPr>
            </w:pPr>
          </w:p>
        </w:tc>
      </w:tr>
      <w:tr>
        <w:trPr>
          <w:trHeight w:val="236"/>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340,107</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352,530</w:t>
            </w:r>
          </w:p>
        </w:tc>
        <w:tc>
          <w:tcPr>
            <w:tcW w:w="4300" w:type="dxa"/>
            <w:vAlign w:val="bottom"/>
          </w:tcPr>
          <w:p>
            <w:pPr>
              <w:spacing w:after="0"/>
              <w:rPr>
                <w:sz w:val="20"/>
                <w:szCs w:val="20"/>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135,224</w:t>
            </w: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167,044</w:t>
            </w:r>
          </w:p>
        </w:tc>
        <w:tc>
          <w:tcPr>
            <w:tcW w:w="4300" w:type="dxa"/>
            <w:vAlign w:val="bottom"/>
          </w:tcPr>
          <w:p>
            <w:pPr>
              <w:spacing w:after="0"/>
              <w:rPr>
                <w:sz w:val="19"/>
                <w:szCs w:val="19"/>
                <w:color w:val="auto"/>
              </w:rPr>
            </w:pPr>
          </w:p>
        </w:tc>
      </w:tr>
      <w:tr>
        <w:trPr>
          <w:trHeight w:val="48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76,401</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75,992</w:t>
            </w:r>
          </w:p>
        </w:tc>
        <w:tc>
          <w:tcPr>
            <w:tcW w:w="4300" w:type="dxa"/>
            <w:vAlign w:val="bottom"/>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49,596</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51,727</w:t>
            </w:r>
          </w:p>
        </w:tc>
        <w:tc>
          <w:tcPr>
            <w:tcW w:w="4300" w:type="dxa"/>
            <w:vAlign w:val="bottom"/>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6,553</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8,973</w:t>
            </w:r>
          </w:p>
        </w:tc>
        <w:tc>
          <w:tcPr>
            <w:tcW w:w="4300" w:type="dxa"/>
            <w:vAlign w:val="bottom"/>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300" w:type="dxa"/>
            <w:vAlign w:val="bottom"/>
          </w:tcPr>
          <w:p>
            <w:pPr>
              <w:spacing w:after="0"/>
              <w:rPr>
                <w:sz w:val="21"/>
                <w:szCs w:val="21"/>
                <w:color w:val="auto"/>
              </w:rPr>
            </w:pPr>
          </w:p>
        </w:tc>
      </w:tr>
      <w:tr>
        <w:trPr>
          <w:trHeight w:val="256"/>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4300" w:type="dxa"/>
            <w:vAlign w:val="bottom"/>
          </w:tcPr>
          <w:p>
            <w:pPr>
              <w:spacing w:after="0"/>
              <w:rPr>
                <w:sz w:val="22"/>
                <w:szCs w:val="22"/>
                <w:color w:val="auto"/>
              </w:rPr>
            </w:pPr>
          </w:p>
        </w:tc>
      </w:tr>
      <w:tr>
        <w:trPr>
          <w:trHeight w:val="237"/>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128,405</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136,104</w:t>
            </w:r>
          </w:p>
        </w:tc>
        <w:tc>
          <w:tcPr>
            <w:tcW w:w="4300" w:type="dxa"/>
            <w:vAlign w:val="bottom"/>
          </w:tcPr>
          <w:p>
            <w:pPr>
              <w:spacing w:after="0"/>
              <w:rPr>
                <w:sz w:val="20"/>
                <w:szCs w:val="20"/>
                <w:color w:val="auto"/>
              </w:rPr>
            </w:pPr>
          </w:p>
        </w:tc>
      </w:tr>
      <w:tr>
        <w:trPr>
          <w:trHeight w:val="46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6,819</w:t>
            </w:r>
          </w:p>
        </w:tc>
        <w:tc>
          <w:tcPr>
            <w:tcW w:w="3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30,940</w:t>
            </w:r>
          </w:p>
        </w:tc>
        <w:tc>
          <w:tcPr>
            <w:tcW w:w="4300" w:type="dxa"/>
            <w:vAlign w:val="bottom"/>
          </w:tcPr>
          <w:p>
            <w:pPr>
              <w:spacing w:after="0"/>
              <w:rPr>
                <w:sz w:val="24"/>
                <w:szCs w:val="24"/>
                <w:color w:val="auto"/>
              </w:rPr>
            </w:pP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4300" w:type="dxa"/>
            <w:vAlign w:val="bottom"/>
          </w:tcPr>
          <w:p>
            <w:pPr>
              <w:spacing w:after="0"/>
              <w:rPr>
                <w:sz w:val="21"/>
                <w:szCs w:val="2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4300" w:type="dxa"/>
            <w:vAlign w:val="bottom"/>
          </w:tcPr>
          <w:p>
            <w:pPr>
              <w:spacing w:after="0"/>
              <w:rPr>
                <w:sz w:val="21"/>
                <w:szCs w:val="21"/>
                <w:color w:val="auto"/>
              </w:rPr>
            </w:pPr>
          </w:p>
        </w:tc>
      </w:tr>
      <w:tr>
        <w:trPr>
          <w:trHeight w:val="256"/>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300" w:type="dxa"/>
            <w:vAlign w:val="bottom"/>
          </w:tcPr>
          <w:p>
            <w:pPr>
              <w:spacing w:after="0"/>
              <w:rPr>
                <w:sz w:val="22"/>
                <w:szCs w:val="22"/>
                <w:color w:val="auto"/>
              </w:rPr>
            </w:pPr>
          </w:p>
        </w:tc>
      </w:tr>
      <w:tr>
        <w:trPr>
          <w:trHeight w:val="237"/>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4300" w:type="dxa"/>
            <w:vAlign w:val="bottom"/>
          </w:tcPr>
          <w:p>
            <w:pPr>
              <w:spacing w:after="0"/>
              <w:rPr>
                <w:sz w:val="20"/>
                <w:szCs w:val="20"/>
                <w:color w:val="auto"/>
              </w:rPr>
            </w:pPr>
          </w:p>
        </w:tc>
      </w:tr>
      <w:tr>
        <w:trPr>
          <w:trHeight w:val="46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4,755</w:t>
            </w:r>
          </w:p>
        </w:tc>
        <w:tc>
          <w:tcPr>
            <w:tcW w:w="3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18,241</w:t>
            </w:r>
          </w:p>
        </w:tc>
        <w:tc>
          <w:tcPr>
            <w:tcW w:w="4300" w:type="dxa"/>
            <w:vAlign w:val="bottom"/>
          </w:tcPr>
          <w:p>
            <w:pPr>
              <w:spacing w:after="0"/>
              <w:rPr>
                <w:sz w:val="24"/>
                <w:szCs w:val="24"/>
                <w:color w:val="auto"/>
              </w:rPr>
            </w:pPr>
          </w:p>
        </w:tc>
      </w:tr>
      <w:tr>
        <w:trPr>
          <w:trHeight w:val="25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4300" w:type="dxa"/>
            <w:vAlign w:val="bottom"/>
          </w:tcPr>
          <w:p>
            <w:pPr>
              <w:spacing w:after="0"/>
              <w:rPr>
                <w:sz w:val="22"/>
                <w:szCs w:val="22"/>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13,580</w:t>
            </w:r>
          </w:p>
        </w:tc>
        <w:tc>
          <w:tcPr>
            <w:tcW w:w="4300" w:type="dxa"/>
            <w:vAlign w:val="bottom"/>
          </w:tcPr>
          <w:p>
            <w:pPr>
              <w:spacing w:after="0"/>
              <w:rPr>
                <w:sz w:val="19"/>
                <w:szCs w:val="19"/>
                <w:color w:val="auto"/>
              </w:rPr>
            </w:pPr>
          </w:p>
        </w:tc>
      </w:tr>
      <w:tr>
        <w:trPr>
          <w:trHeight w:val="252"/>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4300" w:type="dxa"/>
            <w:vAlign w:val="bottom"/>
          </w:tcPr>
          <w:p>
            <w:pPr>
              <w:spacing w:after="0"/>
              <w:rPr>
                <w:sz w:val="21"/>
                <w:szCs w:val="21"/>
                <w:color w:val="auto"/>
              </w:rPr>
            </w:pP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Itron, Inc.</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12,603</w:t>
            </w:r>
          </w:p>
        </w:tc>
        <w:tc>
          <w:tcPr>
            <w:tcW w:w="43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6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4300" w:type="dxa"/>
            <w:vAlign w:val="bottom"/>
          </w:tcPr>
          <w:p>
            <w:pPr>
              <w:spacing w:after="0"/>
              <w:rPr>
                <w:sz w:val="24"/>
                <w:szCs w:val="24"/>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43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5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45,018</w:t>
            </w:r>
          </w:p>
        </w:tc>
        <w:tc>
          <w:tcPr>
            <w:tcW w:w="3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41,526</w:t>
            </w:r>
          </w:p>
        </w:tc>
        <w:tc>
          <w:tcPr>
            <w:tcW w:w="4300" w:type="dxa"/>
            <w:vAlign w:val="bottom"/>
          </w:tcPr>
          <w:p>
            <w:pPr>
              <w:spacing w:after="0"/>
              <w:rPr>
                <w:sz w:val="24"/>
                <w:szCs w:val="24"/>
                <w:color w:val="auto"/>
              </w:rPr>
            </w:pP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45,240</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41,964</w:t>
            </w:r>
          </w:p>
        </w:tc>
        <w:tc>
          <w:tcPr>
            <w:tcW w:w="4300" w:type="dxa"/>
            <w:vAlign w:val="bottom"/>
          </w:tcPr>
          <w:p>
            <w:pPr>
              <w:spacing w:after="0"/>
              <w:rPr>
                <w:sz w:val="21"/>
                <w:szCs w:val="21"/>
                <w:color w:val="auto"/>
              </w:rPr>
            </w:pPr>
          </w:p>
        </w:tc>
      </w:tr>
      <w:tr>
        <w:trPr>
          <w:trHeight w:val="196"/>
        </w:trPr>
        <w:tc>
          <w:tcPr>
            <w:tcW w:w="4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1" w:right="339" w:bottom="1440" w:gutter="0" w:footer="0" w:header="0"/>
        </w:sectPr>
      </w:pPr>
    </w:p>
    <w:bookmarkStart w:id="8" w:name="page9"/>
    <w:bookmarkEnd w:id="8"/>
    <w:p>
      <w:pPr>
        <w:jc w:val="center"/>
        <w:ind w:right="573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5739"/>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Device Solutions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137,886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170,331</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Networked Solutions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249,268</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258,703</w:t>
            </w:r>
          </w:p>
        </w:tc>
        <w:tc>
          <w:tcPr>
            <w:tcW w:w="0" w:type="dxa"/>
            <w:vAlign w:val="bottom"/>
          </w:tcPr>
          <w:p>
            <w:pPr>
              <w:spacing w:after="0"/>
              <w:rPr>
                <w:sz w:val="1"/>
                <w:szCs w:val="1"/>
                <w:color w:val="auto"/>
              </w:rPr>
            </w:pPr>
          </w:p>
        </w:tc>
      </w:tr>
      <w:tr>
        <w:trPr>
          <w:trHeight w:val="257"/>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Outcomes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12,656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13,770</w:t>
            </w:r>
          </w:p>
        </w:tc>
        <w:tc>
          <w:tcPr>
            <w:tcW w:w="0" w:type="dxa"/>
            <w:vAlign w:val="bottom"/>
          </w:tcPr>
          <w:p>
            <w:pPr>
              <w:spacing w:after="0"/>
              <w:rPr>
                <w:sz w:val="1"/>
                <w:szCs w:val="1"/>
                <w:color w:val="auto"/>
              </w:rPr>
            </w:pPr>
          </w:p>
        </w:tc>
      </w:tr>
      <w:tr>
        <w:trPr>
          <w:trHeight w:val="237"/>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399,810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442,804</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Device Solutions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1,679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Networked Solutions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29,552</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29,611</w:t>
            </w:r>
          </w:p>
        </w:tc>
        <w:tc>
          <w:tcPr>
            <w:tcW w:w="0" w:type="dxa"/>
            <w:vAlign w:val="bottom"/>
          </w:tcPr>
          <w:p>
            <w:pPr>
              <w:spacing w:after="0"/>
              <w:rPr>
                <w:sz w:val="1"/>
                <w:szCs w:val="1"/>
                <w:color w:val="auto"/>
              </w:rPr>
            </w:pPr>
          </w:p>
        </w:tc>
      </w:tr>
      <w:tr>
        <w:trPr>
          <w:trHeight w:val="257"/>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Outcomes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44,290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44,709</w:t>
            </w:r>
          </w:p>
        </w:tc>
        <w:tc>
          <w:tcPr>
            <w:tcW w:w="0" w:type="dxa"/>
            <w:vAlign w:val="bottom"/>
          </w:tcPr>
          <w:p>
            <w:pPr>
              <w:spacing w:after="0"/>
              <w:rPr>
                <w:sz w:val="1"/>
                <w:szCs w:val="1"/>
                <w:color w:val="auto"/>
              </w:rPr>
            </w:pPr>
          </w:p>
        </w:tc>
      </w:tr>
      <w:tr>
        <w:trPr>
          <w:trHeight w:val="237"/>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75,521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76,770</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Device Solutions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139,565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172,781</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Networked Solutions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278,820</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288,314</w:t>
            </w:r>
          </w:p>
        </w:tc>
        <w:tc>
          <w:tcPr>
            <w:tcW w:w="0" w:type="dxa"/>
            <w:vAlign w:val="bottom"/>
          </w:tcPr>
          <w:p>
            <w:pPr>
              <w:spacing w:after="0"/>
              <w:rPr>
                <w:sz w:val="1"/>
                <w:szCs w:val="1"/>
                <w:color w:val="auto"/>
              </w:rPr>
            </w:pPr>
          </w:p>
        </w:tc>
      </w:tr>
      <w:tr>
        <w:trPr>
          <w:trHeight w:val="256"/>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Outcomes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56,946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58,479</w:t>
            </w:r>
          </w:p>
        </w:tc>
        <w:tc>
          <w:tcPr>
            <w:tcW w:w="0" w:type="dxa"/>
            <w:vAlign w:val="bottom"/>
          </w:tcPr>
          <w:p>
            <w:pPr>
              <w:spacing w:after="0"/>
              <w:rPr>
                <w:sz w:val="1"/>
                <w:szCs w:val="1"/>
                <w:color w:val="auto"/>
              </w:rPr>
            </w:pPr>
          </w:p>
        </w:tc>
      </w:tr>
      <w:tr>
        <w:trPr>
          <w:trHeight w:val="237"/>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475,331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519,574</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Device Solutions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21,806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32,296</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Networked Solutions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91,351</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112,759</w:t>
            </w:r>
          </w:p>
        </w:tc>
        <w:tc>
          <w:tcPr>
            <w:tcW w:w="0" w:type="dxa"/>
            <w:vAlign w:val="bottom"/>
          </w:tcPr>
          <w:p>
            <w:pPr>
              <w:spacing w:after="0"/>
              <w:rPr>
                <w:sz w:val="1"/>
                <w:szCs w:val="1"/>
                <w:color w:val="auto"/>
              </w:rPr>
            </w:pPr>
          </w:p>
        </w:tc>
      </w:tr>
      <w:tr>
        <w:trPr>
          <w:trHeight w:val="256"/>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Outcomes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22,067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21,989</w:t>
            </w:r>
          </w:p>
        </w:tc>
        <w:tc>
          <w:tcPr>
            <w:tcW w:w="0" w:type="dxa"/>
            <w:vAlign w:val="bottom"/>
          </w:tcPr>
          <w:p>
            <w:pPr>
              <w:spacing w:after="0"/>
              <w:rPr>
                <w:sz w:val="1"/>
                <w:szCs w:val="1"/>
                <w:color w:val="auto"/>
              </w:rPr>
            </w:pPr>
          </w:p>
        </w:tc>
      </w:tr>
      <w:tr>
        <w:trPr>
          <w:trHeight w:val="237"/>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135,224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167,044</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Device Solutions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11,578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Networked Solutions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61,007</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79,291</w:t>
            </w:r>
          </w:p>
        </w:tc>
        <w:tc>
          <w:tcPr>
            <w:tcW w:w="0" w:type="dxa"/>
            <w:vAlign w:val="bottom"/>
          </w:tcPr>
          <w:p>
            <w:pPr>
              <w:spacing w:after="0"/>
              <w:rPr>
                <w:sz w:val="1"/>
                <w:szCs w:val="1"/>
                <w:color w:val="auto"/>
              </w:rPr>
            </w:pPr>
          </w:p>
        </w:tc>
      </w:tr>
      <w:tr>
        <w:trPr>
          <w:trHeight w:val="243"/>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Outcomes</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8,341</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10,336</w:t>
            </w:r>
          </w:p>
        </w:tc>
        <w:tc>
          <w:tcPr>
            <w:tcW w:w="0" w:type="dxa"/>
            <w:vAlign w:val="bottom"/>
          </w:tcPr>
          <w:p>
            <w:pPr>
              <w:spacing w:after="0"/>
              <w:rPr>
                <w:sz w:val="1"/>
                <w:szCs w:val="1"/>
                <w:color w:val="auto"/>
              </w:rPr>
            </w:pPr>
          </w:p>
        </w:tc>
      </w:tr>
      <w:tr>
        <w:trPr>
          <w:trHeight w:val="256"/>
        </w:trPr>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unallocated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(74,107)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(80,388)</w:t>
            </w:r>
          </w:p>
        </w:tc>
        <w:tc>
          <w:tcPr>
            <w:tcW w:w="0" w:type="dxa"/>
            <w:vAlign w:val="bottom"/>
          </w:tcPr>
          <w:p>
            <w:pPr>
              <w:spacing w:after="0"/>
              <w:rPr>
                <w:sz w:val="1"/>
                <w:szCs w:val="1"/>
                <w:color w:val="auto"/>
              </w:rPr>
            </w:pPr>
          </w:p>
        </w:tc>
      </w:tr>
      <w:tr>
        <w:trPr>
          <w:trHeight w:val="236"/>
        </w:trPr>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6,819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30,940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7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 December 31, 2021</w:t>
            </w:r>
          </w:p>
        </w:tc>
        <w:tc>
          <w:tcPr>
            <w:tcW w:w="0" w:type="dxa"/>
            <w:vAlign w:val="bottom"/>
          </w:tcPr>
          <w:p>
            <w:pPr>
              <w:spacing w:after="0"/>
              <w:rPr>
                <w:sz w:val="1"/>
                <w:szCs w:val="1"/>
                <w:color w:val="auto"/>
              </w:rPr>
            </w:pPr>
          </w:p>
        </w:tc>
      </w:tr>
      <w:tr>
        <w:trPr>
          <w:trHeight w:val="223"/>
        </w:trPr>
        <w:tc>
          <w:tcPr>
            <w:tcW w:w="34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203,997</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162,579</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303,250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298,459</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171,259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165,799</w:t>
            </w:r>
          </w:p>
        </w:tc>
        <w:tc>
          <w:tcPr>
            <w:tcW w:w="0" w:type="dxa"/>
            <w:vAlign w:val="bottom"/>
          </w:tcPr>
          <w:p>
            <w:pPr>
              <w:spacing w:after="0"/>
              <w:rPr>
                <w:sz w:val="1"/>
                <w:szCs w:val="1"/>
                <w:color w:val="auto"/>
              </w:rPr>
            </w:pPr>
          </w:p>
        </w:tc>
      </w:tr>
      <w:tr>
        <w:trPr>
          <w:trHeight w:val="256"/>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114,021</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123,092</w:t>
            </w:r>
          </w:p>
        </w:tc>
        <w:tc>
          <w:tcPr>
            <w:tcW w:w="0" w:type="dxa"/>
            <w:vAlign w:val="bottom"/>
          </w:tcPr>
          <w:p>
            <w:pPr>
              <w:spacing w:after="0"/>
              <w:rPr>
                <w:sz w:val="1"/>
                <w:szCs w:val="1"/>
                <w:color w:val="auto"/>
              </w:rPr>
            </w:pPr>
          </w:p>
        </w:tc>
      </w:tr>
      <w:tr>
        <w:trPr>
          <w:trHeight w:val="228"/>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792,527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749,929</w:t>
            </w:r>
          </w:p>
        </w:tc>
        <w:tc>
          <w:tcPr>
            <w:tcW w:w="0" w:type="dxa"/>
            <w:vAlign w:val="bottom"/>
          </w:tcPr>
          <w:p>
            <w:pPr>
              <w:spacing w:after="0"/>
              <w:rPr>
                <w:sz w:val="1"/>
                <w:szCs w:val="1"/>
                <w:color w:val="auto"/>
              </w:rPr>
            </w:pPr>
          </w:p>
        </w:tc>
      </w:tr>
      <w:tr>
        <w:trPr>
          <w:trHeight w:val="48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163,184</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186,133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181,472</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43,883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42,178</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62,627</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65,523</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85,514</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92,529</w:t>
            </w: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1,091,888</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1,098,975</w:t>
            </w:r>
          </w:p>
        </w:tc>
        <w:tc>
          <w:tcPr>
            <w:tcW w:w="0" w:type="dxa"/>
            <w:vAlign w:val="bottom"/>
          </w:tcPr>
          <w:p>
            <w:pPr>
              <w:spacing w:after="0"/>
              <w:rPr>
                <w:sz w:val="1"/>
                <w:szCs w:val="1"/>
                <w:color w:val="auto"/>
              </w:rPr>
            </w:pPr>
          </w:p>
        </w:tc>
      </w:tr>
      <w:tr>
        <w:trPr>
          <w:trHeight w:val="236"/>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2,419,816</w:t>
            </w:r>
          </w:p>
        </w:tc>
        <w:tc>
          <w:tcPr>
            <w:tcW w:w="60" w:type="dxa"/>
            <w:vAlign w:val="bottom"/>
          </w:tcPr>
          <w:p>
            <w:pPr>
              <w:spacing w:after="0"/>
              <w:rPr>
                <w:sz w:val="20"/>
                <w:szCs w:val="20"/>
                <w:color w:val="auto"/>
              </w:rPr>
            </w:pPr>
          </w:p>
        </w:tc>
        <w:tc>
          <w:tcPr>
            <w:tcW w:w="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2,393,790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203,475</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193,129</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56,409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81,253</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86,650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Taxes payable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17,651</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18,406</w:t>
            </w:r>
          </w:p>
        </w:tc>
        <w:tc>
          <w:tcPr>
            <w:tcW w:w="0" w:type="dxa"/>
            <w:vAlign w:val="bottom"/>
          </w:tcPr>
          <w:p>
            <w:pPr>
              <w:spacing w:after="0"/>
              <w:rPr>
                <w:sz w:val="1"/>
                <w:szCs w:val="1"/>
                <w:color w:val="auto"/>
              </w:rPr>
            </w:pPr>
          </w:p>
        </w:tc>
      </w:tr>
      <w:tr>
        <w:trPr>
          <w:trHeight w:val="256"/>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118,807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82,816</w:t>
            </w:r>
          </w:p>
        </w:tc>
        <w:tc>
          <w:tcPr>
            <w:tcW w:w="0" w:type="dxa"/>
            <w:vAlign w:val="bottom"/>
          </w:tcPr>
          <w:p>
            <w:pPr>
              <w:spacing w:after="0"/>
              <w:rPr>
                <w:sz w:val="1"/>
                <w:szCs w:val="1"/>
                <w:color w:val="auto"/>
              </w:rPr>
            </w:pPr>
          </w:p>
        </w:tc>
      </w:tr>
      <w:tr>
        <w:trPr>
          <w:trHeight w:val="228"/>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501,568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501,344</w:t>
            </w:r>
          </w:p>
        </w:tc>
        <w:tc>
          <w:tcPr>
            <w:tcW w:w="0" w:type="dxa"/>
            <w:vAlign w:val="bottom"/>
          </w:tcPr>
          <w:p>
            <w:pPr>
              <w:spacing w:after="0"/>
              <w:rPr>
                <w:sz w:val="1"/>
                <w:szCs w:val="1"/>
                <w:color w:val="auto"/>
              </w:rPr>
            </w:pPr>
          </w:p>
        </w:tc>
      </w:tr>
    </w:tbl>
    <w:p>
      <w:pPr>
        <w:sectPr>
          <w:pgSz w:w="11900" w:h="16838" w:orient="portrait"/>
          <w:cols w:equalWidth="0" w:num="1">
            <w:col w:w="10139"/>
          </w:cols>
          <w:pgMar w:left="320" w:top="13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450,795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450,228</w:t>
            </w:r>
          </w:p>
        </w:tc>
        <w:tc>
          <w:tcPr>
            <w:tcW w:w="5020" w:type="dxa"/>
            <w:vAlign w:val="bottom"/>
          </w:tcPr>
          <w:p>
            <w:pPr>
              <w:spacing w:after="0"/>
              <w:rPr>
                <w:sz w:val="20"/>
                <w:szCs w:val="20"/>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13,184</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13,616</w:t>
            </w:r>
          </w:p>
        </w:tc>
        <w:tc>
          <w:tcPr>
            <w:tcW w:w="5020" w:type="dxa"/>
            <w:vAlign w:val="bottom"/>
          </w:tcPr>
          <w:p>
            <w:pPr>
              <w:spacing w:after="0"/>
              <w:rPr>
                <w:sz w:val="21"/>
                <w:szCs w:val="2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81,932</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87,863</w:t>
            </w:r>
          </w:p>
        </w:tc>
        <w:tc>
          <w:tcPr>
            <w:tcW w:w="5020" w:type="dxa"/>
            <w:vAlign w:val="bottom"/>
          </w:tcPr>
          <w:p>
            <w:pPr>
              <w:spacing w:after="0"/>
              <w:rPr>
                <w:sz w:val="21"/>
                <w:szCs w:val="2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5020" w:type="dxa"/>
            <w:vAlign w:val="bottom"/>
          </w:tcPr>
          <w:p>
            <w:pPr>
              <w:spacing w:after="0"/>
              <w:rPr>
                <w:sz w:val="21"/>
                <w:szCs w:val="2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54,333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57,314</w:t>
            </w:r>
          </w:p>
        </w:tc>
        <w:tc>
          <w:tcPr>
            <w:tcW w:w="5020" w:type="dxa"/>
            <w:vAlign w:val="bottom"/>
          </w:tcPr>
          <w:p>
            <w:pPr>
              <w:spacing w:after="0"/>
              <w:rPr>
                <w:sz w:val="21"/>
                <w:szCs w:val="21"/>
                <w:color w:val="auto"/>
              </w:rPr>
            </w:pP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129,296</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138,666</w:t>
            </w:r>
          </w:p>
        </w:tc>
        <w:tc>
          <w:tcPr>
            <w:tcW w:w="5020" w:type="dxa"/>
            <w:vAlign w:val="bottom"/>
          </w:tcPr>
          <w:p>
            <w:pPr>
              <w:spacing w:after="0"/>
              <w:rPr>
                <w:sz w:val="22"/>
                <w:szCs w:val="22"/>
                <w:color w:val="auto"/>
              </w:rPr>
            </w:pPr>
          </w:p>
        </w:tc>
      </w:tr>
      <w:tr>
        <w:trPr>
          <w:trHeight w:val="228"/>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1,233,064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1,251,031</w:t>
            </w:r>
          </w:p>
        </w:tc>
        <w:tc>
          <w:tcPr>
            <w:tcW w:w="5020" w:type="dxa"/>
            <w:vAlign w:val="bottom"/>
          </w:tcPr>
          <w:p>
            <w:pPr>
              <w:spacing w:after="0"/>
              <w:rPr>
                <w:sz w:val="19"/>
                <w:szCs w:val="19"/>
                <w:color w:val="auto"/>
              </w:rPr>
            </w:pPr>
          </w:p>
        </w:tc>
      </w:tr>
      <w:tr>
        <w:trPr>
          <w:trHeight w:val="48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1,770,057</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1,779,775</w:t>
            </w:r>
          </w:p>
        </w:tc>
        <w:tc>
          <w:tcPr>
            <w:tcW w:w="5020" w:type="dxa"/>
            <w:vAlign w:val="bottom"/>
          </w:tcPr>
          <w:p>
            <w:pPr>
              <w:spacing w:after="0"/>
              <w:rPr>
                <w:sz w:val="21"/>
                <w:szCs w:val="21"/>
                <w:color w:val="auto"/>
              </w:rPr>
            </w:pPr>
          </w:p>
        </w:tc>
      </w:tr>
      <w:tr>
        <w:trPr>
          <w:trHeight w:val="243"/>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c>
          <w:tcPr>
            <w:tcW w:w="5020" w:type="dxa"/>
            <w:vAlign w:val="bottom"/>
          </w:tcPr>
          <w:p>
            <w:pPr>
              <w:spacing w:after="0"/>
              <w:rPr>
                <w:sz w:val="21"/>
                <w:szCs w:val="21"/>
                <w:color w:val="auto"/>
              </w:rPr>
            </w:pPr>
          </w:p>
        </w:tc>
      </w:tr>
      <w:tr>
        <w:trPr>
          <w:trHeight w:val="257"/>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(514,694)</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(515,600)</w:t>
            </w:r>
          </w:p>
        </w:tc>
        <w:tc>
          <w:tcPr>
            <w:tcW w:w="5020" w:type="dxa"/>
            <w:vAlign w:val="bottom"/>
          </w:tcPr>
          <w:p>
            <w:pPr>
              <w:spacing w:after="0"/>
              <w:rPr>
                <w:sz w:val="22"/>
                <w:szCs w:val="22"/>
                <w:color w:val="auto"/>
              </w:rPr>
            </w:pPr>
          </w:p>
        </w:tc>
      </w:tr>
      <w:tr>
        <w:trPr>
          <w:trHeight w:val="228"/>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1,160,080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1,116,077</w:t>
            </w:r>
          </w:p>
        </w:tc>
        <w:tc>
          <w:tcPr>
            <w:tcW w:w="5020" w:type="dxa"/>
            <w:vAlign w:val="bottom"/>
          </w:tcPr>
          <w:p>
            <w:pPr>
              <w:spacing w:after="0"/>
              <w:rPr>
                <w:sz w:val="19"/>
                <w:szCs w:val="19"/>
                <w:color w:val="auto"/>
              </w:rPr>
            </w:pPr>
          </w:p>
        </w:tc>
      </w:tr>
      <w:tr>
        <w:trPr>
          <w:trHeight w:val="252"/>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26,672</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26,682</w:t>
            </w:r>
          </w:p>
        </w:tc>
        <w:tc>
          <w:tcPr>
            <w:tcW w:w="5020" w:type="dxa"/>
            <w:vAlign w:val="bottom"/>
          </w:tcPr>
          <w:p>
            <w:pPr>
              <w:spacing w:after="0"/>
              <w:rPr>
                <w:sz w:val="21"/>
                <w:szCs w:val="21"/>
                <w:color w:val="auto"/>
              </w:rPr>
            </w:pPr>
          </w:p>
        </w:tc>
      </w:tr>
      <w:tr>
        <w:trPr>
          <w:trHeight w:val="237"/>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1,186,752</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1,142,759</w:t>
            </w:r>
          </w:p>
        </w:tc>
        <w:tc>
          <w:tcPr>
            <w:tcW w:w="5020" w:type="dxa"/>
            <w:vAlign w:val="bottom"/>
          </w:tcPr>
          <w:p>
            <w:pPr>
              <w:spacing w:after="0"/>
              <w:rPr>
                <w:sz w:val="20"/>
                <w:szCs w:val="20"/>
                <w:color w:val="auto"/>
              </w:rPr>
            </w:pPr>
          </w:p>
        </w:tc>
      </w:tr>
      <w:tr>
        <w:trPr>
          <w:trHeight w:val="236"/>
        </w:trPr>
        <w:tc>
          <w:tcPr>
            <w:tcW w:w="3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2,419,816</w:t>
            </w:r>
          </w:p>
        </w:tc>
        <w:tc>
          <w:tcPr>
            <w:tcW w:w="60" w:type="dxa"/>
            <w:vAlign w:val="bottom"/>
          </w:tcPr>
          <w:p>
            <w:pPr>
              <w:spacing w:after="0"/>
              <w:rPr>
                <w:sz w:val="20"/>
                <w:szCs w:val="20"/>
                <w:color w:val="auto"/>
              </w:rPr>
            </w:pP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2,393,790</w:t>
            </w:r>
          </w:p>
        </w:tc>
        <w:tc>
          <w:tcPr>
            <w:tcW w:w="502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163"/>
        </w:trPr>
        <w:tc>
          <w:tcPr>
            <w:tcW w:w="3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15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32"/>
        </w:trPr>
        <w:tc>
          <w:tcPr>
            <w:tcW w:w="616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3175</wp:posOffset>
            </wp:positionV>
            <wp:extent cx="1577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Non-cash operating lease expense</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Amortization of prepaid debt fees</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Deferred taxes, net</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Loss on sale of business</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Restructuring, non-cash</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 and sale of business: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Inventories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Accounts payable, other current liabilities, and taxes payable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Wages and benefits payable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Unearned revenue</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Warranty</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operating, net</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36" w:lineRule="exact"/>
        <w:rPr>
          <w:sz w:val="20"/>
          <w:szCs w:val="20"/>
          <w:color w:val="auto"/>
        </w:rPr>
      </w:pPr>
    </w:p>
    <w:p>
      <w:pPr>
        <w:ind w:left="280" w:right="2480"/>
        <w:spacing w:after="0" w:line="298" w:lineRule="auto"/>
        <w:rPr>
          <w:sz w:val="20"/>
          <w:szCs w:val="20"/>
          <w:color w:val="auto"/>
        </w:rPr>
      </w:pPr>
      <w:r>
        <w:rPr>
          <w:rFonts w:ascii="Times New Roman" w:cs="Times New Roman" w:eastAsia="Times New Roman" w:hAnsi="Times New Roman"/>
          <w:sz w:val="17"/>
          <w:szCs w:val="17"/>
          <w:color w:val="auto"/>
        </w:rPr>
        <w:t>Net proceeds related to the sale of business Acquisitions of property, plant, and equipment</w:t>
      </w:r>
    </w:p>
    <w:p>
      <w:pPr>
        <w:spacing w:after="0" w:line="1" w:lineRule="exact"/>
        <w:rPr>
          <w:sz w:val="20"/>
          <w:szCs w:val="20"/>
          <w:color w:val="auto"/>
        </w:rPr>
      </w:pPr>
    </w:p>
    <w:p>
      <w:pPr>
        <w:ind w:left="280" w:right="1200"/>
        <w:spacing w:after="0" w:line="289" w:lineRule="auto"/>
        <w:rPr>
          <w:sz w:val="20"/>
          <w:szCs w:val="20"/>
          <w:color w:val="auto"/>
        </w:rPr>
      </w:pPr>
      <w:r>
        <w:rPr>
          <w:rFonts w:ascii="Times New Roman" w:cs="Times New Roman" w:eastAsia="Times New Roman" w:hAnsi="Times New Roman"/>
          <w:sz w:val="18"/>
          <w:szCs w:val="18"/>
          <w:color w:val="auto"/>
        </w:rPr>
        <w:t>Business acquisitions, net of cash and cash equivalents acquired Other investing, net</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provided (used) in investing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Proceeds from borrowings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Payments on debt</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Issuance of common stock</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Proceeds from common stock offering</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Proceeds from sale of warrants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Purchases of convertible note hedge contracts</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Prepaid debt fees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financing, net</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93" w:lineRule="exact"/>
        <w:rPr>
          <w:sz w:val="20"/>
          <w:szCs w:val="20"/>
          <w:color w:val="auto"/>
        </w:rPr>
      </w:pPr>
    </w:p>
    <w:p>
      <w:pPr>
        <w:ind w:right="1100"/>
        <w:spacing w:after="0" w:line="289" w:lineRule="auto"/>
        <w:rPr>
          <w:sz w:val="20"/>
          <w:szCs w:val="20"/>
          <w:color w:val="auto"/>
        </w:rPr>
      </w:pPr>
      <w:r>
        <w:rPr>
          <w:rFonts w:ascii="Times New Roman" w:cs="Times New Roman" w:eastAsia="Times New Roman" w:hAnsi="Times New Roman"/>
          <w:sz w:val="18"/>
          <w:szCs w:val="18"/>
          <w:color w:val="auto"/>
        </w:rPr>
        <w:t>Effect of foreign exchange rate changes on cash and cash equivalents Increase in cash and cash equivalents</w:t>
      </w:r>
    </w:p>
    <w:p>
      <w:pPr>
        <w:spacing w:after="0" w:line="1" w:lineRule="exact"/>
        <w:rPr>
          <w:sz w:val="20"/>
          <w:szCs w:val="20"/>
          <w:color w:val="auto"/>
        </w:rPr>
      </w:pPr>
    </w:p>
    <w:p>
      <w:pPr>
        <w:ind w:right="2560"/>
        <w:spacing w:after="0" w:line="360" w:lineRule="auto"/>
        <w:rPr>
          <w:sz w:val="20"/>
          <w:szCs w:val="20"/>
          <w:color w:val="auto"/>
        </w:rPr>
      </w:pPr>
      <w:r>
        <w:rPr>
          <w:rFonts w:ascii="Times New Roman" w:cs="Times New Roman" w:eastAsia="Times New Roman" w:hAnsi="Times New Roman"/>
          <w:sz w:val="18"/>
          <w:szCs w:val="18"/>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40"/>
        <w:spacing w:after="0"/>
        <w:tabs>
          <w:tab w:leader="none" w:pos="740" w:val="left"/>
          <w:tab w:leader="none" w:pos="1240" w:val="left"/>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w:t>
        <w:tab/>
        <w:t>$</w:t>
      </w:r>
      <w:r>
        <w:rPr>
          <w:sz w:val="20"/>
          <w:szCs w:val="20"/>
          <w:color w:val="auto"/>
        </w:rPr>
        <w:tab/>
      </w:r>
      <w:r>
        <w:rPr>
          <w:rFonts w:ascii="Times New Roman" w:cs="Times New Roman" w:eastAsia="Times New Roman" w:hAnsi="Times New Roman"/>
          <w:sz w:val="17"/>
          <w:szCs w:val="17"/>
          <w:color w:val="auto"/>
        </w:rPr>
        <w:t>13,580</w:t>
      </w:r>
    </w:p>
    <w:p>
      <w:pPr>
        <w:spacing w:after="0" w:line="279" w:lineRule="exact"/>
        <w:rPr>
          <w:sz w:val="20"/>
          <w:szCs w:val="20"/>
          <w:color w:val="auto"/>
        </w:rPr>
      </w:pPr>
    </w:p>
    <w:p>
      <w:pPr>
        <w:ind w:left="540"/>
        <w:spacing w:after="0"/>
        <w:tabs>
          <w:tab w:leader="none" w:pos="1860" w:val="left"/>
        </w:tabs>
        <w:rPr>
          <w:sz w:val="20"/>
          <w:szCs w:val="20"/>
          <w:color w:val="auto"/>
        </w:rPr>
      </w:pPr>
      <w:r>
        <w:rPr>
          <w:rFonts w:ascii="Times New Roman" w:cs="Times New Roman" w:eastAsia="Times New Roman" w:hAnsi="Times New Roman"/>
          <w:sz w:val="18"/>
          <w:szCs w:val="18"/>
          <w:color w:val="auto"/>
        </w:rPr>
        <w:t>16,837</w:t>
      </w:r>
      <w:r>
        <w:rPr>
          <w:sz w:val="20"/>
          <w:szCs w:val="20"/>
          <w:color w:val="auto"/>
        </w:rPr>
        <w:tab/>
      </w:r>
      <w:r>
        <w:rPr>
          <w:rFonts w:ascii="Times New Roman" w:cs="Times New Roman" w:eastAsia="Times New Roman" w:hAnsi="Times New Roman"/>
          <w:sz w:val="18"/>
          <w:szCs w:val="18"/>
          <w:color w:val="auto"/>
        </w:rPr>
        <w:t>21,810</w:t>
      </w:r>
    </w:p>
    <w:p>
      <w:pPr>
        <w:spacing w:after="0" w:line="36" w:lineRule="exact"/>
        <w:rPr>
          <w:sz w:val="20"/>
          <w:szCs w:val="20"/>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4,113</w:t>
      </w:r>
      <w:r>
        <w:rPr>
          <w:sz w:val="20"/>
          <w:szCs w:val="20"/>
          <w:color w:val="auto"/>
        </w:rPr>
        <w:tab/>
      </w:r>
      <w:r>
        <w:rPr>
          <w:rFonts w:ascii="Times New Roman" w:cs="Times New Roman" w:eastAsia="Times New Roman" w:hAnsi="Times New Roman"/>
          <w:sz w:val="18"/>
          <w:szCs w:val="18"/>
          <w:color w:val="auto"/>
        </w:rPr>
        <w:t>4,330</w:t>
      </w:r>
    </w:p>
    <w:p>
      <w:pPr>
        <w:spacing w:after="0" w:line="36"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18"/>
          <w:szCs w:val="18"/>
          <w:color w:val="auto"/>
        </w:rPr>
        <w:t>6,127</w:t>
      </w:r>
      <w:r>
        <w:rPr>
          <w:sz w:val="20"/>
          <w:szCs w:val="20"/>
          <w:color w:val="auto"/>
        </w:rPr>
        <w:tab/>
      </w:r>
      <w:r>
        <w:rPr>
          <w:rFonts w:ascii="Times New Roman" w:cs="Times New Roman" w:eastAsia="Times New Roman" w:hAnsi="Times New Roman"/>
          <w:sz w:val="18"/>
          <w:szCs w:val="18"/>
          <w:color w:val="auto"/>
        </w:rPr>
        <w:t>6,498</w:t>
      </w:r>
    </w:p>
    <w:p>
      <w:pPr>
        <w:spacing w:after="0" w:line="36" w:lineRule="exact"/>
        <w:rPr>
          <w:sz w:val="20"/>
          <w:szCs w:val="20"/>
          <w:color w:val="auto"/>
        </w:rPr>
      </w:pPr>
    </w:p>
    <w:p>
      <w:pPr>
        <w:ind w:left="1960" w:hanging="1200"/>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2,695</w:t>
      </w:r>
    </w:p>
    <w:p>
      <w:pPr>
        <w:spacing w:after="0" w:line="3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(4,362)</w:t>
      </w:r>
      <w:r>
        <w:rPr>
          <w:rFonts w:ascii="Times New Roman" w:cs="Times New Roman" w:eastAsia="Times New Roman" w:hAnsi="Times New Roman"/>
          <w:sz w:val="17"/>
          <w:szCs w:val="17"/>
          <w:color w:val="auto"/>
        </w:rPr>
        <w:t>2,109</w:t>
      </w:r>
    </w:p>
    <w:p>
      <w:pPr>
        <w:spacing w:after="0" w:line="36"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486"/>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(8,816)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43"/>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r>
      <w:tr>
        <w:trPr>
          <w:trHeight w:val="243"/>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(11,899)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r>
      <w:tr>
        <w:trPr>
          <w:trHeight w:val="243"/>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(2,887)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r>
      <w:tr>
        <w:trPr>
          <w:trHeight w:val="243"/>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14,065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(26,978)</w:t>
            </w:r>
          </w:p>
        </w:tc>
      </w:tr>
      <w:tr>
        <w:trPr>
          <w:trHeight w:val="243"/>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(26,185)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w:t>
            </w:r>
          </w:p>
        </w:tc>
      </w:tr>
      <w:tr>
        <w:trPr>
          <w:trHeight w:val="243"/>
        </w:trPr>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35,320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r>
    </w:tbl>
    <w:p>
      <w:pPr>
        <w:spacing w:after="0" w:line="9" w:lineRule="exact"/>
        <w:rPr>
          <w:sz w:val="20"/>
          <w:szCs w:val="20"/>
          <w:color w:val="auto"/>
        </w:rPr>
      </w:pPr>
    </w:p>
    <w:p>
      <w:pPr>
        <w:ind w:left="1900" w:hanging="1200"/>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(1,382)</w:t>
      </w:r>
    </w:p>
    <w:p>
      <w:pPr>
        <w:spacing w:after="0" w:line="36"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(11,932)</w:t>
      </w:r>
      <w:r>
        <w:rPr>
          <w:rFonts w:ascii="Times New Roman" w:cs="Times New Roman" w:eastAsia="Times New Roman" w:hAnsi="Times New Roman"/>
          <w:sz w:val="17"/>
          <w:szCs w:val="17"/>
          <w:color w:val="auto"/>
        </w:rPr>
        <w:t>(12,948)</w:t>
      </w:r>
    </w:p>
    <w:p>
      <w:pPr>
        <w:spacing w:after="0" w:line="4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7,591</w:t>
      </w:r>
      <w:r>
        <w:rPr>
          <w:rFonts w:ascii="Times New Roman" w:cs="Times New Roman" w:eastAsia="Times New Roman" w:hAnsi="Times New Roman"/>
          <w:sz w:val="17"/>
          <w:szCs w:val="17"/>
          <w:color w:val="auto"/>
        </w:rPr>
        <w:t>49,955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1577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55,933</w:t>
      </w:r>
      <w:r>
        <w:rPr>
          <w:sz w:val="20"/>
          <w:szCs w:val="20"/>
          <w:color w:val="auto"/>
        </w:rPr>
        <w:tab/>
      </w:r>
      <w:r>
        <w:rPr>
          <w:rFonts w:ascii="Times New Roman" w:cs="Times New Roman" w:eastAsia="Times New Roman" w:hAnsi="Times New Roman"/>
          <w:sz w:val="18"/>
          <w:szCs w:val="18"/>
          <w:color w:val="auto"/>
        </w:rPr>
        <w:t>2,842</w:t>
      </w:r>
    </w:p>
    <w:p>
      <w:pPr>
        <w:spacing w:after="0" w:line="36" w:lineRule="exact"/>
        <w:rPr>
          <w:sz w:val="20"/>
          <w:szCs w:val="20"/>
          <w:color w:val="auto"/>
        </w:rPr>
      </w:pPr>
    </w:p>
    <w:p>
      <w:pPr>
        <w:jc w:val="both"/>
        <w:ind w:left="560"/>
        <w:spacing w:after="0"/>
        <w:tabs>
          <w:tab w:leader="none" w:pos="1800" w:val="left"/>
        </w:tabs>
        <w:rPr>
          <w:sz w:val="20"/>
          <w:szCs w:val="20"/>
          <w:color w:val="auto"/>
        </w:rPr>
      </w:pPr>
      <w:r>
        <w:rPr>
          <w:rFonts w:ascii="Times New Roman" w:cs="Times New Roman" w:eastAsia="Times New Roman" w:hAnsi="Times New Roman"/>
          <w:sz w:val="18"/>
          <w:szCs w:val="18"/>
          <w:color w:val="auto"/>
        </w:rPr>
        <w:t>(5,369)</w:t>
      </w:r>
      <w:r>
        <w:rPr>
          <w:sz w:val="20"/>
          <w:szCs w:val="20"/>
          <w:color w:val="auto"/>
        </w:rPr>
        <w:tab/>
      </w:r>
      <w:r>
        <w:rPr>
          <w:rFonts w:ascii="Times New Roman" w:cs="Times New Roman" w:eastAsia="Times New Roman" w:hAnsi="Times New Roman"/>
          <w:sz w:val="18"/>
          <w:szCs w:val="18"/>
          <w:color w:val="auto"/>
        </w:rPr>
        <w:t>(11,412)</w:t>
      </w:r>
    </w:p>
    <w:p>
      <w:pPr>
        <w:spacing w:after="0" w:line="36" w:lineRule="exact"/>
        <w:rPr>
          <w:sz w:val="20"/>
          <w:szCs w:val="20"/>
          <w:color w:val="auto"/>
        </w:rPr>
      </w:pPr>
    </w:p>
    <w:p>
      <w:pPr>
        <w:ind w:left="2180" w:hanging="1330"/>
        <w:spacing w:after="0"/>
        <w:tabs>
          <w:tab w:leader="none" w:pos="2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960" w:hanging="1200"/>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577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both"/>
        <w:ind w:left="540"/>
        <w:spacing w:after="0"/>
        <w:tabs>
          <w:tab w:leader="none" w:pos="1880" w:val="left"/>
        </w:tabs>
        <w:rPr>
          <w:sz w:val="20"/>
          <w:szCs w:val="20"/>
          <w:color w:val="auto"/>
        </w:rPr>
      </w:pPr>
      <w:r>
        <w:rPr>
          <w:rFonts w:ascii="Times New Roman" w:cs="Times New Roman" w:eastAsia="Times New Roman" w:hAnsi="Times New Roman"/>
          <w:sz w:val="18"/>
          <w:szCs w:val="18"/>
          <w:color w:val="auto"/>
        </w:rPr>
        <w:t>50,949</w:t>
      </w:r>
      <w:r>
        <w:rPr>
          <w:sz w:val="20"/>
          <w:szCs w:val="20"/>
          <w:color w:val="auto"/>
        </w:rPr>
        <w:tab/>
      </w:r>
      <w:r>
        <w:rPr>
          <w:rFonts w:ascii="Times New Roman" w:cs="Times New Roman" w:eastAsia="Times New Roman" w:hAnsi="Times New Roman"/>
          <w:sz w:val="18"/>
          <w:szCs w:val="18"/>
          <w:color w:val="auto"/>
        </w:rPr>
        <w:t>(5,806)</w:t>
      </w:r>
    </w:p>
    <w:p>
      <w:pPr>
        <w:spacing w:after="0" w:line="200" w:lineRule="exact"/>
        <w:rPr>
          <w:sz w:val="20"/>
          <w:szCs w:val="20"/>
          <w:color w:val="auto"/>
        </w:rPr>
      </w:pPr>
    </w:p>
    <w:p>
      <w:pPr>
        <w:spacing w:after="0" w:line="3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460,000</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(475,000)</w:t>
      </w:r>
    </w:p>
    <w:p>
      <w:pPr>
        <w:spacing w:after="0" w:line="36" w:lineRule="exact"/>
        <w:rPr>
          <w:sz w:val="20"/>
          <w:szCs w:val="20"/>
          <w:color w:val="auto"/>
        </w:rPr>
      </w:pPr>
    </w:p>
    <w:p>
      <w:pPr>
        <w:ind w:left="1960" w:hanging="1200"/>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2,238</w:t>
      </w:r>
    </w:p>
    <w:p>
      <w:pPr>
        <w:spacing w:after="0" w:line="36"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389,419</w:t>
      </w:r>
    </w:p>
    <w:p>
      <w:pPr>
        <w:spacing w:after="0" w:line="36"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45,349</w:t>
      </w:r>
    </w:p>
    <w:p>
      <w:pPr>
        <w:spacing w:after="0" w:line="36"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(84,139)</w:t>
      </w:r>
    </w:p>
    <w:p>
      <w:pPr>
        <w:spacing w:after="0" w:line="36" w:lineRule="exact"/>
        <w:rPr>
          <w:sz w:val="20"/>
          <w:szCs w:val="20"/>
          <w:color w:val="auto"/>
        </w:rPr>
      </w:pPr>
    </w:p>
    <w:p>
      <w:pPr>
        <w:ind w:left="480"/>
        <w:spacing w:after="0"/>
        <w:tabs>
          <w:tab w:leader="none" w:pos="2160" w:val="left"/>
        </w:tabs>
        <w:rPr>
          <w:sz w:val="20"/>
          <w:szCs w:val="20"/>
          <w:color w:val="auto"/>
        </w:rPr>
      </w:pPr>
      <w:r>
        <w:rPr>
          <w:rFonts w:ascii="Times New Roman" w:cs="Times New Roman" w:eastAsia="Times New Roman" w:hAnsi="Times New Roman"/>
          <w:sz w:val="18"/>
          <w:szCs w:val="18"/>
          <w:color w:val="auto"/>
        </w:rPr>
        <w:t>(16,972)</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820" w:hanging="1120"/>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(11,722)</w:t>
      </w:r>
    </w:p>
    <w:p>
      <w:pPr>
        <w:spacing w:after="0" w:line="36" w:lineRule="exact"/>
        <w:rPr>
          <w:sz w:val="20"/>
          <w:szCs w:val="20"/>
          <w:color w:val="auto"/>
        </w:rPr>
      </w:pPr>
    </w:p>
    <w:p>
      <w:pPr>
        <w:ind w:left="1900" w:hanging="1200"/>
        <w:spacing w:after="0"/>
        <w:tabs>
          <w:tab w:leader="none" w:pos="1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5773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760" w:val="left"/>
        </w:tabs>
        <w:rPr>
          <w:sz w:val="20"/>
          <w:szCs w:val="20"/>
          <w:color w:val="auto"/>
        </w:rPr>
      </w:pPr>
      <w:r>
        <w:rPr>
          <w:rFonts w:ascii="Times New Roman" w:cs="Times New Roman" w:eastAsia="Times New Roman" w:hAnsi="Times New Roman"/>
          <w:sz w:val="18"/>
          <w:szCs w:val="18"/>
          <w:color w:val="auto"/>
        </w:rPr>
        <w:t>(17,105)</w:t>
      </w:r>
      <w:r>
        <w:rPr>
          <w:sz w:val="20"/>
          <w:szCs w:val="20"/>
          <w:color w:val="auto"/>
        </w:rPr>
        <w:tab/>
      </w:r>
      <w:r>
        <w:rPr>
          <w:rFonts w:ascii="Times New Roman" w:cs="Times New Roman" w:eastAsia="Times New Roman" w:hAnsi="Times New Roman"/>
          <w:sz w:val="18"/>
          <w:szCs w:val="18"/>
          <w:color w:val="auto"/>
        </w:rPr>
        <w:t>324,581</w:t>
      </w:r>
    </w:p>
    <w:p>
      <w:pPr>
        <w:spacing w:after="0" w:line="279" w:lineRule="exact"/>
        <w:rPr>
          <w:sz w:val="20"/>
          <w:szCs w:val="20"/>
          <w:color w:val="auto"/>
        </w:rPr>
      </w:pPr>
    </w:p>
    <w:p>
      <w:pPr>
        <w:ind w:left="1900" w:hanging="1110"/>
        <w:spacing w:after="0"/>
        <w:tabs>
          <w:tab w:leader="none" w:pos="1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w:t>
      </w:r>
    </w:p>
    <w:p>
      <w:pPr>
        <w:spacing w:after="0" w:line="4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41,418</w:t>
      </w:r>
      <w:r>
        <w:rPr>
          <w:rFonts w:ascii="Times New Roman" w:cs="Times New Roman" w:eastAsia="Times New Roman" w:hAnsi="Times New Roman"/>
          <w:sz w:val="17"/>
          <w:szCs w:val="17"/>
          <w:color w:val="auto"/>
        </w:rPr>
        <w:t>367,659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1577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162,579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206,933</w:t>
            </w:r>
          </w:p>
        </w:tc>
      </w:tr>
      <w:tr>
        <w:trPr>
          <w:trHeight w:val="239"/>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203,997</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574,592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100" w:space="60"/>
            <w:col w:w="3979"/>
          </w:cols>
          <w:pgMar w:left="320" w:top="131" w:right="1440"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7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i w:val="1"/>
          <w:iCs w:val="1"/>
          <w:u w:val="single" w:color="auto"/>
          <w:color w:val="auto"/>
        </w:rPr>
        <w:t>Non-GAAP operating expenses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non-GAAP operating income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non-GAAP operating expenses as operating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excluding certain expenses related to the amortization of intangible assets, restructuring, loss on sale of business, and acquisition and integration. We define non-GAAP operating income as operating income excluding the expenses related to the amortization of intangible assets, restructuring, loss on sale of business,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 w:name="page13"/>
    <w:bookmarkEnd w:id="12"/>
    <w:p>
      <w:pPr>
        <w:ind w:right="20"/>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(loss) attributable to Itron,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 excluding the expenses associated with amortization of intangible assets, amortization of debt placement fees, debt extinguishment, restructuring, loss on sale of business,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adjusted EBITDA as net income (loss) (a) minus interest income, (b) plus interest expense,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depreciation and amortization, debt extinguishment, restructuring, loss on sale of business,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7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 w:name="page14"/>
    <w:bookmarkEnd w:id="13"/>
    <w:p>
      <w:pPr>
        <w:jc w:val="center"/>
        <w:ind w:right="215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6" w:lineRule="exact"/>
        <w:rPr>
          <w:sz w:val="20"/>
          <w:szCs w:val="20"/>
          <w:color w:val="auto"/>
        </w:rPr>
      </w:pPr>
    </w:p>
    <w:p>
      <w:pPr>
        <w:jc w:val="center"/>
        <w:ind w:right="2159"/>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36" w:lineRule="exact"/>
        <w:rPr>
          <w:sz w:val="20"/>
          <w:szCs w:val="20"/>
          <w:color w:val="auto"/>
        </w:rPr>
      </w:pPr>
    </w:p>
    <w:p>
      <w:pPr>
        <w:jc w:val="center"/>
        <w:ind w:right="2159"/>
        <w:spacing w:after="0"/>
        <w:rPr>
          <w:sz w:val="20"/>
          <w:szCs w:val="20"/>
          <w:color w:val="auto"/>
        </w:rPr>
      </w:pPr>
      <w:r>
        <w:rPr>
          <w:rFonts w:ascii="Times New Roman" w:cs="Times New Roman" w:eastAsia="Times New Roman" w:hAnsi="Times New Roman"/>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9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8"/>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5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GAAP operating expenses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128,405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136,104</w:t>
            </w:r>
          </w:p>
        </w:tc>
      </w:tr>
      <w:tr>
        <w:trPr>
          <w:trHeight w:val="243"/>
        </w:trPr>
        <w:tc>
          <w:tcPr>
            <w:tcW w:w="5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(6,553)</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w:t>
            </w:r>
          </w:p>
        </w:tc>
      </w:tr>
      <w:tr>
        <w:trPr>
          <w:trHeight w:val="243"/>
        </w:trPr>
        <w:tc>
          <w:tcPr>
            <w:tcW w:w="5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6,366</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5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57"/>
        </w:trPr>
        <w:tc>
          <w:tcPr>
            <w:tcW w:w="5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r>
      <w:tr>
        <w:trPr>
          <w:trHeight w:val="237"/>
        </w:trPr>
        <w:tc>
          <w:tcPr>
            <w:tcW w:w="5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125,935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128,096</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1" w:right="1440" w:bottom="224" w:gutter="0" w:footer="0" w:header="0"/>
        </w:sectPr>
      </w:pP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NON-GAAP OPERATING INCOME</w:t>
      </w:r>
    </w:p>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GAAP operating income</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Restructuring</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Loss on sale of business</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Acquisition and integration</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operating income</w:t>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NON-GAAP NET INCOME &amp; DILUTED EPS</w:t>
      </w:r>
    </w:p>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GAAP net income attributable to Itron, Inc.</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Amortization of debt placement fees</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Debt extinguishment</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Restructuring</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Loss on sale of business</w:t>
      </w:r>
    </w:p>
    <w:p>
      <w:pPr>
        <w:spacing w:after="0" w:line="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Acquisition and integration</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Income tax effect of non-GAAP adjustments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net income attributable to Itron, Inc.</w:t>
      </w:r>
    </w:p>
    <w:p>
      <w:pPr>
        <w:spacing w:after="0" w:line="3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diluted EPS</w:t>
      </w:r>
    </w:p>
    <w:p>
      <w:pPr>
        <w:spacing w:after="0" w:line="3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Non-GAAP weighted average common shares outstanding - Diluted</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30,940</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6,553</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8,973</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2,221</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r>
      <w:tr>
        <w:trPr>
          <w:trHeight w:val="250"/>
        </w:trPr>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9"/>
        </w:trPr>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9,289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38,948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0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12,603</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6,553</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8,973</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796</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2,652</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2,221</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50"/>
        </w:trPr>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999</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9"/>
        </w:trPr>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5,171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21,947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64"/>
        </w:trPr>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67"/>
        </w:trPr>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45,240</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0" w:space="40"/>
            <w:col w:w="4639"/>
          </w:cols>
          <w:pgMar w:left="320" w:top="131" w:right="1440" w:bottom="224" w:gutter="0" w:footer="0" w:header="0"/>
          <w:type w:val="continuous"/>
        </w:sectPr>
      </w:pPr>
    </w:p>
    <w:p>
      <w:pPr>
        <w:spacing w:after="0" w:line="3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GAAP net income attributable to Itron, Inc.</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12,603</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1,592</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10,475</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3,859</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Debt extinguishment</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16,837</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21,810</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2,221</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56"/>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6"/>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18,894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49,723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7,591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49,955</w:t>
            </w:r>
          </w:p>
        </w:tc>
        <w:tc>
          <w:tcPr>
            <w:tcW w:w="0" w:type="dxa"/>
            <w:vAlign w:val="bottom"/>
          </w:tcPr>
          <w:p>
            <w:pPr>
              <w:spacing w:after="0"/>
              <w:rPr>
                <w:sz w:val="1"/>
                <w:szCs w:val="1"/>
                <w:color w:val="auto"/>
              </w:rPr>
            </w:pPr>
          </w:p>
        </w:tc>
      </w:tr>
      <w:tr>
        <w:trPr>
          <w:trHeight w:val="257"/>
        </w:trPr>
        <w:tc>
          <w:tcPr>
            <w:tcW w:w="5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(5,369)</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0" w:type="dxa"/>
            <w:vAlign w:val="bottom"/>
          </w:tcPr>
          <w:p>
            <w:pPr>
              <w:spacing w:after="0"/>
              <w:rPr>
                <w:sz w:val="1"/>
                <w:szCs w:val="1"/>
                <w:color w:val="auto"/>
              </w:rPr>
            </w:pPr>
          </w:p>
        </w:tc>
      </w:tr>
      <w:tr>
        <w:trPr>
          <w:trHeight w:val="236"/>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2,222</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38,543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Kenneth P. Gianella</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(669) 770-4643</w:t>
      </w:r>
    </w:p>
    <w:p>
      <w:pPr>
        <w:sectPr>
          <w:pgSz w:w="11900" w:h="16838" w:orient="portrait"/>
          <w:cols w:equalWidth="0" w:num="1">
            <w:col w:w="10139"/>
          </w:cols>
          <w:pgMar w:left="320" w:top="131" w:right="1440" w:bottom="22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David Means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spacing w:after="0"/>
        <w:rPr>
          <w:sz w:val="20"/>
          <w:szCs w:val="20"/>
          <w:color w:val="auto"/>
        </w:rPr>
      </w:pPr>
      <w:r>
        <w:rPr>
          <w:rFonts w:ascii="Times New Roman" w:cs="Times New Roman" w:eastAsia="Times New Roman" w:hAnsi="Times New Roman"/>
          <w:sz w:val="22"/>
          <w:szCs w:val="22"/>
          <w:color w:val="auto"/>
        </w:rPr>
        <w:t>(737) 242-8448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Rebecca Hussey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Manager, Investor Relations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 891-3574</w:t>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04"/>
    </w:lvl>
  </w:abstractNum>
  <w:abstractNum w:abstractNumId="3">
    <w:nsid w:val="7545E146"/>
    <w:multiLevelType w:val="hybridMultilevel"/>
    <w:lvl w:ilvl="0">
      <w:lvlJc w:val="left"/>
      <w:lvlText w:val="%1"/>
      <w:numFmt w:val="decimal"/>
      <w:start w:val="839"/>
    </w:lvl>
  </w:abstractNum>
  <w:abstractNum w:abstractNumId="4">
    <w:nsid w:val="515F007C"/>
    <w:multiLevelType w:val="hybridMultilevel"/>
    <w:lvl w:ilvl="0">
      <w:lvlJc w:val="left"/>
      <w:lvlText w:val="(%1)"/>
      <w:numFmt w:val="decimal"/>
      <w:start w:val="928"/>
    </w:lvl>
  </w:abstractNum>
  <w:abstractNum w:abstractNumId="5">
    <w:nsid w:val="5BD062C2"/>
    <w:multiLevelType w:val="hybridMultilevel"/>
    <w:lvl w:ilvl="0">
      <w:lvlJc w:val="left"/>
      <w:lvlText w:val="%1"/>
      <w:numFmt w:val="decimal"/>
      <w:start w:val="23"/>
    </w:lvl>
  </w:abstractNum>
  <w:abstractNum w:abstractNumId="6">
    <w:nsid w:val="12200854"/>
    <w:multiLevelType w:val="hybridMultilevel"/>
    <w:lvl w:ilvl="0">
      <w:lvlJc w:val="left"/>
      <w:lvlText w:val="%1"/>
      <w:numFmt w:val="decimal"/>
      <w:start w:val="362"/>
    </w:lvl>
  </w:abstractNum>
  <w:abstractNum w:abstractNumId="7">
    <w:nsid w:val="4DB127F8"/>
    <w:multiLevelType w:val="hybridMultilevel"/>
    <w:lvl w:ilvl="0">
      <w:lvlJc w:val="left"/>
      <w:lvlText w:val="\emdash "/>
      <w:numFmt w:val="bullet"/>
      <w:start w:val="1"/>
    </w:lvl>
  </w:abstractNum>
  <w:abstractNum w:abstractNumId="8">
    <w:nsid w:val="216231B"/>
    <w:multiLevelType w:val="hybridMultilevel"/>
    <w:lvl w:ilvl="0">
      <w:lvlJc w:val="left"/>
      <w:lvlText w:val="%1"/>
      <w:numFmt w:val="decimal"/>
      <w:start w:val="784"/>
    </w:lvl>
  </w:abstractNum>
  <w:abstractNum w:abstractNumId="9">
    <w:nsid w:val="1F16E9E8"/>
    <w:multiLevelType w:val="hybridMultilevel"/>
    <w:lvl w:ilvl="0">
      <w:lvlJc w:val="left"/>
      <w:lvlText w:val="(%1)"/>
      <w:numFmt w:val="decimal"/>
      <w:start w:val="695"/>
    </w:lvl>
  </w:abstractNum>
  <w:abstractNum w:abstractNumId="10">
    <w:nsid w:val="1190CDE7"/>
    <w:multiLevelType w:val="hybridMultilevel"/>
    <w:lvl w:ilvl="0">
      <w:lvlJc w:val="left"/>
      <w:lvlText w:val="(%1)"/>
      <w:numFmt w:val="decimal"/>
      <w:start w:val="222"/>
    </w:lvl>
  </w:abstractNum>
  <w:abstractNum w:abstractNumId="11">
    <w:nsid w:val="66EF438D"/>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2022-05-02T07:37:32Z</dcterms:created>
  <dcterms:modified xsi:type="dcterms:W3CDTF">2022-05-02T07:37:32Z</dcterms:modified>
</cp:coreProperties>
</file>