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637540</wp:posOffset>
            </wp:positionV>
            <wp:extent cx="70580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1714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73" w:lineRule="exact"/>
        <w:rPr>
          <w:sz w:val="24"/>
          <w:szCs w:val="24"/>
          <w:color w:val="auto"/>
        </w:rPr>
      </w:pPr>
    </w:p>
    <w:p>
      <w:pPr>
        <w:ind w:left="660" w:right="1540" w:hanging="625"/>
        <w:spacing w:after="0" w:line="318" w:lineRule="auto"/>
        <w:tabs>
          <w:tab w:leader="none" w:pos="7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2015</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1051"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ectPr>
          <w:pgSz w:w="11900" w:h="16838" w:orient="portrait"/>
          <w:cols w:equalWidth="0" w:num="1">
            <w:col w:w="11420"/>
          </w:cols>
          <w:pgMar w:left="240" w:top="1051"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ectPr>
          <w:pgSz w:w="11900" w:h="16838" w:orient="portrait"/>
          <w:cols w:equalWidth="0" w:num="1">
            <w:col w:w="11420"/>
          </w:cols>
          <w:pgMar w:left="240" w:top="1051"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420"/>
          </w:cols>
          <w:pgMar w:left="240" w:top="1051" w:right="239" w:bottom="1440" w:gutter="0" w:footer="0" w:header="0"/>
          <w:type w:val="continuous"/>
        </w:sectPr>
      </w:pPr>
    </w:p>
    <w:p>
      <w:pPr>
        <w:spacing w:after="0" w:line="337"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75" w:lineRule="exact"/>
        <w:rPr>
          <w:sz w:val="24"/>
          <w:szCs w:val="24"/>
          <w:color w:val="auto"/>
        </w:rPr>
      </w:pPr>
    </w:p>
    <w:p>
      <w:pPr>
        <w:sectPr>
          <w:pgSz w:w="11900" w:h="16838" w:orient="portrait"/>
          <w:cols w:equalWidth="0" w:num="2">
            <w:col w:w="7440" w:space="720"/>
            <w:col w:w="3260"/>
          </w:cols>
          <w:pgMar w:left="240" w:top="1051" w:right="23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198" w:lineRule="exact"/>
        <w:rPr>
          <w:sz w:val="24"/>
          <w:szCs w:val="24"/>
          <w:color w:val="auto"/>
        </w:rPr>
      </w:pPr>
    </w:p>
    <w:p>
      <w:pPr>
        <w:sectPr>
          <w:pgSz w:w="11900" w:h="16838" w:orient="portrait"/>
          <w:cols w:equalWidth="0" w:num="2">
            <w:col w:w="6300" w:space="720"/>
            <w:col w:w="4400"/>
          </w:cols>
          <w:pgMar w:left="240" w:top="1051"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Large accelerated filer</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Non-accelerated filer</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vMerge w:val="restart"/>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12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April 30, 2015 there were outstanding 38,450,736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148590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62865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51"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 </w:t>
      </w:r>
      <w:hyperlink w:anchor="page3">
        <w:r>
          <w:rPr>
            <w:rFonts w:ascii="Times New Roman" w:cs="Times New Roman" w:eastAsia="Times New Roman" w:hAnsi="Times New Roman"/>
            <w:sz w:val="18"/>
            <w:szCs w:val="18"/>
            <w:u w:val="single" w:color="auto"/>
            <w:color w:val="0000EE"/>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Statements of Operations</w:t>
        </w:r>
      </w:hyperlink>
    </w:p>
    <w:p>
      <w:pPr>
        <w:spacing w:after="0" w:line="306"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Statements of Comprehensive Income (Loss)</w:t>
        </w:r>
      </w:hyperlink>
    </w:p>
    <w:p>
      <w:pPr>
        <w:spacing w:after="0" w:line="306"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Balance Sheets</w:t>
        </w:r>
      </w:hyperlink>
    </w:p>
    <w:p>
      <w:pPr>
        <w:spacing w:after="0" w:line="306"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Statements of Cash Flows</w:t>
        </w:r>
      </w:hyperlink>
    </w:p>
    <w:p>
      <w:pPr>
        <w:spacing w:after="0" w:line="306"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Item 2: </w:t>
      </w:r>
      <w:hyperlink w:anchor="page34">
        <w:r>
          <w:rPr>
            <w:rFonts w:ascii="Times New Roman" w:cs="Times New Roman" w:eastAsia="Times New Roman" w:hAnsi="Times New Roman"/>
            <w:sz w:val="17"/>
            <w:szCs w:val="17"/>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388"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51">
        <w:r>
          <w:rPr>
            <w:rFonts w:ascii="Times New Roman" w:cs="Times New Roman" w:eastAsia="Times New Roman" w:hAnsi="Times New Roman"/>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4: </w:t>
      </w:r>
      <w:hyperlink w:anchor="page52">
        <w:r>
          <w:rPr>
            <w:rFonts w:ascii="Times New Roman" w:cs="Times New Roman" w:eastAsia="Times New Roman" w:hAnsi="Times New Roman"/>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Times New Roman" w:cs="Times New Roman" w:eastAsia="Times New Roman" w:hAnsi="Times New Roman"/>
          <w:sz w:val="18"/>
          <w:szCs w:val="18"/>
          <w:b w:val="1"/>
          <w:bCs w:val="1"/>
          <w:u w:val="single" w:color="auto"/>
          <w:color w:val="0000EE"/>
        </w:rPr>
      </w:pPr>
      <w:hyperlink w:anchor="page53">
        <w:r>
          <w:rPr>
            <w:rFonts w:ascii="Times New Roman" w:cs="Times New Roman" w:eastAsia="Times New Roman" w:hAnsi="Times New Roman"/>
            <w:sz w:val="18"/>
            <w:szCs w:val="18"/>
            <w:b w:val="1"/>
            <w:bCs w:val="1"/>
            <w:u w:val="single" w:color="auto"/>
            <w:color w:val="0000EE"/>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 </w:t>
      </w:r>
      <w:hyperlink w:anchor="page54">
        <w:r>
          <w:rPr>
            <w:rFonts w:ascii="Times New Roman" w:cs="Times New Roman" w:eastAsia="Times New Roman" w:hAnsi="Times New Roman"/>
            <w:sz w:val="18"/>
            <w:szCs w:val="18"/>
            <w:u w:val="single" w:color="auto"/>
            <w:color w:val="0000EE"/>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1A: </w:t>
      </w:r>
      <w:hyperlink w:anchor="page54">
        <w:r>
          <w:rPr>
            <w:rFonts w:ascii="Times New Roman" w:cs="Times New Roman" w:eastAsia="Times New Roman" w:hAnsi="Times New Roman"/>
            <w:sz w:val="18"/>
            <w:szCs w:val="18"/>
            <w:u w:val="single" w:color="auto"/>
            <w:color w:val="0000EE"/>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54">
        <w:r>
          <w:rPr>
            <w:rFonts w:ascii="Times New Roman" w:cs="Times New Roman" w:eastAsia="Times New Roman" w:hAnsi="Times New Roman"/>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5: </w:t>
      </w:r>
      <w:hyperlink w:anchor="page54">
        <w:r>
          <w:rPr>
            <w:rFonts w:ascii="Times New Roman" w:cs="Times New Roman" w:eastAsia="Times New Roman" w:hAnsi="Times New Roman"/>
            <w:sz w:val="18"/>
            <w:szCs w:val="18"/>
            <w:u w:val="single" w:color="auto"/>
            <w:color w:val="0000EE"/>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6: </w:t>
      </w:r>
      <w:hyperlink w:anchor="page55">
        <w:r>
          <w:rPr>
            <w:rFonts w:ascii="Times New Roman" w:cs="Times New Roman" w:eastAsia="Times New Roman" w:hAnsi="Times New Roman"/>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36830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1</w:t>
        </w:r>
      </w:hyperlink>
    </w:p>
    <w:p>
      <w:pPr>
        <w:spacing w:after="0" w:line="30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2</w:t>
        </w:r>
      </w:hyperlink>
    </w:p>
    <w:p>
      <w:pPr>
        <w:spacing w:after="0" w:line="30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3</w:t>
        </w:r>
      </w:hyperlink>
    </w:p>
    <w:p>
      <w:pPr>
        <w:spacing w:after="0" w:line="30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4</w:t>
        </w:r>
      </w:hyperlink>
    </w:p>
    <w:p>
      <w:pPr>
        <w:spacing w:after="0" w:line="30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33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50</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51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53</w:t>
        </w:r>
      </w:hyperlink>
    </w:p>
    <w:p>
      <w:pPr>
        <w:spacing w:after="0" w:line="200" w:lineRule="exact"/>
        <w:rPr>
          <w:sz w:val="20"/>
          <w:szCs w:val="20"/>
          <w:color w:val="auto"/>
        </w:rPr>
      </w:pPr>
    </w:p>
    <w:p>
      <w:pPr>
        <w:sectPr>
          <w:pgSz w:w="11900" w:h="16838" w:orient="portrait"/>
          <w:cols w:equalWidth="0" w:num="2">
            <w:col w:w="9880" w:space="720"/>
            <w:col w:w="540"/>
          </w:cols>
          <w:pgMar w:left="240" w:top="121" w:right="519" w:bottom="1440" w:gutter="0" w:footer="0" w:header="0"/>
        </w:sect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Times New Roman" w:cs="Times New Roman" w:eastAsia="Times New Roman" w:hAnsi="Times New Roman"/>
                <w:sz w:val="18"/>
                <w:szCs w:val="18"/>
                <w:b w:val="1"/>
                <w:bCs w:val="1"/>
                <w:color w:val="0000EE"/>
                <w:w w:val="97"/>
              </w:rPr>
            </w:pPr>
            <w:hyperlink w:anchor="page55">
              <w:r>
                <w:rPr>
                  <w:rFonts w:ascii="Times New Roman" w:cs="Times New Roman" w:eastAsia="Times New Roman" w:hAnsi="Times New Roman"/>
                  <w:sz w:val="18"/>
                  <w:szCs w:val="18"/>
                  <w:b w:val="1"/>
                  <w:bCs w:val="1"/>
                  <w:color w:val="0000EE"/>
                  <w:w w:val="97"/>
                </w:rPr>
                <w:t>SIGNATURE</w:t>
              </w:r>
            </w:hyperlink>
          </w:p>
        </w:tc>
        <w:tc>
          <w:tcPr>
            <w:tcW w:w="10040" w:type="dxa"/>
            <w:vAlign w:val="bottom"/>
            <w:gridSpan w:val="2"/>
          </w:tcPr>
          <w:p>
            <w:pPr>
              <w:jc w:val="right"/>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54</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40" w:top="121" w:right="51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76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7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76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448,247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474,795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310,048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320,260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138,199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154,535</w:t>
            </w: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Product development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44,409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40,407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business acquisition-related intangible assets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expense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Goodwill impairment</w:t>
            </w:r>
          </w:p>
        </w:tc>
        <w:tc>
          <w:tcPr>
            <w:tcW w:w="1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124,660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149,996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0" w:type="dxa"/>
            <w:vAlign w:val="bottom"/>
          </w:tcPr>
          <w:p>
            <w:pPr>
              <w:spacing w:after="0"/>
              <w:rPr>
                <w:sz w:val="1"/>
                <w:szCs w:val="1"/>
                <w:color w:val="auto"/>
              </w:rPr>
            </w:pPr>
          </w:p>
        </w:tc>
      </w:tr>
      <w:tr>
        <w:trPr>
          <w:trHeight w:val="291"/>
        </w:trPr>
        <w:tc>
          <w:tcPr>
            <w:tcW w:w="76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Itron, Inc.</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 - Basic</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 - Diluted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7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38,758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39,235</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43"/>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derivative instruments, designated as cash flow hedges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hedging loss (gain) reclassified into 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plan benefit liability adjustment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March 31, 2015</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266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112,371</w:t>
            </w:r>
          </w:p>
        </w:tc>
      </w:tr>
      <w:tr>
        <w:trPr>
          <w:trHeight w:val="243"/>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324,706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348,389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154,504</w:t>
            </w:r>
          </w:p>
        </w:tc>
      </w:tr>
      <w:tr>
        <w:trPr>
          <w:trHeight w:val="243"/>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tax assets current,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39,115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104,307</w:t>
            </w:r>
          </w:p>
        </w:tc>
      </w:tr>
      <w:tr>
        <w:trPr>
          <w:trHeight w:val="237"/>
        </w:trPr>
        <w:tc>
          <w:tcPr>
            <w:tcW w:w="39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758,419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758,686</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192,781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207,789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74,598</w:t>
            </w: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122,431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139,909</w:t>
            </w: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462,718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500,820</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8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1,639,218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1,710,305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1280" w:type="dxa"/>
            <w:vAlign w:val="bottom"/>
          </w:tcPr>
          <w:p>
            <w:pPr>
              <w:spacing w:after="0"/>
              <w:rPr>
                <w:sz w:val="24"/>
                <w:szCs w:val="24"/>
                <w:color w:val="auto"/>
              </w:rPr>
            </w:pPr>
          </w:p>
        </w:tc>
        <w:tc>
          <w:tcPr>
            <w:tcW w:w="6000" w:type="dxa"/>
            <w:vAlign w:val="bottom"/>
            <w:gridSpan w:val="3"/>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3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184,132</w:t>
            </w:r>
          </w:p>
        </w:tc>
      </w:tr>
      <w:tr>
        <w:trPr>
          <w:trHeight w:val="243"/>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100,945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95,248</w:t>
            </w:r>
          </w:p>
        </w:tc>
      </w:tr>
      <w:tr>
        <w:trPr>
          <w:trHeight w:val="243"/>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Taxes payable</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21,951</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21,063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Unearned revenue</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43,436</w:t>
            </w:r>
          </w:p>
        </w:tc>
      </w:tr>
      <w:tr>
        <w:trPr>
          <w:trHeight w:val="237"/>
        </w:trPr>
        <w:tc>
          <w:tcPr>
            <w:tcW w:w="39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478,711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496,775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331,310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293,969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warranty</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15,403</w:t>
            </w: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Pension plan benefit liability</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101,432</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3,808</w:t>
            </w: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84,437</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992,321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995,824</w:t>
            </w: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Preferred stock</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1,257,796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1,270,045</w:t>
            </w:r>
          </w:p>
        </w:tc>
      </w:tr>
      <w:tr>
        <w:trPr>
          <w:trHeight w:val="243"/>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(136,514)</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(436,591)</w:t>
            </w:r>
          </w:p>
        </w:tc>
      </w:tr>
      <w:tr>
        <w:trPr>
          <w:trHeight w:val="237"/>
        </w:trPr>
        <w:tc>
          <w:tcPr>
            <w:tcW w:w="39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628,901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696,940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17,541</w:t>
            </w:r>
          </w:p>
        </w:tc>
      </w:tr>
      <w:tr>
        <w:trPr>
          <w:trHeight w:val="237"/>
        </w:trPr>
        <w:tc>
          <w:tcPr>
            <w:tcW w:w="39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2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646,897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714,481</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3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1,639,218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1,710,305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13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8" w:right="239" w:bottom="113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22860</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spacing w:after="0"/>
              <w:rPr>
                <w:sz w:val="20"/>
                <w:szCs w:val="20"/>
                <w:color w:val="auto"/>
              </w:rPr>
            </w:pPr>
          </w:p>
        </w:tc>
      </w:tr>
      <w:tr>
        <w:trPr>
          <w:trHeight w:val="270"/>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25,592</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taxes,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Goodwill 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Restructuring expense, non-cash</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adjustments,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15,392</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other current liabilities, and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25,303</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16,441</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Warranty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66,761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investing,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r>
      <w:tr>
        <w:trPr>
          <w:trHeight w:val="230"/>
        </w:trPr>
        <w:tc>
          <w:tcPr>
            <w:tcW w:w="7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on debt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(30,625)</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financing,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(35,507)</w:t>
            </w:r>
          </w:p>
        </w:tc>
      </w:tr>
      <w:tr>
        <w:trPr>
          <w:trHeight w:val="230"/>
        </w:trPr>
        <w:tc>
          <w:tcPr>
            <w:tcW w:w="7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21,522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112,371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124,805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118,084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146,327</w:t>
            </w:r>
          </w:p>
        </w:tc>
      </w:tr>
      <w:tr>
        <w:trPr>
          <w:trHeight w:val="67"/>
        </w:trPr>
        <w:tc>
          <w:tcPr>
            <w:tcW w:w="79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10"/>
        </w:trPr>
        <w:tc>
          <w:tcPr>
            <w:tcW w:w="7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purchased but not yet paid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7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Supplemental disclosure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19,245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2,460</w:t>
            </w: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1" w:right="239" w:bottom="239"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239"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Washington in 1977. We provide a portfolio of products and services to utilities for the electricity, natural gas, and water markets throughout the world.</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months ended March 31, 2015 and 2014, the Consolidated Balance Sheets as of March 31, 2015 and December 31, 2014, and the Consolidated Statements of Cash Flows for the three months ended March 31, 2015 and 2014 of Itron, Inc. and its subsidiaries. All entries required for the fair presentation of the financial statements are of a normal recurring nature, except as disclosed.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2014 audited financial statements and notes included in our Annual Report on Form 10-K filed with the SEC on February 20, 2015. The results of operations for the three months ended March 31, 2015 are not necessarily indicative of the results expected for the full fiscal year or for any other fiscal period.</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are eliminated upon consolidation.</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instruments with remaining maturities of three months or less at the date of acquisition to be cash equivalents.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Doubtful Accounts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market using the first-in, first-out method. Cost includes raw materials and labor, plus applied direct and indirect costs.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Ineffective portions of cash flow hedges are recognized in other income (expense) in the Consolidated Statements of Operations.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Derivatives are not used for trading or speculative purposes. Our derivative contract counterparties are credit-worthy multinational commercial banks, with whom we have master netting agreements; however, our derivative positions are not recorded on a net basis in the Consolidated Balance Sheets. There are no credit-risk-related contingent features within our derivative instruments. Refer to Note 7 and Note 13 for further disclosures of our derivative instruments and their impact on OCI.</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Prepaid Debt Fees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Prepaid debt fees represent the capitalized direct costs incurred related to the issuance of debt and are recorded as noncurrent assets.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recorded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expensed.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 Cash payments for contingent or deferred consideration are classified within cash flows from investing activities within the Consolidated Statements of Cash Flows.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effective in the fourth quarter of 2013.</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Bonus and Profit Sharing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result in awards that are significantly greater or less than the estimates made in earlier quarters.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termination of a contract in accordance with the contract terms or the cessation of the use of the rights conveyed by the contract, whichever occurs later.</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expense in the Consolidated Statements of Operations.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Share Repurchase Plan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repurchase shares of common stock under programs authorized by our Board of Directors. Share repurchases are made in the open market or in privately negotiated transactions and in accordance with applicable securities laws. Under applicable Washington State law, shares repurchased are retired and not reported separately as treasury stock on the financial statements; the value of the repurchased shares is deducted from common stock.</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The majority of our revenue is recognized when products are shipped to or received by a customer or when services are provided.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Hardware revenues are recognized at the time of shipment, receipt by the customer, or, if applicable, upon completion of customer acceptance provisions.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network software revenue is recognized when shipped if all other revenue recognition criteria are met and services are not essential to the functionality of the software. If implementation services are essential to the functionality of the network software, software and implementation revenues are recognized using the percentage-of-completion methodology of contract accounting when project costs are reliably estimated.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data collection system does not use standard Internet protocols and network design services are deemed complex and extensive, revenue from network software and services is recognized using the units-of-delivery method of contract accounting, as network design services and network software are essential to the functionality of the related hardware (network). This methodology results in the deferral of costs and revenues as professional services and software implementation commence prior to deployment of hardware.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contract accounting, 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multiple deliverable software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Unearned revenue is recorded when a customer pays for products or services, but the criteria for revenue recognition have not been met as of the balance sheet date. Unearned revenues of $86.0 million and $76.6 million at March 31, 2015 and December 31, 2014 related primarily to professional services and software associated with our smart metering contracts, extended or noncustomary warranty, and prepaid post-contract support. Deferred costs are recorded for products or services for which ownership (typically defined as title and risk of loss) has transferred to the customer, but the criteria for revenue recognition have not been met as of the balance sheet date. Deferred costs were $20.9 million and $24.9 million at March 31, 2015 and December 31, 2014 and are recorded within other assets in the Consolidated Balance Sheets.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Product and Software Development Costs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and software development costs primarily include employee compensation and third party contracting fees. We do not capitalize product development costs, and we do not generally capitalize software development expenses as the costs incurred are immaterial for the relatively short period of time between technological feasibility and the completion of software development.</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For ESPP awards, the fair value is the difference between the market close price of our common stock on the date of purchase and the discounted purchase price. The discount provided for ESPP purchases is 5% from the fair market value of the stock at the end of each fiscal quarter and is not considered compensatory. For performance-based restricted stock units and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compute our interim income tax provision through the use of an estimated annual effective tax rate (ETR) applied to year-to-date operating results and specific events that are discretely recognized as they occur. In calculating the estimated annual ETR, we analyze various factors, including the forecast mix of earnings in domestic and international jurisdictions, new or revised tax legislation and accounting pronouncements, tax credits, state income taxes, adjustments to valuation allowances, and uncertain tax positions, among other items.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based upon anticipated future tax consequences, in each of the jurisdictions in which we operate, attributable to: (1) the differences between the financial statement carrying amounts of existing assets and liabilities and their respective income tax bases; and</w:t>
      </w:r>
    </w:p>
    <w:p>
      <w:pPr>
        <w:jc w:val="both"/>
        <w:ind w:firstLine="8"/>
        <w:spacing w:after="0" w:line="253" w:lineRule="auto"/>
        <w:tabs>
          <w:tab w:leader="none" w:pos="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jurisdictions to our tax positions. The effect on deferred tax assets and liabilities of a change in tax rates is recognized in the period that includes the enactment date. A valuation allowance is recorded to reduce the carrying amount of deferred tax assets if it is more likely than not that such assets will not be realized. We do not record tax liabilities on undistributed earnings of international subsidiaries that are permanently reinvested.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two step approach to account for uncertain tax positions. A tax position is first evaluated for recognition based on its technical merits. Tax positions that have a greater than 50%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recognition threshold or upon expiration of the statute of limitations. We classify interest expense and penalties related to uncertain tax positions and interest income on tax overpayments as part of income tax expense.</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Exchange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New Accounting Pronouncement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Topic 606 </w:t>
      </w:r>
      <w:r>
        <w:rPr>
          <w:rFonts w:ascii="Times New Roman" w:cs="Times New Roman" w:eastAsia="Times New Roman" w:hAnsi="Times New Roman"/>
          <w:sz w:val="18"/>
          <w:szCs w:val="18"/>
          <w:color w:val="auto"/>
        </w:rPr>
        <w:t>(ASU 2014-09), to supersede nearly all existing revenue recognition guidance under U.S. GAAP. The core principle of ASU 2014-09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recognize revenues when promised goods or services are transferred to customers in an amount that reflects the consideration that is expected to be received for those goods or services. ASU 2014-09 is currently effective for us on January 1, 2017 using either the retrospective or modified-retrospective transition method. We are currently evaluating the impact of our pending adoption of ASU 2014-09 on our consolidated financial statements.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April 7,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xml:space="preserve"> (ASU 2015-03), which will require debt issuance costs to be presented in the balance sheet as a direct deduction from the associated debt liability. ASU 2015-03 is effective for us on January 1, 2016 using the retrospective or transition method. Early adoption is permitted, and we are currently evaluating the impact of our pending adoption of ASU 2015-03 on our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 and Capital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282"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33020</wp:posOffset>
            </wp:positionV>
            <wp:extent cx="2383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58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spacing w:after="0"/>
              <w:rPr>
                <w:sz w:val="18"/>
                <w:szCs w:val="18"/>
                <w:color w:val="auto"/>
              </w:rPr>
            </w:pPr>
          </w:p>
        </w:tc>
        <w:tc>
          <w:tcPr>
            <w:tcW w:w="31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58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common shareholders</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4,910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70"/>
        </w:trPr>
        <w:tc>
          <w:tcPr>
            <w:tcW w:w="7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38,442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39,235</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1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38,758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39,235</w:t>
            </w:r>
          </w:p>
        </w:tc>
      </w:tr>
      <w:tr>
        <w:trPr>
          <w:trHeight w:val="21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(loss) per common share - Basic</w:t>
            </w:r>
          </w:p>
        </w:tc>
        <w:tc>
          <w:tcPr>
            <w:tcW w:w="1180" w:type="dxa"/>
            <w:vAlign w:val="bottom"/>
            <w:tcBorders>
              <w:top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8"/>
                <w:szCs w:val="18"/>
                <w:color w:val="auto"/>
              </w:rPr>
            </w:pPr>
          </w:p>
        </w:tc>
        <w:tc>
          <w:tcPr>
            <w:tcW w:w="122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73"/>
        </w:trPr>
        <w:tc>
          <w:tcPr>
            <w:tcW w:w="7660" w:type="dxa"/>
            <w:vAlign w:val="bottom"/>
            <w:tcBorders>
              <w:bottom w:val="single" w:sz="8" w:color="CCEEFF"/>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r>
      <w:tr>
        <w:trPr>
          <w:trHeight w:val="242"/>
        </w:trPr>
        <w:tc>
          <w:tcPr>
            <w:tcW w:w="766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Earnings (loss) per common share - Diluted</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1.3 million stock-based awards were excluded from the calculation of diluted EPS for the three months ended March 31, 2015, and approximately 1.6 million stock-based awards were excluded from the calculation of diluted EPS for the three months ended March 31, 2014, because they were anti-dilutive. These stock-based awards could be dilutive in future periods.</w:t>
      </w:r>
    </w:p>
    <w:p>
      <w:pPr>
        <w:spacing w:after="0" w:line="200" w:lineRule="exact"/>
        <w:rPr>
          <w:sz w:val="20"/>
          <w:szCs w:val="20"/>
          <w:color w:val="auto"/>
        </w:rPr>
      </w:pPr>
    </w:p>
    <w:p>
      <w:pPr>
        <w:spacing w:after="0" w:line="25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tc>
        <w:tc>
          <w:tcPr>
            <w:tcW w:w="360" w:type="dxa"/>
            <w:vAlign w:val="bottom"/>
          </w:tcPr>
          <w:p>
            <w:pPr>
              <w:spacing w:after="0"/>
              <w:rPr>
                <w:sz w:val="20"/>
                <w:szCs w:val="20"/>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Trade receivables (net of allowance of $5,939 and $6,195)</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284,218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312,302</w:t>
            </w:r>
          </w:p>
        </w:tc>
      </w:tr>
      <w:tr>
        <w:trPr>
          <w:trHeight w:val="237"/>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Unbilled receivables</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40,488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36,087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324,706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348,389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2015 and December 31, 2014, $2.8 million and $4.7 million, respectively, were recorded within trade receivables as billed but not yet paid by customers, in accordance with contract retainage provisions. At March 31, 2015 and December 31, 2014, contract retainage amounts that were unbilled and classified as unbilled receivables were $3.3 million and $4.0 million, respectively. These contract retainage amounts within trade receivables and unbilled receivables are expected to be collected within the following 12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2015 and December 31, 2014, long-term unbilled receivables totaled $4.0 million and $4.3 million, respectively. These long-term unbilled receivables are classified within other long-term assets, as collection is not anticipated within the following 12 months. We had no long-term billed contract retainage receivables at March 31, 2015 and December 31, 2014.</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Allowance for doubtful accounts activity</w:t>
            </w:r>
          </w:p>
        </w:tc>
        <w:tc>
          <w:tcPr>
            <w:tcW w:w="520" w:type="dxa"/>
            <w:vAlign w:val="bottom"/>
          </w:tcPr>
          <w:p>
            <w:pPr>
              <w:spacing w:after="0"/>
              <w:rPr>
                <w:sz w:val="20"/>
                <w:szCs w:val="20"/>
                <w:color w:val="auto"/>
              </w:rPr>
            </w:pPr>
          </w:p>
        </w:tc>
        <w:tc>
          <w:tcPr>
            <w:tcW w:w="3920" w:type="dxa"/>
            <w:vAlign w:val="bottom"/>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7"/>
        </w:trPr>
        <w:tc>
          <w:tcPr>
            <w:tcW w:w="6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8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Beginning balance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6,195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8,368</w:t>
            </w:r>
          </w:p>
        </w:tc>
      </w:tr>
      <w:tr>
        <w:trPr>
          <w:trHeight w:val="237"/>
        </w:trPr>
        <w:tc>
          <w:tcPr>
            <w:tcW w:w="69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Provision for doubtful accounts, net</w:t>
            </w:r>
          </w:p>
        </w:tc>
        <w:tc>
          <w:tcPr>
            <w:tcW w:w="52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606</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Accounts written-off</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37"/>
        </w:trPr>
        <w:tc>
          <w:tcPr>
            <w:tcW w:w="69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6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Ending balance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8,758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Inventories</w:t>
            </w:r>
          </w:p>
        </w:tc>
        <w:tc>
          <w:tcPr>
            <w:tcW w:w="360" w:type="dxa"/>
            <w:vAlign w:val="bottom"/>
          </w:tcPr>
          <w:p>
            <w:pPr>
              <w:spacing w:after="0"/>
              <w:rPr>
                <w:sz w:val="20"/>
                <w:szCs w:val="20"/>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Materials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95,277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90,557</w:t>
            </w:r>
          </w:p>
        </w:tc>
      </w:tr>
      <w:tr>
        <w:trPr>
          <w:trHeight w:val="237"/>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Work in process</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8,991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63,510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54,956</w:t>
            </w:r>
          </w:p>
        </w:tc>
      </w:tr>
      <w:tr>
        <w:trPr>
          <w:trHeight w:val="21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inventories</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168,161</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154,504</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inventory levels may vary from period to period as a result of our factory scheduling and the timing of contract fulfillments, which may include the buildup of materials in preparation for customer orders or finished goods for shipment.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Consigned inventory is held at third-party locations; however, we retain title to the inventory until it is purchased by the third-party. Consigned inventory, consisting of raw materials and finished goods, was $3.1 million and $2.5 million at March 31, 2015 and December 31, 2014, respectively.</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360" w:type="dxa"/>
            <w:vAlign w:val="bottom"/>
          </w:tcPr>
          <w:p>
            <w:pPr>
              <w:spacing w:after="0"/>
              <w:rPr>
                <w:sz w:val="20"/>
                <w:szCs w:val="20"/>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Machinery and equipment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276,903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287,448</w:t>
            </w:r>
          </w:p>
        </w:tc>
      </w:tr>
      <w:tr>
        <w:trPr>
          <w:trHeight w:val="237"/>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Computers and software</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98,403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100,212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129,321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134,461</w:t>
            </w:r>
          </w:p>
        </w:tc>
      </w:tr>
      <w:tr>
        <w:trPr>
          <w:trHeight w:val="237"/>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Land</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20,793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21,186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22,691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21,007</w:t>
            </w:r>
          </w:p>
        </w:tc>
      </w:tr>
      <w:tr>
        <w:trPr>
          <w:trHeight w:val="21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cost</w:t>
            </w:r>
          </w:p>
        </w:tc>
        <w:tc>
          <w:tcPr>
            <w:tcW w:w="3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548,111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564,314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(356,525)</w:t>
            </w:r>
          </w:p>
        </w:tc>
      </w:tr>
      <w:tr>
        <w:trPr>
          <w:trHeight w:val="217"/>
        </w:trPr>
        <w:tc>
          <w:tcPr>
            <w:tcW w:w="67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192,781</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207,789</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of our international subsidiaries are recorded in their respective functional currency; therefore, the carrying amounts of these assets increase or decrease, with a corresponding change in accumulated OCI, due to changes in foreign currency exchange rates. In addition, depreciation expense is impacted by the fluctuations in foreign exchange rates.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Depreciation expense</w:t>
            </w:r>
          </w:p>
        </w:tc>
        <w:tc>
          <w:tcPr>
            <w:tcW w:w="520" w:type="dxa"/>
            <w:vAlign w:val="bottom"/>
          </w:tcPr>
          <w:p>
            <w:pPr>
              <w:spacing w:after="0"/>
              <w:rPr>
                <w:sz w:val="20"/>
                <w:szCs w:val="20"/>
                <w:color w:val="auto"/>
              </w:rPr>
            </w:pPr>
          </w:p>
        </w:tc>
        <w:tc>
          <w:tcPr>
            <w:tcW w:w="3920" w:type="dxa"/>
            <w:vAlign w:val="bottom"/>
            <w:gridSpan w:val="3"/>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7"/>
        </w:trPr>
        <w:tc>
          <w:tcPr>
            <w:tcW w:w="6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8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60" w:type="dxa"/>
            <w:vAlign w:val="bottom"/>
          </w:tcPr>
          <w:p>
            <w:pPr>
              <w:spacing w:after="0"/>
              <w:rPr>
                <w:sz w:val="20"/>
                <w:szCs w:val="20"/>
                <w:color w:val="auto"/>
              </w:rPr>
            </w:pPr>
          </w:p>
        </w:tc>
        <w:tc>
          <w:tcPr>
            <w:tcW w:w="148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8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expense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11,366</w:t>
            </w:r>
          </w:p>
        </w:tc>
        <w:tc>
          <w:tcPr>
            <w:tcW w:w="7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14,522</w:t>
            </w:r>
          </w:p>
        </w:tc>
      </w:tr>
      <w:tr>
        <w:trPr>
          <w:trHeight w:val="33"/>
        </w:trPr>
        <w:tc>
          <w:tcPr>
            <w:tcW w:w="6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tab/>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our intangible assets, other than goodwill,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 Assets</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405,434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45,934</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242,624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79,987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90,175</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64,624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3,300</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705,613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748,148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139,909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 activity is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8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intangible assets, gross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748,148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804,281</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Intangible assets impaired</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(42,038)</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intangible assets, gross</w:t>
            </w:r>
          </w:p>
        </w:tc>
        <w:tc>
          <w:tcPr>
            <w:tcW w:w="1500" w:type="dxa"/>
            <w:vAlign w:val="bottom"/>
            <w:tcBorders>
              <w:top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705,613</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802,208</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impaired includes purchased software licenses to be sold to others. This amount was expensed as part of cost of revenues in the Consolidated Statement of Operations.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Intangible assets of our international subsidiaries are recorded in their respective functional currency; therefore, the carrying amounts and accumulated amortization of intangible assets increase or decrease, with a corresponding change in accumulated OCI, due to changes in foreign currency exchange rates. Amortization expense is scheduled to decrease in future periods.</w:t>
      </w:r>
    </w:p>
    <w:p>
      <w:pPr>
        <w:sectPr>
          <w:pgSz w:w="11900" w:h="16838" w:orient="portrait"/>
          <w:cols w:equalWidth="0" w:num="1">
            <w:col w:w="11420"/>
          </w:cols>
          <w:pgMar w:left="240" w:top="121" w:right="2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expense is as follows:</w:t>
      </w: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5728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2015 (amount remaining at March 31, 2015)</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2017</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2019</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Beyond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Estimated Annual</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33020</wp:posOffset>
            </wp:positionV>
            <wp:extent cx="14408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8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23,956</w:t>
      </w:r>
    </w:p>
    <w:p>
      <w:pPr>
        <w:spacing w:after="0" w:line="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24,768</w:t>
      </w:r>
    </w:p>
    <w:p>
      <w:pPr>
        <w:spacing w:after="0" w:line="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18,249</w:t>
      </w:r>
    </w:p>
    <w:p>
      <w:pPr>
        <w:spacing w:after="0" w:line="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12,558</w:t>
      </w:r>
    </w:p>
    <w:p>
      <w:pPr>
        <w:spacing w:after="0" w:line="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9,757</w:t>
      </w:r>
    </w:p>
    <w:p>
      <w:pPr>
        <w:spacing w:after="0" w:line="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33,143</w:t>
      </w:r>
    </w:p>
    <w:p>
      <w:pPr>
        <w:spacing w:after="0" w:line="86"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122,431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54610</wp:posOffset>
            </wp:positionV>
            <wp:extent cx="14408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60" w:space="720"/>
            <w:col w:w="2240"/>
          </w:cols>
          <w:pgMar w:left="240" w:top="121" w:right="239" w:bottom="1440" w:gutter="0" w:footer="0" w:header="0"/>
          <w:type w:val="continuous"/>
        </w:sectPr>
      </w:pPr>
    </w:p>
    <w:p>
      <w:pPr>
        <w:spacing w:after="0" w:line="1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goodwill allocated to each reporting segment as of March 31, 2015:</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Electricity</w:t>
            </w:r>
          </w:p>
        </w:tc>
        <w:tc>
          <w:tcPr>
            <w:tcW w:w="50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Gas</w:t>
            </w:r>
          </w:p>
        </w:tc>
        <w:tc>
          <w:tcPr>
            <w:tcW w:w="6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Water</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33"/>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70"/>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January 1, 2015</w:t>
            </w: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Goodwill before impairment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449,668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359,485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382,655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1,191,808</w:t>
            </w:r>
          </w:p>
        </w:tc>
      </w:tr>
      <w:tr>
        <w:trPr>
          <w:trHeight w:val="237"/>
        </w:trPr>
        <w:tc>
          <w:tcPr>
            <w:tcW w:w="2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(393,981)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(690,988)</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55,687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359,485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500,820</w:t>
            </w:r>
          </w:p>
        </w:tc>
      </w:tr>
      <w:tr>
        <w:trPr>
          <w:trHeight w:val="264"/>
        </w:trPr>
        <w:tc>
          <w:tcPr>
            <w:tcW w:w="28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(38,102)</w:t>
            </w:r>
          </w:p>
        </w:tc>
      </w:tr>
      <w:tr>
        <w:trPr>
          <w:trHeight w:val="270"/>
        </w:trPr>
        <w:tc>
          <w:tcPr>
            <w:tcW w:w="2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March 31, 2015</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 before impairment</w:t>
            </w:r>
          </w:p>
        </w:tc>
        <w:tc>
          <w:tcPr>
            <w:tcW w:w="38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413,862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330,659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344,253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1,088,774</w:t>
            </w: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impairment losses</w:t>
            </w:r>
          </w:p>
        </w:tc>
        <w:tc>
          <w:tcPr>
            <w:tcW w:w="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(361,084)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(626,056)</w:t>
            </w:r>
          </w:p>
        </w:tc>
      </w:tr>
      <w:tr>
        <w:trPr>
          <w:trHeight w:val="244"/>
        </w:trPr>
        <w:tc>
          <w:tcPr>
            <w:tcW w:w="2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 net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52,778</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330,659</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79,281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462,718</w:t>
            </w: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 for a description of our reporting units and the methods used to determine the fair values of our reporting units and to determine the amount of any goodwill impairment.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accumulated impairment losses associated with our international subsidiaries are recorded in their respective functional currencies; therefore, the carrying amounts of these balances increase or decrease, with a corresponding change in accumulated OCI, due to changes in foreign currency exchange rates.</w:t>
      </w:r>
    </w:p>
    <w:p>
      <w:pPr>
        <w:sectPr>
          <w:pgSz w:w="11900" w:h="16838" w:orient="portrait"/>
          <w:cols w:equalWidth="0" w:num="1">
            <w:col w:w="11420"/>
          </w:cols>
          <w:pgMar w:left="240" w:top="121" w:right="23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Less: current portion of debt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33"/>
        </w:trPr>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225,000</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232,500</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136,310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91,469</w:t>
            </w:r>
          </w:p>
        </w:tc>
      </w:tr>
      <w:tr>
        <w:trPr>
          <w:trHeight w:val="47"/>
        </w:trPr>
        <w:tc>
          <w:tcPr>
            <w:tcW w:w="3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360" w:type="dxa"/>
            <w:vAlign w:val="bottom"/>
          </w:tcPr>
          <w:p>
            <w:pPr>
              <w:spacing w:after="0"/>
              <w:rPr>
                <w:sz w:val="18"/>
                <w:szCs w:val="18"/>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361,310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323,969</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30,000</w:t>
            </w:r>
          </w:p>
        </w:tc>
      </w:tr>
      <w:tr>
        <w:trPr>
          <w:trHeight w:val="33"/>
        </w:trPr>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331,310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293,969</w:t>
            </w:r>
          </w:p>
        </w:tc>
      </w:tr>
      <w:tr>
        <w:trPr>
          <w:trHeight w:val="33"/>
        </w:trPr>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-196850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6020" w:space="720"/>
            <w:col w:w="4680"/>
          </w:cols>
          <w:pgMar w:left="240" w:top="121" w:right="239" w:bottom="1440" w:gutter="0" w:footer="0" w:header="0"/>
        </w:sectPr>
      </w:pPr>
    </w:p>
    <w:p>
      <w:pPr>
        <w:ind w:left="2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credit facility is dated August 5, 2011. The credit facility consists of a $300 million U.S. dollar term loan (the term loan) and a multicurrency revolving line of credit (the revolver) with a principal amount of up to $660 million. Both the term loan and the revolver mature on August 8, 2016.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0.20% to 0.40% per annum depending on our total leverage ratio as of the most recently ended fiscal quarter. Amounts repaid on the term loan may not be reborrowed. The credit facility permits us and certain of our foreign subsidiaries to borrow in U.S. dollars, euros, British pounds, or, with lender approval, other currencies readily convertible into U.S. dollars. All obligations under the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credit facility, are guaranteed by the foreign subsidiary and by its direct and indirect foreign parents. The credit facility includes debt covenants, which contain certain financial ratio thresholds and place certain restrictions on the incurrence of debt, investments, and the issuance of dividends. We were in compliance with the debt covenants under the credit facility at March 31, 2015.</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Scheduled principal repayments for the term loan are due quarterly in the amount of $7.5 million through June 2016 with the remainder due at maturity on August 8, 2016. The term loan may be repaid early in whole or in part, subject to certain minimum thresholds, without penalty.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plus an applicable margin, or (2) the Alternate Base Rate, plus an applicable margin. The Alternate Base Rate election is equal to the greatest of three rates: (i) the prime rate, (ii) the Federal Reserve effective rate plus 1/2 of 1%, or (iii) one month LIBOR plus 1%. At March 31, 2015, the interest rate for both the term loan and the USD revolver was 1.68% (the LIBOR rate plus a margin of 1.50%), and the interest rate for the EUR revolver was 1.48% (the EURIBOR rate plus a margin of 1.50%).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credit facility repayments were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92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Term loan</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5,625</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14,873</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25,000</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credit facility repayments</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22,373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30,625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2015, $136.3 million was outstanding under the credit facility revolver, and $53.0 million was utilized by outstanding standby letters of credit, resulting in $470.7 million available for additional borrowings.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Unamortized prepaid debt fees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Unamortized prepaid debt fees</w:t>
            </w:r>
          </w:p>
        </w:tc>
        <w:tc>
          <w:tcPr>
            <w:tcW w:w="176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1,933</w:t>
            </w:r>
          </w:p>
        </w:tc>
        <w:tc>
          <w:tcPr>
            <w:tcW w:w="5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2,298</w:t>
            </w:r>
          </w:p>
        </w:tc>
      </w:tr>
      <w:tr>
        <w:trPr>
          <w:trHeight w:val="33"/>
        </w:trPr>
        <w:tc>
          <w:tcPr>
            <w:tcW w:w="6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 Note 13, and Note 14 for additional disclosures on our derivative instruments.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derivative instruments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700" w:type="dxa"/>
            <w:vAlign w:val="bottom"/>
          </w:tcPr>
          <w:p>
            <w:pPr>
              <w:spacing w:after="0"/>
              <w:rPr>
                <w:sz w:val="18"/>
                <w:szCs w:val="18"/>
                <w:color w:val="auto"/>
              </w:rPr>
            </w:pPr>
          </w:p>
        </w:tc>
        <w:tc>
          <w:tcPr>
            <w:tcW w:w="2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47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60" w:type="dxa"/>
            <w:vAlign w:val="bottom"/>
          </w:tcPr>
          <w:p>
            <w:pPr>
              <w:spacing w:after="0"/>
              <w:rPr>
                <w:sz w:val="20"/>
                <w:szCs w:val="20"/>
                <w:color w:val="auto"/>
              </w:rPr>
            </w:pPr>
          </w:p>
        </w:tc>
      </w:tr>
      <w:tr>
        <w:trPr>
          <w:trHeight w:val="270"/>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 under ASC 815-20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assets</w:t>
            </w: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r>
      <w:tr>
        <w:trPr>
          <w:trHeight w:val="224"/>
        </w:trPr>
        <w:tc>
          <w:tcPr>
            <w:tcW w:w="7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current assets</w:t>
            </w:r>
          </w:p>
        </w:tc>
        <w:tc>
          <w:tcPr>
            <w:tcW w:w="13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r>
      <w:tr>
        <w:trPr>
          <w:trHeight w:val="217"/>
        </w:trPr>
        <w:tc>
          <w:tcPr>
            <w:tcW w:w="470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Total asset derivatives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r>
      <w:tr>
        <w:trPr>
          <w:trHeight w:val="73"/>
        </w:trPr>
        <w:tc>
          <w:tcPr>
            <w:tcW w:w="4700" w:type="dxa"/>
            <w:vAlign w:val="bottom"/>
            <w:tcBorders>
              <w:bottom w:val="single" w:sz="8" w:color="CCEEFF"/>
            </w:tcBorders>
          </w:tcPr>
          <w:p>
            <w:pPr>
              <w:spacing w:after="0"/>
              <w:rPr>
                <w:sz w:val="6"/>
                <w:szCs w:val="6"/>
                <w:color w:val="auto"/>
              </w:rPr>
            </w:pPr>
          </w:p>
        </w:tc>
        <w:tc>
          <w:tcPr>
            <w:tcW w:w="26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51"/>
        </w:trPr>
        <w:tc>
          <w:tcPr>
            <w:tcW w:w="470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47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 under ASC 815-20</w:t>
            </w:r>
          </w:p>
        </w:tc>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2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8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1,317</w:t>
            </w:r>
          </w:p>
        </w:tc>
      </w:tr>
      <w:tr>
        <w:trPr>
          <w:trHeight w:val="47"/>
        </w:trPr>
        <w:tc>
          <w:tcPr>
            <w:tcW w:w="4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1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7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w:t>
            </w:r>
          </w:p>
        </w:tc>
      </w:tr>
      <w:tr>
        <w:trPr>
          <w:trHeight w:val="217"/>
        </w:trPr>
        <w:tc>
          <w:tcPr>
            <w:tcW w:w="470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Total liability derivatives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1,553</w:t>
            </w: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OCI during the reporting periods for our derivative and nonderivative hedging instruments, net of tax, was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unrealized loss on hedging instruments at January 1,</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(15,636)</w:t>
            </w:r>
          </w:p>
        </w:tc>
      </w:tr>
      <w:tr>
        <w:trPr>
          <w:trHeight w:val="224"/>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(loss) on hedging instruments</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47"/>
        </w:trPr>
        <w:tc>
          <w:tcPr>
            <w:tcW w:w="7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losses reclassified into net income (loss)</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r>
      <w:tr>
        <w:trPr>
          <w:trHeight w:val="21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unrealized loss on hedging instruments at March 31,</w:t>
            </w:r>
          </w:p>
        </w:tc>
        <w:tc>
          <w:tcPr>
            <w:tcW w:w="124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(15,262)</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(15,473)</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net unrealized loss on hedging instruments at March 31, 2015 and 2014 is a loss of $14.4 million, net of tax, related to our nonderivative net investment hedge, which terminated in 2011. This loss on our net investment hedge will remain in accumulated OCI until such time when earnings are impacted by a sale or liquidation of the associated foreign operation.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6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Gross Amounts Not</w:t>
            </w:r>
          </w:p>
        </w:tc>
        <w:tc>
          <w:tcPr>
            <w:tcW w:w="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2080" w:type="dxa"/>
            <w:vAlign w:val="bottom"/>
            <w:gridSpan w:val="2"/>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Assets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Derivative Financial</w:t>
            </w: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Cash Collateral Received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March 31, 2015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345</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31, 2014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6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Gross Amounts Not</w:t>
            </w:r>
          </w:p>
        </w:tc>
        <w:tc>
          <w:tcPr>
            <w:tcW w:w="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2080" w:type="dxa"/>
            <w:vAlign w:val="bottom"/>
            <w:gridSpan w:val="2"/>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Derivative Financial</w:t>
            </w: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Collateral Pledged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March 31, 2015</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1,723</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1,456</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31, 2014</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1,553</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derivative assets and liabilities consist of foreign exchange forward and interest rate swap contracts with eight counterparties at March 31, 2015 and December 31, 2014. No derivative asset or liability balance with any of our counterparties was individually significant at March 31, 2015 or December 31, 2014.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increase our ability to forecast interest expense. The objective of these swaps is to reduce the variability of cash flows from increases in the LIBOR-based borrowing rates on our floating rate credit facility. The swaps do not protect us from changes to the applicable margin under our credit facility.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 These cash flow hedges are expected to be highly effective in achieving offsetting cash flows attributable to the hedged risk through the term of the hedge. Consequently, effective changes in the fair value of the interest rate swaps are recorded as a component of OCI and are recognized in earnings when the hedged item affects earnings. The amounts paid or received on the hedges are recognized as adjustments to interest expense. The amount of net losses expected to be reclassified into earnings in the next 12 months is $1.3 million. At March 31, 2015, our LIBOR-based debt balance was $345.0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risk and may institute additional interest rate swaps or other derivative instruments to manage such risk in the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before-tax effect of our cash flow derivative instruments on the Consolidated Balance Sheets and the Consolidated Statements of Operations for the three months ended March 31 were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Amount of Gain (Loss)</w:t>
            </w:r>
          </w:p>
        </w:tc>
        <w:tc>
          <w:tcPr>
            <w:tcW w:w="120" w:type="dxa"/>
            <w:vAlign w:val="bottom"/>
          </w:tcPr>
          <w:p>
            <w:pPr>
              <w:spacing w:after="0"/>
              <w:rPr>
                <w:sz w:val="12"/>
                <w:szCs w:val="12"/>
                <w:color w:val="auto"/>
              </w:rPr>
            </w:pPr>
          </w:p>
        </w:tc>
        <w:tc>
          <w:tcPr>
            <w:tcW w:w="296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Gain (Loss) Reclassified from Accumulated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5"/>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6"/>
              </w:rPr>
              <w:t>Gain (Loss) Recognized in Income 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Derivatives in ASC 815-20</w:t>
            </w:r>
          </w:p>
        </w:tc>
        <w:tc>
          <w:tcPr>
            <w:tcW w:w="200" w:type="dxa"/>
            <w:vAlign w:val="bottom"/>
          </w:tcPr>
          <w:p>
            <w:pPr>
              <w:spacing w:after="0"/>
              <w:rPr>
                <w:sz w:val="12"/>
                <w:szCs w:val="12"/>
                <w:color w:val="auto"/>
              </w:rPr>
            </w:pPr>
          </w:p>
        </w:tc>
        <w:tc>
          <w:tcPr>
            <w:tcW w:w="1780" w:type="dxa"/>
            <w:vAlign w:val="bottom"/>
            <w:gridSpan w:val="3"/>
          </w:tcPr>
          <w:p>
            <w:pPr>
              <w:jc w:val="center"/>
              <w:ind w:right="117"/>
              <w:spacing w:after="0" w:line="142" w:lineRule="exact"/>
              <w:rPr>
                <w:sz w:val="20"/>
                <w:szCs w:val="20"/>
                <w:color w:val="auto"/>
              </w:rPr>
            </w:pPr>
            <w:r>
              <w:rPr>
                <w:rFonts w:ascii="Times New Roman" w:cs="Times New Roman" w:eastAsia="Times New Roman" w:hAnsi="Times New Roman"/>
                <w:sz w:val="13"/>
                <w:szCs w:val="13"/>
                <w:b w:val="1"/>
                <w:bCs w:val="1"/>
                <w:color w:val="auto"/>
                <w:w w:val="97"/>
              </w:rPr>
              <w:t>Recognized in OCI on</w:t>
            </w:r>
          </w:p>
        </w:tc>
        <w:tc>
          <w:tcPr>
            <w:tcW w:w="120" w:type="dxa"/>
            <w:vAlign w:val="bottom"/>
          </w:tcPr>
          <w:p>
            <w:pPr>
              <w:spacing w:after="0"/>
              <w:rPr>
                <w:sz w:val="12"/>
                <w:szCs w:val="12"/>
                <w:color w:val="auto"/>
              </w:rPr>
            </w:pPr>
          </w:p>
        </w:tc>
        <w:tc>
          <w:tcPr>
            <w:tcW w:w="2960" w:type="dxa"/>
            <w:vAlign w:val="bottom"/>
            <w:gridSpan w:val="5"/>
          </w:tcPr>
          <w:p>
            <w:pPr>
              <w:jc w:val="right"/>
              <w:ind w:right="157"/>
              <w:spacing w:after="0" w:line="142" w:lineRule="exact"/>
              <w:rPr>
                <w:sz w:val="20"/>
                <w:szCs w:val="20"/>
                <w:color w:val="auto"/>
              </w:rPr>
            </w:pPr>
            <w:r>
              <w:rPr>
                <w:rFonts w:ascii="Times New Roman" w:cs="Times New Roman" w:eastAsia="Times New Roman" w:hAnsi="Times New Roman"/>
                <w:sz w:val="13"/>
                <w:szCs w:val="13"/>
                <w:b w:val="1"/>
                <w:bCs w:val="1"/>
                <w:color w:val="auto"/>
              </w:rPr>
              <w:t>OCI into Income (Effective Portion)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5"/>
          </w:tcPr>
          <w:p>
            <w:pPr>
              <w:jc w:val="center"/>
              <w:ind w:left="237"/>
              <w:spacing w:after="0" w:line="142" w:lineRule="exact"/>
              <w:rPr>
                <w:sz w:val="20"/>
                <w:szCs w:val="20"/>
                <w:color w:val="auto"/>
              </w:rPr>
            </w:pPr>
            <w:r>
              <w:rPr>
                <w:rFonts w:ascii="Times New Roman" w:cs="Times New Roman" w:eastAsia="Times New Roman" w:hAnsi="Times New Roman"/>
                <w:sz w:val="13"/>
                <w:szCs w:val="13"/>
                <w:b w:val="1"/>
                <w:bCs w:val="1"/>
                <w:color w:val="auto"/>
                <w:w w:val="96"/>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54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Cash Flow</w:t>
            </w:r>
          </w:p>
        </w:tc>
        <w:tc>
          <w:tcPr>
            <w:tcW w:w="200" w:type="dxa"/>
            <w:vAlign w:val="bottom"/>
          </w:tcPr>
          <w:p>
            <w:pPr>
              <w:spacing w:after="0"/>
              <w:rPr>
                <w:sz w:val="2"/>
                <w:szCs w:val="2"/>
                <w:color w:val="auto"/>
              </w:rPr>
            </w:pPr>
          </w:p>
        </w:tc>
        <w:tc>
          <w:tcPr>
            <w:tcW w:w="1780" w:type="dxa"/>
            <w:vAlign w:val="bottom"/>
            <w:gridSpan w:val="3"/>
            <w:vMerge w:val="restart"/>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Derivative (Effective</w:t>
            </w: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2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Hedging Relationships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5"/>
              </w:rPr>
              <w:t>Portion)</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2015</w:t>
            </w:r>
          </w:p>
        </w:tc>
        <w:tc>
          <w:tcPr>
            <w:tcW w:w="420" w:type="dxa"/>
            <w:vAlign w:val="bottom"/>
          </w:tcPr>
          <w:p>
            <w:pPr>
              <w:spacing w:after="0"/>
              <w:rPr>
                <w:sz w:val="22"/>
                <w:szCs w:val="22"/>
                <w:color w:val="auto"/>
              </w:rPr>
            </w:pPr>
          </w:p>
        </w:tc>
        <w:tc>
          <w:tcPr>
            <w:tcW w:w="60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2015</w:t>
            </w:r>
          </w:p>
        </w:tc>
        <w:tc>
          <w:tcPr>
            <w:tcW w:w="400" w:type="dxa"/>
            <w:vAlign w:val="bottom"/>
          </w:tcPr>
          <w:p>
            <w:pPr>
              <w:spacing w:after="0"/>
              <w:rPr>
                <w:sz w:val="22"/>
                <w:szCs w:val="22"/>
                <w:color w:val="auto"/>
              </w:rPr>
            </w:pPr>
          </w:p>
        </w:tc>
        <w:tc>
          <w:tcPr>
            <w:tcW w:w="5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2014</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Interest rate swap contracts</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(597)</w:t>
            </w:r>
          </w:p>
        </w:tc>
        <w:tc>
          <w:tcPr>
            <w:tcW w:w="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(155)</w:t>
            </w:r>
          </w:p>
        </w:tc>
        <w:tc>
          <w:tcPr>
            <w:tcW w:w="120" w:type="dxa"/>
            <w:vAlign w:val="bottom"/>
            <w:shd w:val="clear" w:color="auto" w:fill="CCEEFF"/>
          </w:tcPr>
          <w:p>
            <w:pPr>
              <w:spacing w:after="0"/>
              <w:rPr>
                <w:sz w:val="15"/>
                <w:szCs w:val="15"/>
                <w:color w:val="auto"/>
              </w:rPr>
            </w:pPr>
          </w:p>
        </w:tc>
        <w:tc>
          <w:tcPr>
            <w:tcW w:w="18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Interest expense   $</w:t>
            </w: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(412)</w:t>
            </w:r>
          </w:p>
        </w:tc>
        <w:tc>
          <w:tcPr>
            <w:tcW w:w="4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shd w:val="clear" w:color="auto" w:fill="CCEEFF"/>
          </w:tcPr>
          <w:p>
            <w:pPr>
              <w:spacing w:after="0"/>
              <w:rPr>
                <w:sz w:val="15"/>
                <w:szCs w:val="15"/>
                <w:color w:val="auto"/>
              </w:rPr>
            </w:pPr>
          </w:p>
        </w:tc>
        <w:tc>
          <w:tcPr>
            <w:tcW w:w="18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Interest expense   $</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143 contracts were entered into during the three months ended March 31, 2015), which are not designated for hedge accounting, but rather with the intent to reduce earnings volatility associated with certain of these non-functional currency assets and liabilities. The notional amounts of the contracts ranged from $188,000 to $21.0 million, offsetting our exposures to the euro, British pound, Canadian dollar, Australian dollar, Mexican peso, and various other currencies.</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 of our foreign exchange forward derivative instruments on the Consolidated Statements of Operations for the three months ended March 31 was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Derivatives Not Designated as</w:t>
            </w: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2"/>
        </w:trPr>
        <w:tc>
          <w:tcPr>
            <w:tcW w:w="6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Hedging Instrument under ASC 815-20</w:t>
            </w:r>
          </w:p>
        </w:tc>
        <w:tc>
          <w:tcPr>
            <w:tcW w:w="46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Gain (Loss) Recognized on Derivatives in Other Income (Expense)</w:t>
            </w:r>
          </w:p>
        </w:tc>
      </w:tr>
      <w:tr>
        <w:trPr>
          <w:trHeight w:val="33"/>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7"/>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40" w:type="dxa"/>
            <w:vAlign w:val="bottom"/>
          </w:tcPr>
          <w:p>
            <w:pPr>
              <w:spacing w:after="0"/>
              <w:rPr>
                <w:sz w:val="18"/>
                <w:szCs w:val="18"/>
                <w:color w:val="auto"/>
              </w:rPr>
            </w:pPr>
          </w:p>
        </w:tc>
      </w:tr>
      <w:tr>
        <w:trPr>
          <w:trHeight w:val="212"/>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4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6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(2,796)</w:t>
            </w:r>
          </w:p>
        </w:tc>
        <w:tc>
          <w:tcPr>
            <w:tcW w:w="9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33"/>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567</w:t>
            </w:r>
          </w:p>
        </w:tc>
      </w:tr>
      <w:tr>
        <w:trPr>
          <w:trHeight w:val="270"/>
        </w:trPr>
        <w:tc>
          <w:tcPr>
            <w:tcW w:w="67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portion of pension plan liability in wages and benefits payable</w:t>
            </w:r>
          </w:p>
        </w:tc>
        <w:tc>
          <w:tcPr>
            <w:tcW w:w="17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4,552</w:t>
            </w: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portion of pension plan liability</w:t>
            </w:r>
          </w:p>
        </w:tc>
        <w:tc>
          <w:tcPr>
            <w:tcW w:w="1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91,652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101,432</w:t>
            </w:r>
          </w:p>
        </w:tc>
      </w:tr>
      <w:tr>
        <w:trPr>
          <w:trHeight w:val="270"/>
        </w:trPr>
        <w:tc>
          <w:tcPr>
            <w:tcW w:w="674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pension plan benefit liability</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95,004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105,417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pension plan benefit liability decreased primarily due to the strengthening of the U.S. dollar compared with most foreign currencies at March 31, 2015 as compared with December 31, 2014.</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 We contributed $30,000 and $26,000 to the defined benefit pension plans for the three months ended March 31, 2015 and 2014, respectively. The timing of contributions can vary by plan and from year to year. For 2015, assuming that actual plan asset returns are consistent with our expected rate of return, and that interest rates remain constant, we expect to contribute approximately $388,000 to our defined benefit pension plans. We contributed $375,000 to the defined benefit pension plans for the year ended December 31, 2014.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costs for our plans include the following components: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96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cost</w:t>
            </w:r>
          </w:p>
        </w:tc>
        <w:tc>
          <w:tcPr>
            <w:tcW w:w="1580" w:type="dxa"/>
            <w:vAlign w:val="bottom"/>
            <w:tcBorders>
              <w:bottom w:val="single" w:sz="8" w:color="CCEEFF"/>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cost</w:t>
            </w:r>
          </w:p>
        </w:tc>
        <w:tc>
          <w:tcPr>
            <w:tcW w:w="15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893</w:t>
            </w: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5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Settlements and other</w:t>
            </w:r>
          </w:p>
        </w:tc>
        <w:tc>
          <w:tcPr>
            <w:tcW w:w="15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15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unrecognized prior service costs</w:t>
            </w:r>
          </w:p>
        </w:tc>
        <w:tc>
          <w:tcPr>
            <w:tcW w:w="15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r>
      <w:tr>
        <w:trPr>
          <w:trHeight w:val="33"/>
        </w:trPr>
        <w:tc>
          <w:tcPr>
            <w:tcW w:w="6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580" w:type="dxa"/>
            <w:vAlign w:val="bottom"/>
            <w:tcBorders>
              <w:bottom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1,823</w:t>
            </w:r>
          </w:p>
        </w:tc>
      </w:tr>
      <w:tr>
        <w:trPr>
          <w:trHeight w:val="20"/>
        </w:trPr>
        <w:tc>
          <w:tcPr>
            <w:tcW w:w="6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stock-based compensation expense for awards of stock options and the issuance of restricted stock units and unrestricted stock awards. We expense stock-based compensation primarily using the straight-line method over the requisite service period. For the three months ended March 31, stock-based compensation expense and the related tax benefit were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96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1580" w:type="dxa"/>
            <w:vAlign w:val="bottom"/>
            <w:tcBorders>
              <w:bottom w:val="single" w:sz="8" w:color="CCEEFF"/>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554</w:t>
            </w: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15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3,326</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3,800</w:t>
            </w:r>
          </w:p>
        </w:tc>
      </w:tr>
      <w:tr>
        <w:trPr>
          <w:trHeight w:val="47"/>
        </w:trPr>
        <w:tc>
          <w:tcPr>
            <w:tcW w:w="6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15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580" w:type="dxa"/>
            <w:vAlign w:val="bottom"/>
            <w:tcBorders>
              <w:top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4,108</w:t>
            </w:r>
          </w:p>
        </w:tc>
        <w:tc>
          <w:tcPr>
            <w:tcW w:w="120" w:type="dxa"/>
            <w:vAlign w:val="bottom"/>
          </w:tcPr>
          <w:p>
            <w:pPr>
              <w:spacing w:after="0"/>
              <w:rPr>
                <w:sz w:val="18"/>
                <w:szCs w:val="18"/>
                <w:color w:val="auto"/>
              </w:rPr>
            </w:pPr>
          </w:p>
        </w:tc>
        <w:tc>
          <w:tcPr>
            <w:tcW w:w="1540" w:type="dxa"/>
            <w:vAlign w:val="bottom"/>
            <w:tcBorders>
              <w:top w:val="single" w:sz="8" w:color="auto"/>
            </w:tcBorders>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4,584</w:t>
            </w:r>
          </w:p>
        </w:tc>
      </w:tr>
      <w:tr>
        <w:trPr>
          <w:trHeight w:val="73"/>
        </w:trPr>
        <w:tc>
          <w:tcPr>
            <w:tcW w:w="6740" w:type="dxa"/>
            <w:vAlign w:val="bottom"/>
            <w:tcBorders>
              <w:bottom w:val="single" w:sz="8" w:color="CCEEFF"/>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r>
      <w:tr>
        <w:trPr>
          <w:trHeight w:val="251"/>
        </w:trPr>
        <w:tc>
          <w:tcPr>
            <w:tcW w:w="67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Related tax benefit</w:t>
            </w:r>
          </w:p>
        </w:tc>
        <w:tc>
          <w:tcPr>
            <w:tcW w:w="158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9"/>
                <w:szCs w:val="19"/>
                <w:color w:val="auto"/>
              </w:rPr>
            </w:pPr>
          </w:p>
        </w:tc>
        <w:tc>
          <w:tcPr>
            <w:tcW w:w="1540" w:type="dxa"/>
            <w:vAlign w:val="bottom"/>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1,287</w:t>
            </w: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issue new shares of common stock upon the exercise of stock options or when vesting conditions on restricted stock units are fully satisfied.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stock splits, dividends, and other similar events, 7,473,956 shares of common stock are reserved and authorized for issuance under our Amended and Restated 2010 Stock Incentive Plan (Stock Incentive Plan). Awards consist of stock options, restricted stock units, and unrestricted stock awards. At March 31, 2015, 2,752,503 shares were available for grant under the Stock Incentive Plan. The Stock Incentive Plan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Options to purchase our common stock are granted to certain employees, senior management, and members of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option-pricing model with the following weighted average assumptions:</w:t>
      </w:r>
    </w:p>
    <w:p>
      <w:pPr>
        <w:spacing w:after="0" w:line="29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38735</wp:posOffset>
            </wp:positionV>
            <wp:extent cx="3009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gridSpan w:val="2"/>
          </w:tcPr>
          <w:p>
            <w:pPr>
              <w:ind w:left="76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6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0"/>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 yield</w:t>
            </w:r>
          </w:p>
        </w:tc>
        <w:tc>
          <w:tcPr>
            <w:tcW w:w="15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Expected volatility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33"/>
        </w:trPr>
        <w:tc>
          <w:tcPr>
            <w:tcW w:w="6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8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Expected term (years)</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2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r>
    </w:tbl>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for the three months ended March 31 is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7"/>
                <w:szCs w:val="17"/>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r>
      <w:tr>
        <w:trPr>
          <w:trHeight w:val="245"/>
        </w:trPr>
        <w:tc>
          <w:tcPr>
            <w:tcW w:w="3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4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7"/>
              </w:rPr>
              <w:t>Intrinsic Value</w:t>
            </w:r>
            <w:r>
              <w:rPr>
                <w:rFonts w:ascii="Times New Roman" w:cs="Times New Roman" w:eastAsia="Times New Roman" w:hAnsi="Times New Roman"/>
                <w:sz w:val="21"/>
                <w:szCs w:val="21"/>
                <w:b w:val="1"/>
                <w:bCs w:val="1"/>
                <w:color w:val="auto"/>
                <w:w w:val="97"/>
                <w:vertAlign w:val="superscript"/>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17"/>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8"/>
                <w:szCs w:val="18"/>
                <w:color w:val="auto"/>
              </w:rPr>
            </w:pPr>
          </w:p>
        </w:tc>
        <w:tc>
          <w:tcPr>
            <w:tcW w:w="16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54.79</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35.19</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13.64</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35.71</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Expired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March 31,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52.68</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51.90</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35.29</w:t>
            </w: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12.15</w:t>
            </w: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26.65</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Expired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37.40</w:t>
            </w: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March 31,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49.39</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Exercisable, March 31,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54.84</w:t>
            </w: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to vest, March 31,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36.91</w:t>
            </w: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31" w:lineRule="auto"/>
        <w:tabs>
          <w:tab w:leader="none" w:pos="3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our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2015, total unrecognized stock-based compensation expense related to nonvested stock options was approximately $4.6 million, which is expected to be recognized over a weighted average period of approximately 2.2 years.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Certain employees, senior management, and members of the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2013, the performance-based restricted stock units to be issued under the Long-Term Performance Restricted Stock Unit Award Agreement (Performance Award Agreement) were determined based on (1) our achievement of specified non-GAAP EPS targets, as established by the Board at the beginning of each year for each of the calendar years contained in the performance periods (2-year and 3-year awards in 2013 and 3-year awards in subsequent years) (the performance condition) and (2) our total shareholder return (TSR) relative to the TSR attained by companies that are included in the Russell 3000 Index during the performance periods (the market condition). Compensation expense, net of forfeitures, is recognized on a straight-line basis, and the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Depending on the level of achievement of the performance condition, the actual number of shares to be earned ranges between 0% and 160% of the awards originally granted. At the end of the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Due to the presence of the TSR multiplier market condition, we utilize a Monte Carlo valuation model to determine the fair value of the awards at the grant date. This pricing model uses multiple simulations to evaluate the probability of our achievement of various stock price levels to determine our expected TSR performance ranking. The weighted-average assumptions used to estimate the fair value of performance-based restricted stock units granted and the resulting weighted average fair-value are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39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8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Dividend yield</w:t>
            </w: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8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volatility</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24"/>
        </w:trPr>
        <w:tc>
          <w:tcPr>
            <w:tcW w:w="6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47"/>
        </w:trPr>
        <w:tc>
          <w:tcPr>
            <w:tcW w:w="66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term (years)</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fair value</w:t>
            </w:r>
          </w:p>
        </w:tc>
        <w:tc>
          <w:tcPr>
            <w:tcW w:w="1540" w:type="dxa"/>
            <w:vAlign w:val="bottom"/>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33.46</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28.88</w:t>
            </w:r>
          </w:p>
        </w:tc>
        <w:tc>
          <w:tcPr>
            <w:tcW w:w="0" w:type="dxa"/>
            <w:vAlign w:val="bottom"/>
          </w:tcPr>
          <w:p>
            <w:pPr>
              <w:spacing w:after="0"/>
              <w:rPr>
                <w:sz w:val="1"/>
                <w:szCs w:val="1"/>
                <w:color w:val="auto"/>
              </w:rPr>
            </w:pPr>
          </w:p>
        </w:tc>
      </w:tr>
      <w:tr>
        <w:trPr>
          <w:trHeight w:val="33"/>
        </w:trPr>
        <w:tc>
          <w:tcPr>
            <w:tcW w:w="66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three months ended March 31:</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45"/>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5"/>
              </w:rPr>
              <w:t>Intrinsic Value</w:t>
            </w:r>
            <w:r>
              <w:rPr>
                <w:rFonts w:ascii="Times New Roman" w:cs="Times New Roman" w:eastAsia="Times New Roman" w:hAnsi="Times New Roman"/>
                <w:sz w:val="21"/>
                <w:szCs w:val="21"/>
                <w:b w:val="1"/>
                <w:bCs w:val="1"/>
                <w:color w:val="auto"/>
                <w:w w:val="95"/>
                <w:vertAlign w:val="superscript"/>
              </w:rPr>
              <w:t>(1)</w:t>
            </w:r>
          </w:p>
        </w:tc>
      </w:tr>
      <w:tr>
        <w:trPr>
          <w:trHeight w:val="217"/>
        </w:trPr>
        <w:tc>
          <w:tcPr>
            <w:tcW w:w="4360" w:type="dxa"/>
            <w:vAlign w:val="bottom"/>
          </w:tcPr>
          <w:p>
            <w:pPr>
              <w:spacing w:after="0"/>
              <w:rPr>
                <w:sz w:val="18"/>
                <w:szCs w:val="18"/>
                <w:color w:val="auto"/>
              </w:rPr>
            </w:pPr>
          </w:p>
        </w:tc>
        <w:tc>
          <w:tcPr>
            <w:tcW w:w="176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1"/>
                <w:szCs w:val="21"/>
                <w:color w:val="auto"/>
                <w:vertAlign w:val="superscript"/>
              </w:rPr>
              <w:t>(2)</w:t>
            </w: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308</w:t>
            </w:r>
          </w:p>
        </w:tc>
        <w:tc>
          <w:tcPr>
            <w:tcW w:w="1860" w:type="dxa"/>
            <w:vAlign w:val="bottom"/>
            <w:gridSpan w:val="2"/>
          </w:tcPr>
          <w:p>
            <w:pPr>
              <w:jc w:val="right"/>
              <w:ind w:right="15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11,666</w:t>
            </w:r>
          </w:p>
        </w:tc>
      </w:tr>
      <w:tr>
        <w:trPr>
          <w:trHeight w:val="237"/>
        </w:trPr>
        <w:tc>
          <w:tcPr>
            <w:tcW w:w="6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March 31, 2014</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1"/>
                <w:szCs w:val="21"/>
                <w:color w:val="auto"/>
                <w:vertAlign w:val="superscript"/>
              </w:rPr>
              <w:t>(2)</w:t>
            </w: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1860" w:type="dxa"/>
            <w:vAlign w:val="bottom"/>
            <w:gridSpan w:val="2"/>
          </w:tcPr>
          <w:p>
            <w:pPr>
              <w:jc w:val="right"/>
              <w:ind w:right="15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10,888</w:t>
            </w:r>
          </w:p>
        </w:tc>
      </w:tr>
      <w:tr>
        <w:trPr>
          <w:trHeight w:val="224"/>
        </w:trPr>
        <w:tc>
          <w:tcPr>
            <w:tcW w:w="6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March 31, 2015</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Vested but not released, March 31,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to vest, March 31, 2015</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20,919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19" w:lineRule="auto"/>
        <w:tabs>
          <w:tab w:leader="none" w:pos="34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60" w:lineRule="exact"/>
        <w:rPr>
          <w:rFonts w:ascii="Times New Roman" w:cs="Times New Roman" w:eastAsia="Times New Roman" w:hAnsi="Times New Roman"/>
          <w:sz w:val="22"/>
          <w:szCs w:val="22"/>
          <w:color w:val="auto"/>
          <w:vertAlign w:val="superscript"/>
        </w:rPr>
      </w:pPr>
    </w:p>
    <w:p>
      <w:pPr>
        <w:jc w:val="both"/>
        <w:ind w:left="340" w:hanging="332"/>
        <w:spacing w:after="0" w:line="227" w:lineRule="auto"/>
        <w:tabs>
          <w:tab w:leader="none" w:pos="34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Restricted stock units granted in 2014 and 2015 do not include awards under the Performance Award Agreement for the respective years, as these awards are not granted until attainment of annual performance goals has been determined at the conclusion of the performance period, which had not occurred as of March 31, 2014 and 2015, respectively.</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2015, unrecognized compensation expense on restricted stock units was $30.6 million, which is expected to be recognized over a weighted average period of approximately 2.2 years.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Unrestricted Stock Awards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grant unrestricted stock awards to members of our Board of Directors as part of their compensation. Awards are fully vested and expensed when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unrestricted stock awards is the market close price of our common stock on the date of grant.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unrestricted stock award activity for the three months ended March 31:</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96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4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9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96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of unrestricted stock granted</w:t>
            </w:r>
          </w:p>
        </w:tc>
        <w:tc>
          <w:tcPr>
            <w:tcW w:w="1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70"/>
        </w:trPr>
        <w:tc>
          <w:tcPr>
            <w:tcW w:w="67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grant date fair value per share</w:t>
            </w:r>
          </w:p>
        </w:tc>
        <w:tc>
          <w:tcPr>
            <w:tcW w:w="158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41.56</w:t>
            </w:r>
          </w:p>
        </w:tc>
        <w:tc>
          <w:tcPr>
            <w:tcW w:w="1640" w:type="dxa"/>
            <w:vAlign w:val="bottom"/>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40.63</w:t>
            </w:r>
          </w:p>
        </w:tc>
      </w:tr>
      <w:tr>
        <w:trPr>
          <w:trHeight w:val="33"/>
        </w:trPr>
        <w:tc>
          <w:tcPr>
            <w:tcW w:w="6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ESPP, employees can deduct up to 10% of their regular cash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ESPP activity for the three months ended March 31:</w:t>
      </w:r>
    </w:p>
    <w:p>
      <w:pPr>
        <w:spacing w:after="0" w:line="39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38735</wp:posOffset>
            </wp:positionV>
            <wp:extent cx="29673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520" w:type="dxa"/>
            <w:vAlign w:val="bottom"/>
          </w:tcPr>
          <w:p>
            <w:pPr>
              <w:spacing w:after="0"/>
              <w:rPr>
                <w:sz w:val="18"/>
                <w:szCs w:val="18"/>
                <w:color w:val="auto"/>
              </w:rPr>
            </w:pPr>
          </w:p>
        </w:tc>
        <w:tc>
          <w:tcPr>
            <w:tcW w:w="15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7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340" w:type="dxa"/>
            <w:vAlign w:val="bottom"/>
            <w:gridSpan w:val="2"/>
            <w:shd w:val="clear" w:color="auto" w:fill="CCEEFF"/>
          </w:tcPr>
          <w:p>
            <w:pPr>
              <w:jc w:val="right"/>
              <w:ind w:right="5980"/>
              <w:spacing w:after="0"/>
              <w:rPr>
                <w:sz w:val="20"/>
                <w:szCs w:val="20"/>
                <w:color w:val="auto"/>
              </w:rPr>
            </w:pPr>
            <w:r>
              <w:rPr>
                <w:rFonts w:ascii="Times New Roman" w:cs="Times New Roman" w:eastAsia="Times New Roman" w:hAnsi="Times New Roman"/>
                <w:sz w:val="16"/>
                <w:szCs w:val="16"/>
                <w:color w:val="auto"/>
              </w:rPr>
              <w:t>Shares of stock sold to employees</w:t>
            </w:r>
            <w:r>
              <w:rPr>
                <w:rFonts w:ascii="Times New Roman" w:cs="Times New Roman" w:eastAsia="Times New Roman" w:hAnsi="Times New Roman"/>
                <w:sz w:val="21"/>
                <w:szCs w:val="21"/>
                <w:color w:val="auto"/>
                <w:vertAlign w:val="superscript"/>
              </w:rPr>
              <w:t>(1)</w:t>
            </w:r>
          </w:p>
        </w:tc>
        <w:tc>
          <w:tcPr>
            <w:tcW w:w="15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10</w:t>
            </w:r>
          </w:p>
        </w:tc>
        <w:tc>
          <w:tcPr>
            <w:tcW w:w="1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r>
    </w:tbl>
    <w:p>
      <w:pPr>
        <w:spacing w:after="0" w:line="16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Stock sold to employees during each fiscal quarter under the ESPP is associated with the offering period ending on the last day of the previous fiscal quarter.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435,000 shares of common stock available for future issuance under the ESPP at March 31, 2015.</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provision (benefit) as a percentage of income (loss) before tax typically differs from the federal statutory rate of 35%, and may vary from period to period, due to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expense for the first three months of 2015 differed from the federal statutory rate of 35% due to the forecasted mix of earnings in domestic and international jurisdictions, valuation allowances, discrete tax items, the benefit of certain interest expense deductions, and benefits of certain acquisition-related elections for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tax benefit for the first three months of 2014 was higher than the federal statutory benefit of 35% due to discrete tax benefits recognized.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4000" w:type="dxa"/>
            <w:vAlign w:val="bottom"/>
            <w:gridSpan w:val="3"/>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20" w:type="dxa"/>
            <w:vAlign w:val="bottom"/>
          </w:tcPr>
          <w:p>
            <w:pPr>
              <w:spacing w:after="0"/>
              <w:rPr>
                <w:sz w:val="20"/>
                <w:szCs w:val="20"/>
                <w:color w:val="auto"/>
              </w:rPr>
            </w:pPr>
          </w:p>
        </w:tc>
        <w:tc>
          <w:tcPr>
            <w:tcW w:w="16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6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0" w:type="dxa"/>
            <w:vAlign w:val="bottom"/>
            <w:gridSpan w:val="2"/>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60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68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33"/>
        </w:trPr>
        <w:tc>
          <w:tcPr>
            <w:tcW w:w="67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recorded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interest</w:t>
            </w:r>
          </w:p>
        </w:tc>
        <w:tc>
          <w:tcPr>
            <w:tcW w:w="1760" w:type="dxa"/>
            <w:vAlign w:val="bottom"/>
            <w:tcBorders>
              <w:bottom w:val="single" w:sz="8" w:color="CCEEFF"/>
            </w:tcBorders>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1,725</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1,755</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penalties</w:t>
            </w:r>
          </w:p>
        </w:tc>
        <w:tc>
          <w:tcPr>
            <w:tcW w:w="17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2,557</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2,671</w:t>
            </w:r>
          </w:p>
        </w:tc>
      </w:tr>
    </w:tbl>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27,003</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28,146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17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25,883</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26,980</w:t>
            </w:r>
          </w:p>
        </w:tc>
      </w:tr>
    </w:tbl>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2015, we are under examination by certain tax authorities for the 2000 to 2013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recorded within the next twelve months. However, at this time, an estimate of the range of reasonably possible adjustments to the balance of unrecognized tax benefits cannot be made.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4"/>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4"/>
          </w:tcPr>
          <w:p>
            <w:pPr>
              <w:jc w:val="right"/>
              <w:ind w:right="151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03"/>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facilities</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660,000</w:t>
            </w: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Long-term borrowings</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(91,469)</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(50,399)</w:t>
            </w:r>
          </w:p>
        </w:tc>
      </w:tr>
      <w:tr>
        <w:trPr>
          <w:trHeight w:val="217"/>
        </w:trPr>
        <w:tc>
          <w:tcPr>
            <w:tcW w:w="7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470,740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518,132</w:t>
            </w:r>
          </w:p>
        </w:tc>
      </w:tr>
      <w:tr>
        <w:trPr>
          <w:trHeight w:val="73"/>
        </w:trPr>
        <w:tc>
          <w:tcPr>
            <w:tcW w:w="72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7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24"/>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7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106,855</w:t>
            </w:r>
          </w:p>
        </w:tc>
      </w:tr>
      <w:tr>
        <w:trPr>
          <w:trHeight w:val="237"/>
        </w:trPr>
        <w:tc>
          <w:tcPr>
            <w:tcW w:w="7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(28,636)</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Short-term borrowings</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w:t>
            </w:r>
          </w:p>
        </w:tc>
      </w:tr>
      <w:tr>
        <w:trPr>
          <w:trHeight w:val="217"/>
        </w:trPr>
        <w:tc>
          <w:tcPr>
            <w:tcW w:w="7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65,313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73,937</w:t>
            </w:r>
          </w:p>
        </w:tc>
      </w:tr>
      <w:tr>
        <w:trPr>
          <w:trHeight w:val="73"/>
        </w:trPr>
        <w:tc>
          <w:tcPr>
            <w:tcW w:w="72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7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117,554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116,306</w:t>
            </w:r>
          </w:p>
        </w:tc>
      </w:tr>
    </w:tbl>
    <w:p>
      <w:pPr>
        <w:spacing w:after="0" w:line="193"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Refer to Note 6 for details regarding our secured credit facilities.</w:t>
      </w:r>
    </w:p>
    <w:p>
      <w:pPr>
        <w:spacing w:after="0" w:line="74" w:lineRule="exact"/>
        <w:rPr>
          <w:rFonts w:ascii="Times New Roman" w:cs="Times New Roman" w:eastAsia="Times New Roman" w:hAnsi="Times New Roman"/>
          <w:sz w:val="22"/>
          <w:szCs w:val="22"/>
          <w:color w:val="auto"/>
          <w:vertAlign w:val="superscript"/>
        </w:rPr>
      </w:pPr>
    </w:p>
    <w:p>
      <w:pPr>
        <w:ind w:left="340" w:hanging="332"/>
        <w:spacing w:after="0" w:line="185" w:lineRule="auto"/>
        <w:tabs>
          <w:tab w:leader="none" w:pos="34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Short-term borrowings are included in "Other current liabilities" on the Consolidated Balance Sheets.</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2010 and 2011, Transdata Incorporated (Transdata) filed lawsuits against four of our customers, CenterPoint Energy (CenterPoint), TriCounty Electric Cooperative, Inc. (Tri-County), San Diego Gas &amp; Electric Company (San Diego), and Texas-New Mexico Power Company (TNMP), as well as several other utilities, alleging infringement of three patents owned by Transdata related to the use of an antenna in a meter. Pursuant to our contractual obligations with our customers, we agreed, subject to certain exceptions, to indemnify and defend them in these lawsuits. The complaints seek unspecified damages as well as injunctive relief.</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CenterPoint, Tri-County, San Diego, and TNMP have denied all of the substantive allegations and filed counterclaims seeking a declaratory judgment that the patents are invalid and not infringed. In December 2011, the Judicial Panel on Multi-District Litigation consolidated all of these cases in the Western District of Oklahoma for pretrial proceedings. On April 17, 2011, the Oklahoma court stayed the litigation pending the resolution of re-examination proceedings in the United States Patent and Trademark Office (U.S. PTO). The U.S. PTO has issued re-examination certificates confirming the patentability of the original claims and allowing certain new claims added by Transdata. The parties conducted a claim construction hearing on February 5, 2013 on one claim term -- "electric meter circuitry." After initially adopting the defendants' proposed construction of the term, the Court granted Transdata's motion for reconsideration by order of June 25, 2013 and has adopted Transdata's proposed construction. On October 1, 2013, the Court issued an order construing other claim terms. Fact discovery closed on June 29, 2014. Opening and rebuttal expert reports have been served, and expert depositions have been taken. Both sides have also filed summary judgment motions. The U.S. PTO also instituted re-examinations on all three patents based on new requests but has recently issued Notices of Intent to Issue Re-examination Certificates for each. Petitions for inter partes review were also filed by General Electric (GE), but the Patent Trial and Appeal Board has found two of the three petitions are untimely because, under the Board’s analysis, GE is in privity with a defendant in the pending litigation (and thus was required to file within one year of the beginning of the litigation). No trials are scheduled.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Itron and its subsidiaries are parties to various employment-related proceedings in jurisdictions where they do business. None of the proceedings are individually material to Itron, and we believe that we have made adequate provision such that the ultimate disposition of the proceedings will not materially affect Itron's business or financial condition.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92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36,466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45,146</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New product warranties</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1,231</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changes/adjustments to warranties</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2,093</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Claims activity</w:t>
            </w: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5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w:t>
            </w:r>
          </w:p>
        </w:tc>
        <w:tc>
          <w:tcPr>
            <w:tcW w:w="15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37,065</w:t>
            </w: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46,024</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15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22,256</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21,989</w:t>
            </w:r>
          </w:p>
        </w:tc>
      </w:tr>
      <w:tr>
        <w:trPr>
          <w:trHeight w:val="244"/>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Long-term warranty</w:t>
            </w:r>
          </w:p>
        </w:tc>
        <w:tc>
          <w:tcPr>
            <w:tcW w:w="1540" w:type="dxa"/>
            <w:vAlign w:val="bottom"/>
            <w:tcBorders>
              <w:top w:val="single" w:sz="8" w:color="auto"/>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14,809</w:t>
            </w:r>
          </w:p>
        </w:tc>
        <w:tc>
          <w:tcPr>
            <w:tcW w:w="12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24,035</w:t>
            </w:r>
          </w:p>
        </w:tc>
      </w:tr>
      <w:tr>
        <w:trPr>
          <w:trHeight w:val="20"/>
        </w:trPr>
        <w:tc>
          <w:tcPr>
            <w:tcW w:w="6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extended warranty contracts, and other changes and adjustments to warranties. Warranty expense for the three months ended March 31 was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96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4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gridSpan w:val="2"/>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warranty expense</w:t>
            </w:r>
          </w:p>
        </w:tc>
        <w:tc>
          <w:tcPr>
            <w:tcW w:w="158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5,809</w:t>
            </w:r>
          </w:p>
        </w:tc>
        <w:tc>
          <w:tcPr>
            <w:tcW w:w="1640" w:type="dxa"/>
            <w:vAlign w:val="bottom"/>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3,324</w:t>
            </w:r>
          </w:p>
        </w:tc>
      </w:tr>
      <w:tr>
        <w:trPr>
          <w:trHeight w:val="33"/>
        </w:trPr>
        <w:tc>
          <w:tcPr>
            <w:tcW w:w="6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Warranty expense increased during the three months ended March 31, 2015 compared with the same period in 2014 primarily due to special warranty provisions for several customers.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Unearned Revenue Related to Extended 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to unearned revenue for extended warranty contracts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92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34,138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33,528</w:t>
            </w:r>
          </w:p>
        </w:tc>
      </w:tr>
      <w:tr>
        <w:trPr>
          <w:trHeight w:val="224"/>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Unearned revenue for new extended warranties</w:t>
            </w:r>
          </w:p>
        </w:tc>
        <w:tc>
          <w:tcPr>
            <w:tcW w:w="15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848</w:t>
            </w:r>
          </w:p>
        </w:tc>
      </w:tr>
      <w:tr>
        <w:trPr>
          <w:trHeight w:val="47"/>
        </w:trPr>
        <w:tc>
          <w:tcPr>
            <w:tcW w:w="67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Unearned revenue recognized</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24"/>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47"/>
        </w:trPr>
        <w:tc>
          <w:tcPr>
            <w:tcW w:w="674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balance</w:t>
            </w:r>
          </w:p>
        </w:tc>
        <w:tc>
          <w:tcPr>
            <w:tcW w:w="15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33,900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33,590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current portion of unearned revenue for extended warranty</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2,971</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2,424</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Long-term unearned revenue for extended warranty within other long-term obligations</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30,929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31,166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Health Benefits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costs were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96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4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gridSpan w:val="2"/>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 costs</w:t>
            </w:r>
          </w:p>
        </w:tc>
        <w:tc>
          <w:tcPr>
            <w:tcW w:w="158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6,513</w:t>
            </w:r>
          </w:p>
        </w:tc>
        <w:tc>
          <w:tcPr>
            <w:tcW w:w="1640" w:type="dxa"/>
            <w:vAlign w:val="bottom"/>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6,263</w:t>
            </w:r>
          </w:p>
        </w:tc>
      </w:tr>
      <w:tr>
        <w:trPr>
          <w:trHeight w:val="33"/>
        </w:trPr>
        <w:tc>
          <w:tcPr>
            <w:tcW w:w="6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IBNR accrual, which is included in wages and benefits payable, was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IBNR accrual</w:t>
            </w:r>
          </w:p>
        </w:tc>
        <w:tc>
          <w:tcPr>
            <w:tcW w:w="176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1,987</w:t>
            </w:r>
          </w:p>
        </w:tc>
        <w:tc>
          <w:tcPr>
            <w:tcW w:w="5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1,924</w:t>
            </w:r>
          </w:p>
        </w:tc>
      </w:tr>
      <w:tr>
        <w:trPr>
          <w:trHeight w:val="33"/>
        </w:trPr>
        <w:tc>
          <w:tcPr>
            <w:tcW w:w="6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2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2014 Projects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began implementing these projects in the fourth quarter of 2014, and we expect to substantially complete these projects by the end of 2016. Certain aspects of the projects are subject to a variety of labor and employment laws, rules, and regulations, which could result in a delay in completing the projects at some locations. During the quarter ended March 31, 2015, the total expected restructuring costs decreased by approximately $6.9 million. This includes $5.4 million in restructuring expense release, recognized in the first quarter of 2015, primarily resulting from employees, originally identified to be terminated, voluntarily resigning or filling vacant positions in different departments or locations. The remainder of the change in expected costs results from the translation impact of foreign exchange rates.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during the three months ended March 31, 2015, and the remaining expected restructuring costs as of March 31, 2015 were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Costs Recognized During</w:t>
            </w:r>
          </w:p>
        </w:tc>
        <w:tc>
          <w:tcPr>
            <w:tcW w:w="140" w:type="dxa"/>
            <w:vAlign w:val="bottom"/>
          </w:tcPr>
          <w:p>
            <w:pPr>
              <w:spacing w:after="0"/>
              <w:rPr>
                <w:sz w:val="17"/>
                <w:szCs w:val="17"/>
                <w:color w:val="auto"/>
              </w:rPr>
            </w:pPr>
          </w:p>
        </w:tc>
        <w:tc>
          <w:tcPr>
            <w:tcW w:w="19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Remaining Costs to be</w:t>
            </w:r>
          </w:p>
        </w:tc>
      </w:t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Total Expected Costs at</w:t>
            </w:r>
          </w:p>
        </w:tc>
        <w:tc>
          <w:tcPr>
            <w:tcW w:w="10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the Three Months Ended</w:t>
            </w:r>
          </w:p>
        </w:tc>
        <w:tc>
          <w:tcPr>
            <w:tcW w:w="140" w:type="dxa"/>
            <w:vAlign w:val="bottom"/>
          </w:tcPr>
          <w:p>
            <w:pPr>
              <w:spacing w:after="0"/>
              <w:rPr>
                <w:sz w:val="17"/>
                <w:szCs w:val="17"/>
                <w:color w:val="auto"/>
              </w:rPr>
            </w:pPr>
          </w:p>
        </w:tc>
        <w:tc>
          <w:tcPr>
            <w:tcW w:w="19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Recognized at March 31,</w:t>
            </w:r>
          </w:p>
        </w:tc>
      </w:tr>
      <w:tr>
        <w:trPr>
          <w:trHeight w:val="212"/>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40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40" w:type="dxa"/>
            <w:vAlign w:val="bottom"/>
          </w:tcPr>
          <w:p>
            <w:pPr>
              <w:spacing w:after="0"/>
              <w:rPr>
                <w:sz w:val="18"/>
                <w:szCs w:val="18"/>
                <w:color w:val="auto"/>
              </w:rPr>
            </w:pPr>
          </w:p>
        </w:tc>
        <w:tc>
          <w:tcPr>
            <w:tcW w:w="19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2015</w:t>
            </w:r>
          </w:p>
        </w:tc>
      </w:tr>
      <w:tr>
        <w:trPr>
          <w:trHeight w:val="3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41,431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impairments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10,140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9,437</w:t>
            </w:r>
          </w:p>
        </w:tc>
      </w:tr>
      <w:tr>
        <w:trPr>
          <w:trHeight w:val="284"/>
        </w:trPr>
        <w:tc>
          <w:tcPr>
            <w:tcW w:w="2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59,790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55,800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9,437</w:t>
            </w:r>
          </w:p>
        </w:tc>
      </w:tr>
      <w:tr>
        <w:trPr>
          <w:trHeight w:val="257"/>
        </w:trPr>
        <w:tc>
          <w:tcPr>
            <w:tcW w:w="2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r>
      <w:tr>
        <w:trPr>
          <w:trHeight w:val="237"/>
        </w:trPr>
        <w:tc>
          <w:tcPr>
            <w:tcW w:w="29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35,316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8,783</w:t>
            </w:r>
          </w:p>
        </w:tc>
      </w:tr>
      <w:tr>
        <w:trPr>
          <w:trHeight w:val="237"/>
        </w:trPr>
        <w:tc>
          <w:tcPr>
            <w:tcW w:w="2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12,185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2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r>
      <w:tr>
        <w:trPr>
          <w:trHeight w:val="33"/>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59,790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55,800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9,437</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during the three months ended March 31, 2015:</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 Impairments &amp;</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Loss on Sale or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2"/>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1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ind w:left="1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January 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62,859</w:t>
            </w:r>
          </w:p>
        </w:tc>
      </w:tr>
      <w:tr>
        <w:trPr>
          <w:trHeight w:val="237"/>
        </w:trPr>
        <w:tc>
          <w:tcPr>
            <w:tcW w:w="4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Costs incurred and charged to expense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w:t>
            </w:r>
          </w:p>
        </w:tc>
      </w:tr>
      <w:tr>
        <w:trPr>
          <w:trHeight w:val="237"/>
        </w:trPr>
        <w:tc>
          <w:tcPr>
            <w:tcW w:w="4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items</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r>
      <w:tr>
        <w:trPr>
          <w:trHeight w:val="24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March 31, 2015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44,406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3,250</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47,656</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portions of the restructuring related liability balances were $40.7 million and $49.1 million as of March 31, 2015 and December 31, 2014. The current portion of the liability is classified within "Other current liabilities" on the Consolidated Balance Sheets. The long-term portions of the restructuring related liability balances were $6.9 million and $13.8 million as of March 31, 2015 and December 31, 2014. The long-term portion of the restructuring liability is classified within "Other long-term obligations" on the Consolidated Balance Sheets, and includes facility exit costs and severance accruals.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plan are not material to our operating segments or consolidated results.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2013 Projects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2013, our management approved projects (the 2013 Projects) to restructure our operations to improve profitability and increase efficiencies. We began implementing these projects in the third quarter of 2013, and we expect to substantially complete project activities by the middle of 2015 and begin recognizing full savings in 2016. While project activities are expected to continue through June 2015, no further costs are expected to be recognized.</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2013 Projects resulted in approximately $26.2 million of restructuring expense, which was recognized from the third quarter of 2013 through the fourth quarter of 2014.</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March 31, 2015 and December 31, 2014.</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Repurchase Plan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7, 2014, Itron's Board of Directors (the Board) authorized a 12-month repurchase program of up to $50 million in shares of our common stock, to begin on March 8, 2014, upon the expiration of the previous stock repurchase program. From March 8, 2014 through December 31, 2014, we repurchased 910,990 shares of our common stock, totaling $36.7 million. From January 1, 2015 through February 2015, we repurchased 335,251 shares of our common stock which fully utilized the remaining $13.3 million authorized under the program.</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19, 2015, the Board authorized a new repurchase program of up to $50 million of our common stock over a 12-month period, beginning February 19, 2015. From February 19, 2015 through March 31, 2015, we repurchased 84,000 shares of our common stock, totaling $3.1 million, and $46.9 million remains under the current program for future purchases.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Comprehensive Income (Loss)</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OCI is reflected as a net increase (decrease) to Itron, Inc. shareholders’ equity and is not reflected in our results of operations. The before-tax amount, income tax (provision) benefit, and net-of-tax amount related to each component of other comprehensive income (loss) during the reporting periods are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94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40" w:type="dxa"/>
            <w:vAlign w:val="bottom"/>
            <w:gridSpan w:val="3"/>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spacing w:after="0"/>
              <w:rPr>
                <w:sz w:val="18"/>
                <w:szCs w:val="18"/>
                <w:color w:val="auto"/>
              </w:rPr>
            </w:pPr>
          </w:p>
        </w:tc>
      </w:tr>
      <w:tr>
        <w:trPr>
          <w:trHeight w:val="27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1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r>
      <w:tr>
        <w:trPr>
          <w:trHeight w:val="237"/>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hedging loss (gain) reclassified into net income</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w:t>
            </w:r>
          </w:p>
        </w:tc>
      </w:tr>
      <w:tr>
        <w:trPr>
          <w:trHeight w:val="237"/>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plan benefits liability adjustment</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1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(61,218)</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w:t>
            </w:r>
          </w:p>
        </w:tc>
      </w:tr>
      <w:tr>
        <w:trPr>
          <w:trHeight w:val="189"/>
        </w:trPr>
        <w:tc>
          <w:tcPr>
            <w:tcW w:w="6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r>
      <w:tr>
        <w:trPr>
          <w:trHeight w:val="237"/>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hedging loss (gain) reclassified into net income</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Pension plan benefits liability adjustment</w:t>
            </w:r>
          </w:p>
        </w:tc>
        <w:tc>
          <w:tcPr>
            <w:tcW w:w="1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tax (provision) benefit</w:t>
            </w:r>
          </w:p>
        </w:tc>
        <w:tc>
          <w:tcPr>
            <w:tcW w:w="15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9"/>
        </w:trPr>
        <w:tc>
          <w:tcPr>
            <w:tcW w:w="6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(61,090)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r>
      <w:tr>
        <w:trPr>
          <w:trHeight w:val="237"/>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hedging loss (gain) reclassified into net income</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r>
      <w:tr>
        <w:trPr>
          <w:trHeight w:val="237"/>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plan benefits liability adjustment</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1500" w:type="dxa"/>
            <w:vAlign w:val="bottom"/>
            <w:tcBorders>
              <w:bottom w:val="single" w:sz="8" w:color="auto"/>
            </w:tcBorders>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(loss) (AOCI), net of tax, were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 on</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Benefit Liability</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January 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(21,722)</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(3,114)</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March 31,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(24,836)</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January 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(136,514)</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(61,090)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(61,460)</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760</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(61,090)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(60,700)</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March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about the AOCI components reclassified to the Consolidated Statements of Operations during the reporting periods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Amount Reclassified from AOCI</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r>
      <w:tr>
        <w:trPr>
          <w:trHeight w:val="207"/>
        </w:trPr>
        <w:tc>
          <w:tcPr>
            <w:tcW w:w="4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Affected Line Item in the Consolidated</w:t>
            </w:r>
          </w:p>
        </w:tc>
      </w:tr>
      <w:tr>
        <w:trPr>
          <w:trHeight w:val="212"/>
        </w:trPr>
        <w:tc>
          <w:tcPr>
            <w:tcW w:w="4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r>
      <w:tr>
        <w:trPr>
          <w:trHeight w:val="33"/>
        </w:trPr>
        <w:tc>
          <w:tcPr>
            <w:tcW w:w="4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 of defined benefit pension items</w:t>
            </w:r>
          </w:p>
        </w:tc>
        <w:tc>
          <w:tcPr>
            <w:tcW w:w="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33"/>
        </w:trPr>
        <w:tc>
          <w:tcPr>
            <w:tcW w:w="4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Prior-service costs</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1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(2)</w:t>
            </w:r>
          </w:p>
        </w:tc>
      </w:tr>
      <w:tr>
        <w:trPr>
          <w:trHeight w:val="224"/>
        </w:trPr>
        <w:tc>
          <w:tcPr>
            <w:tcW w:w="4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Actuarial losses</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(2)</w:t>
            </w:r>
          </w:p>
        </w:tc>
      </w:tr>
      <w:tr>
        <w:trPr>
          <w:trHeight w:val="47"/>
        </w:trPr>
        <w:tc>
          <w:tcPr>
            <w:tcW w:w="42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r>
      <w:tr>
        <w:trPr>
          <w:trHeight w:val="230"/>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before tax</w:t>
            </w:r>
          </w:p>
        </w:tc>
        <w:tc>
          <w:tcPr>
            <w:tcW w:w="4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r>
      <w:tr>
        <w:trPr>
          <w:trHeight w:val="237"/>
        </w:trPr>
        <w:tc>
          <w:tcPr>
            <w:tcW w:w="42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Tax benefit (provision)</w:t>
            </w:r>
          </w:p>
        </w:tc>
        <w:tc>
          <w:tcPr>
            <w:tcW w:w="4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r>
      <w:tr>
        <w:trPr>
          <w:trHeight w:val="33"/>
        </w:trPr>
        <w:tc>
          <w:tcPr>
            <w:tcW w:w="42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net of tax</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r>
      <w:tr>
        <w:trPr>
          <w:trHeight w:val="264"/>
        </w:trPr>
        <w:tc>
          <w:tcPr>
            <w:tcW w:w="424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8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reclassifications for the period, net of tax</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r>
      <w:tr>
        <w:trPr>
          <w:trHeight w:val="20"/>
        </w:trPr>
        <w:tc>
          <w:tcPr>
            <w:tcW w:w="4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Amounts in parenthesis indicate debits to the Consolidated Statements of Operations.</w:t>
      </w:r>
    </w:p>
    <w:p>
      <w:pPr>
        <w:spacing w:after="0" w:line="74" w:lineRule="exact"/>
        <w:rPr>
          <w:rFonts w:ascii="Times New Roman" w:cs="Times New Roman" w:eastAsia="Times New Roman" w:hAnsi="Times New Roman"/>
          <w:sz w:val="22"/>
          <w:szCs w:val="22"/>
          <w:color w:val="auto"/>
          <w:vertAlign w:val="superscript"/>
        </w:rPr>
      </w:pPr>
    </w:p>
    <w:p>
      <w:pPr>
        <w:ind w:left="340" w:hanging="332"/>
        <w:spacing w:after="0" w:line="185" w:lineRule="auto"/>
        <w:tabs>
          <w:tab w:leader="none" w:pos="34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AOCI components are included in the computation of net periodic pension cost. Refer to Note 8 for additional details.</w:t>
      </w:r>
    </w:p>
    <w:p>
      <w:pPr>
        <w:spacing w:after="0" w:line="16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Refer to Note 7 for additional details related to derivative activities that resulted in reclassification of AOCI to the Consolidated Statements of Operations.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Values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at March 31, 2015 and December 31, 2014 do not reflect subsequent changes in the economy, interest rates, and other variables that may affect the determination of fair value. The following table presents the fair values of our financial instruments as of the balance sheet dates: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20" w:type="dxa"/>
            <w:vAlign w:val="bottom"/>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540" w:type="dxa"/>
            <w:vAlign w:val="bottom"/>
          </w:tcPr>
          <w:p>
            <w:pPr>
              <w:spacing w:after="0"/>
              <w:rPr>
                <w:sz w:val="18"/>
                <w:szCs w:val="18"/>
                <w:color w:val="auto"/>
              </w:rPr>
            </w:pPr>
          </w:p>
        </w:tc>
        <w:tc>
          <w:tcPr>
            <w:tcW w:w="118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540" w:type="dxa"/>
            <w:vAlign w:val="bottom"/>
          </w:tcPr>
          <w:p>
            <w:pPr>
              <w:spacing w:after="0"/>
              <w:rPr>
                <w:sz w:val="18"/>
                <w:szCs w:val="18"/>
                <w:color w:val="auto"/>
              </w:rPr>
            </w:pPr>
          </w:p>
        </w:tc>
        <w:tc>
          <w:tcPr>
            <w:tcW w:w="118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118,084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118,084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112,371</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USD denominated term loan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224,278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231,645</w:t>
            </w:r>
          </w:p>
        </w:tc>
      </w:tr>
      <w:tr>
        <w:trPr>
          <w:trHeight w:val="237"/>
        </w:trPr>
        <w:tc>
          <w:tcPr>
            <w:tcW w:w="47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136,310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135,744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91,469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91,124</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1,317</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term loan and multicurrency revolving line of credit: </w:t>
      </w:r>
      <w:r>
        <w:rPr>
          <w:rFonts w:ascii="Times New Roman" w:cs="Times New Roman" w:eastAsia="Times New Roman" w:hAnsi="Times New Roman"/>
          <w:sz w:val="18"/>
          <w:szCs w:val="18"/>
          <w:color w:val="auto"/>
        </w:rPr>
        <w:t>The term loan and revolver are not traded publicly. The fair values, which are valued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See Note 7 for a description of our methods and assumptions in determining the fair value of our derivatives, which were determined using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 inputs.</w:t>
      </w: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GAAP measures of segment performance: revenue, gross profit (margin), and operating income (margin). Our operating segments have distinct products, and, therefore, intersegment revenues are minimal. Certain operating expenses are allocated to the operating segments based upon internally established allocation methodologies. Corporate operating expenses, interest income, interest expense, other income (expense), and income tax provision (benefit)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4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80"/>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Segment Products</w:t>
            </w:r>
          </w:p>
        </w:tc>
        <w:tc>
          <w:tcPr>
            <w:tcW w:w="2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68"/>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Electricity</w:t>
            </w:r>
          </w:p>
        </w:tc>
        <w:tc>
          <w:tcPr>
            <w:tcW w:w="10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Standard electricity (electromechanical and electronic) meters; advanced electricity meters and communication modules; smart electricity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meters; smart electricity communication modules; prepayment systems, including smart key, keypad, and smart card communication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technologies; advanced systems including handheld, mobile, and fixed network collection technologies; smart network technologies;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meter data management software; knowledge application solutions; installation; implementation; and professional services including</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analysis.</w:t>
            </w:r>
          </w:p>
        </w:tc>
        <w:tc>
          <w:tcPr>
            <w:tcW w:w="2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81"/>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Gas</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gas meters; advanced</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gas meters and communication modules;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smart gas meters; smart gas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communication modules;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prepayment systems, including smart key, keypad, and smart card communication technologies; advanced systems, including handheld,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mobile, and fixed network collection technologies; smart network technologies; meter data management software; knowledge application</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solutions; installation; implementation; and professional services including consulting and analysis.</w:t>
            </w:r>
          </w:p>
        </w:tc>
        <w:tc>
          <w:tcPr>
            <w:tcW w:w="3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81"/>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Water</w:t>
            </w:r>
          </w:p>
        </w:tc>
        <w:tc>
          <w:tcPr>
            <w:tcW w:w="10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Standard water and heat meters; advanced and smart water meters and communication modules; smart heat meters; advanced systems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including handheld, mobile, and fixed network collection technologies; meter data management software; knowledge application</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solutions; installation; implementation; and professional services including consulting and analysis.</w:t>
            </w:r>
          </w:p>
        </w:tc>
        <w:tc>
          <w:tcPr>
            <w:tcW w:w="3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59"/>
        </w:trPr>
        <w:tc>
          <w:tcPr>
            <w:tcW w:w="7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Revenues, gross profit, and operating income associated with our segments were as follows:</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521"/>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80" w:type="dxa"/>
            <w:vAlign w:val="bottom"/>
            <w:gridSpan w:val="4"/>
          </w:tcPr>
          <w:p>
            <w:pPr>
              <w:jc w:val="right"/>
              <w:ind w:right="1138"/>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1"/>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jc w:val="right"/>
              <w:ind w:right="898"/>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jc w:val="right"/>
              <w:ind w:right="898"/>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4"/>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80" w:type="dxa"/>
            <w:vAlign w:val="bottom"/>
            <w:gridSpan w:val="4"/>
          </w:tcPr>
          <w:p>
            <w:pPr>
              <w:jc w:val="right"/>
              <w:ind w:right="1738"/>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57"/>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47"/>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Electricity</w:t>
            </w:r>
          </w:p>
        </w:tc>
        <w:tc>
          <w:tcPr>
            <w:tcW w:w="246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193,852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180,218</w:t>
            </w:r>
          </w:p>
        </w:tc>
      </w:tr>
      <w:tr>
        <w:trPr>
          <w:trHeight w:val="237"/>
        </w:trPr>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Gas</w:t>
            </w:r>
          </w:p>
        </w:tc>
        <w:tc>
          <w:tcPr>
            <w:tcW w:w="2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125,089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146,109</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Water</w:t>
            </w:r>
          </w:p>
        </w:tc>
        <w:tc>
          <w:tcPr>
            <w:tcW w:w="246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129,306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148,468</w:t>
            </w:r>
          </w:p>
        </w:tc>
      </w:tr>
      <w:tr>
        <w:trPr>
          <w:trHeight w:val="217"/>
        </w:trPr>
        <w:tc>
          <w:tcPr>
            <w:tcW w:w="386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288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448,247</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474,795</w:t>
            </w:r>
          </w:p>
        </w:tc>
      </w:tr>
      <w:tr>
        <w:trPr>
          <w:trHeight w:val="73"/>
        </w:trPr>
        <w:tc>
          <w:tcPr>
            <w:tcW w:w="12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60" w:type="dxa"/>
            <w:vAlign w:val="bottom"/>
            <w:tcBorders>
              <w:bottom w:val="single" w:sz="8" w:color="CCEEFF"/>
            </w:tcBorders>
          </w:tcPr>
          <w:p>
            <w:pPr>
              <w:spacing w:after="0"/>
              <w:rPr>
                <w:sz w:val="6"/>
                <w:szCs w:val="6"/>
                <w:color w:val="auto"/>
              </w:rPr>
            </w:pPr>
          </w:p>
        </w:tc>
        <w:tc>
          <w:tcPr>
            <w:tcW w:w="288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r>
      <w:tr>
        <w:trPr>
          <w:trHeight w:val="251"/>
        </w:trPr>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r>
      <w:tr>
        <w:trPr>
          <w:trHeight w:val="224"/>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7"/>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Electricity</w:t>
            </w:r>
          </w:p>
        </w:tc>
        <w:tc>
          <w:tcPr>
            <w:tcW w:w="246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55,120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42,740</w:t>
            </w:r>
          </w:p>
        </w:tc>
      </w:tr>
      <w:tr>
        <w:trPr>
          <w:trHeight w:val="237"/>
        </w:trPr>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Gas</w:t>
            </w:r>
          </w:p>
        </w:tc>
        <w:tc>
          <w:tcPr>
            <w:tcW w:w="2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43,516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58,406</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Water</w:t>
            </w:r>
          </w:p>
        </w:tc>
        <w:tc>
          <w:tcPr>
            <w:tcW w:w="246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39,563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53,389</w:t>
            </w:r>
          </w:p>
        </w:tc>
      </w:tr>
      <w:tr>
        <w:trPr>
          <w:trHeight w:val="217"/>
        </w:trPr>
        <w:tc>
          <w:tcPr>
            <w:tcW w:w="386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288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138,199</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154,535</w:t>
            </w:r>
          </w:p>
        </w:tc>
      </w:tr>
      <w:tr>
        <w:trPr>
          <w:trHeight w:val="73"/>
        </w:trPr>
        <w:tc>
          <w:tcPr>
            <w:tcW w:w="1280" w:type="dxa"/>
            <w:vAlign w:val="bottom"/>
            <w:tcBorders>
              <w:bottom w:val="single" w:sz="8" w:color="CCEEFF"/>
            </w:tcBorders>
          </w:tcPr>
          <w:p>
            <w:pPr>
              <w:spacing w:after="0"/>
              <w:rPr>
                <w:sz w:val="6"/>
                <w:szCs w:val="6"/>
                <w:color w:val="auto"/>
              </w:rPr>
            </w:pPr>
          </w:p>
        </w:tc>
        <w:tc>
          <w:tcPr>
            <w:tcW w:w="2580" w:type="dxa"/>
            <w:vAlign w:val="bottom"/>
            <w:tcBorders>
              <w:bottom w:val="single" w:sz="8" w:color="CCEEFF"/>
            </w:tcBorders>
            <w:gridSpan w:val="2"/>
          </w:tcPr>
          <w:p>
            <w:pPr>
              <w:spacing w:after="0"/>
              <w:rPr>
                <w:sz w:val="6"/>
                <w:szCs w:val="6"/>
                <w:color w:val="auto"/>
              </w:rPr>
            </w:pPr>
          </w:p>
        </w:tc>
        <w:tc>
          <w:tcPr>
            <w:tcW w:w="288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r>
      <w:tr>
        <w:trPr>
          <w:trHeight w:val="251"/>
        </w:trPr>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r>
      <w:tr>
        <w:trPr>
          <w:trHeight w:val="224"/>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7"/>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Electricity</w:t>
            </w:r>
          </w:p>
        </w:tc>
        <w:tc>
          <w:tcPr>
            <w:tcW w:w="246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(22,969)</w:t>
            </w:r>
          </w:p>
        </w:tc>
      </w:tr>
      <w:tr>
        <w:trPr>
          <w:trHeight w:val="237"/>
        </w:trPr>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Gas</w:t>
            </w:r>
          </w:p>
        </w:tc>
        <w:tc>
          <w:tcPr>
            <w:tcW w:w="2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13,592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25,724</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Water</w:t>
            </w:r>
          </w:p>
        </w:tc>
        <w:tc>
          <w:tcPr>
            <w:tcW w:w="246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8,097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20,643</w:t>
            </w:r>
          </w:p>
        </w:tc>
      </w:tr>
      <w:tr>
        <w:trPr>
          <w:trHeight w:val="237"/>
        </w:trPr>
        <w:tc>
          <w:tcPr>
            <w:tcW w:w="38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Corporate unallocated</w:t>
            </w:r>
          </w:p>
        </w:tc>
        <w:tc>
          <w:tcPr>
            <w:tcW w:w="2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(18,859)</w:t>
            </w:r>
          </w:p>
        </w:tc>
      </w:tr>
      <w:tr>
        <w:trPr>
          <w:trHeight w:val="33"/>
        </w:trPr>
        <w:tc>
          <w:tcPr>
            <w:tcW w:w="12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gridSpan w:val="2"/>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386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28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13,539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4,539</w:t>
            </w:r>
          </w:p>
        </w:tc>
      </w:tr>
      <w:tr>
        <w:trPr>
          <w:trHeight w:val="237"/>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w:t>
            </w:r>
          </w:p>
        </w:tc>
      </w:tr>
      <w:tr>
        <w:trPr>
          <w:trHeight w:val="33"/>
        </w:trPr>
        <w:tc>
          <w:tcPr>
            <w:tcW w:w="12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gridSpan w:val="2"/>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5"/>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10,928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and March 31, 2014, no single customer represented more than 10% of total Company or the Electricity, Gas, or Water operating segment revenues.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08"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United States and Canada</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Europe, Middle East, and Africa</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2967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18"/>
                <w:szCs w:val="18"/>
                <w:color w:val="auto"/>
              </w:rPr>
            </w:pPr>
          </w:p>
        </w:tc>
        <w:tc>
          <w:tcPr>
            <w:tcW w:w="174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256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60" w:type="dxa"/>
            <w:vAlign w:val="bottom"/>
          </w:tcPr>
          <w:p>
            <w:pPr>
              <w:spacing w:after="0"/>
              <w:rPr>
                <w:sz w:val="18"/>
                <w:szCs w:val="18"/>
                <w:color w:val="auto"/>
              </w:rPr>
            </w:pPr>
          </w:p>
        </w:tc>
      </w:tr>
      <w:tr>
        <w:trPr>
          <w:trHeight w:val="270"/>
        </w:trPr>
        <w:tc>
          <w:tcPr>
            <w:tcW w:w="5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231,136</w:t>
            </w:r>
          </w:p>
        </w:tc>
        <w:tc>
          <w:tcPr>
            <w:tcW w:w="120" w:type="dxa"/>
            <w:vAlign w:val="bottom"/>
          </w:tcPr>
          <w:p>
            <w:pPr>
              <w:spacing w:after="0"/>
              <w:rPr>
                <w:sz w:val="23"/>
                <w:szCs w:val="23"/>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200,370</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174,654</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223,504</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42,457</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50,921</w:t>
            </w:r>
          </w:p>
        </w:tc>
      </w:tr>
      <w:tr>
        <w:trPr>
          <w:trHeight w:val="33"/>
        </w:trPr>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448,247</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474,795</w:t>
            </w:r>
          </w:p>
        </w:tc>
      </w:tr>
      <w:tr>
        <w:trPr>
          <w:trHeight w:val="33"/>
        </w:trPr>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-711200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020" w:space="720"/>
            <w:col w:w="4680"/>
          </w:cols>
          <w:pgMar w:left="240" w:top="121"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associated with our segments was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92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Electricity</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9,147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12,767</w:t>
            </w: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Gas</w:t>
            </w:r>
          </w:p>
        </w:tc>
        <w:tc>
          <w:tcPr>
            <w:tcW w:w="15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5,326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6,649</w:t>
            </w:r>
          </w:p>
        </w:tc>
      </w:tr>
      <w:tr>
        <w:trPr>
          <w:trHeight w:val="47"/>
        </w:trPr>
        <w:tc>
          <w:tcPr>
            <w:tcW w:w="67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Water</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6,094</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Unallocated</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19,339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25,592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Repurchases</w:t>
      </w:r>
    </w:p>
    <w:p>
      <w:pPr>
        <w:spacing w:after="0" w:line="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Subsequent to March 31, 2015, we repurchased 52,775 shares of our common stock under the stock repurchase program authorized by the Board of Directors on February 19, 2015. The average price paid per share was $36.79.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2014, filed with the Securities and Exchange Commission (SEC) on February 20, 2015.</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(http://</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at the SEC’s Headquarters at 100 F Street, NE, Washington, DC 20549, or by calling 1-800-SEC-0330.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222222"/>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changes in estimated liabilities for product warranties and/or litigation,</w:t>
      </w:r>
    </w:p>
    <w:p>
      <w:pPr>
        <w:spacing w:after="0" w:line="2" w:lineRule="exact"/>
        <w:rPr>
          <w:sz w:val="20"/>
          <w:szCs w:val="20"/>
          <w:color w:val="auto"/>
        </w:rPr>
      </w:pPr>
    </w:p>
    <w:p>
      <w:pPr>
        <w:jc w:val="both"/>
        <w:ind w:firstLine="8"/>
        <w:spacing w:after="0" w:line="250" w:lineRule="auto"/>
        <w:tabs>
          <w:tab w:leader="none" w:pos="221" w:val="left"/>
        </w:tabs>
        <w:numPr>
          <w:ilvl w:val="0"/>
          <w:numId w:val="9"/>
        </w:numPr>
        <w:rPr>
          <w:rFonts w:ascii="Times New Roman" w:cs="Times New Roman" w:eastAsia="Times New Roman" w:hAnsi="Times New Roman"/>
          <w:sz w:val="18"/>
          <w:szCs w:val="18"/>
          <w:i w:val="1"/>
          <w:iCs w:val="1"/>
          <w:color w:val="222222"/>
        </w:rPr>
      </w:pPr>
      <w:r>
        <w:rPr>
          <w:rFonts w:ascii="Times New Roman" w:cs="Times New Roman" w:eastAsia="Times New Roman" w:hAnsi="Times New Roman"/>
          <w:sz w:val="18"/>
          <w:szCs w:val="18"/>
          <w:i w:val="1"/>
          <w:iCs w:val="1"/>
          <w:color w:val="222222"/>
        </w:rPr>
        <w:t>changes in foreign currency exchange rates and interest rates, 4) rescheduling or cancellations of current customer orders and commitments, 5) our dependence on customers' acceptance of new products and their performance, 6) competition, 7) changes in domestic and international laws and regulations,</w:t>
      </w:r>
    </w:p>
    <w:p>
      <w:pPr>
        <w:jc w:val="both"/>
        <w:ind w:firstLine="8"/>
        <w:spacing w:after="0" w:line="253" w:lineRule="auto"/>
        <w:tabs>
          <w:tab w:leader="none" w:pos="211" w:val="left"/>
        </w:tabs>
        <w:numPr>
          <w:ilvl w:val="0"/>
          <w:numId w:val="10"/>
        </w:numPr>
        <w:rPr>
          <w:rFonts w:ascii="Times New Roman" w:cs="Times New Roman" w:eastAsia="Times New Roman" w:hAnsi="Times New Roman"/>
          <w:sz w:val="18"/>
          <w:szCs w:val="18"/>
          <w:i w:val="1"/>
          <w:iCs w:val="1"/>
          <w:color w:val="222222"/>
        </w:rPr>
      </w:pPr>
      <w:r>
        <w:rPr>
          <w:rFonts w:ascii="Times New Roman" w:cs="Times New Roman" w:eastAsia="Times New Roman" w:hAnsi="Times New Roman"/>
          <w:sz w:val="18"/>
          <w:szCs w:val="18"/>
          <w:i w:val="1"/>
          <w:iCs w:val="1"/>
          <w:color w:val="222222"/>
        </w:rPr>
        <w:t xml:space="preserve">international business risks, 9) our own and our customers' or suppliers' access to and cost of capital, 10) future business combinations, and 11) other factors. You should not solely rely on these forward-looking statements as they are only valid as of the date of this Quarterly Report on Form 10-Q. We do not have any obligation to publicly update or revise any forward-looking statement in this document. </w:t>
      </w:r>
      <w:r>
        <w:rPr>
          <w:rFonts w:ascii="Times New Roman" w:cs="Times New Roman" w:eastAsia="Times New Roman" w:hAnsi="Times New Roman"/>
          <w:sz w:val="18"/>
          <w:szCs w:val="18"/>
          <w:i w:val="1"/>
          <w:iCs w:val="1"/>
          <w:color w:val="000000"/>
        </w:rPr>
        <w:t>For a more complete description of these and other risks,</w:t>
      </w:r>
      <w:r>
        <w:rPr>
          <w:rFonts w:ascii="Times New Roman" w:cs="Times New Roman" w:eastAsia="Times New Roman" w:hAnsi="Times New Roman"/>
          <w:sz w:val="18"/>
          <w:szCs w:val="18"/>
          <w:i w:val="1"/>
          <w:iCs w:val="1"/>
          <w:color w:val="222222"/>
        </w:rPr>
        <w:t xml:space="preserve"> </w:t>
      </w:r>
      <w:r>
        <w:rPr>
          <w:rFonts w:ascii="Times New Roman" w:cs="Times New Roman" w:eastAsia="Times New Roman" w:hAnsi="Times New Roman"/>
          <w:sz w:val="18"/>
          <w:szCs w:val="18"/>
          <w:i w:val="1"/>
          <w:iCs w:val="1"/>
          <w:color w:val="000000"/>
        </w:rPr>
        <w:t>refer to Item 1A: “Risk Factors” included in our Annual Report on Form 10-K for the fiscal year ended December 31, 2014, which was filed with the SEC on February 20, 2015.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 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measures of segment performance under U.S. generally accepted accounting principles (GAAP): revenue, gross profit (margin), and operating income (margin). In addition, we measure segment performance using non-GAAP operating income. Intersegment revenues are minimal. Certain operating expenses are allocated to the operating segments based upon internally established allocation methodologies. Interest income, interest expense, other income (expense), income tax provision (benefit), and certain corporate operating expenses are not allocated to the segments, nor included in the measures of segment performance. See pages 47-49 for information about our non-GAAP measures and reconciliations to the most comparable GAAP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22222"/>
        </w:rPr>
        <w:t xml:space="preserve">Revenues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22222"/>
        </w:rPr>
        <w:t xml:space="preserve"> months ended </w:t>
      </w:r>
      <w:r>
        <w:rPr>
          <w:rFonts w:ascii="Times New Roman" w:cs="Times New Roman" w:eastAsia="Times New Roman" w:hAnsi="Times New Roman"/>
          <w:sz w:val="18"/>
          <w:szCs w:val="18"/>
          <w:color w:val="000000"/>
        </w:rPr>
        <w:t>March 31, 2015</w:t>
      </w:r>
      <w:r>
        <w:rPr>
          <w:rFonts w:ascii="Times New Roman" w:cs="Times New Roman" w:eastAsia="Times New Roman" w:hAnsi="Times New Roman"/>
          <w:sz w:val="18"/>
          <w:szCs w:val="18"/>
          <w:color w:val="222222"/>
        </w:rPr>
        <w:t xml:space="preserve"> were </w:t>
      </w:r>
      <w:r>
        <w:rPr>
          <w:rFonts w:ascii="Times New Roman" w:cs="Times New Roman" w:eastAsia="Times New Roman" w:hAnsi="Times New Roman"/>
          <w:sz w:val="18"/>
          <w:szCs w:val="18"/>
          <w:color w:val="000000"/>
        </w:rPr>
        <w:t>$448 million</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$475 million</w:t>
      </w:r>
      <w:r>
        <w:rPr>
          <w:rFonts w:ascii="Times New Roman" w:cs="Times New Roman" w:eastAsia="Times New Roman" w:hAnsi="Times New Roman"/>
          <w:sz w:val="18"/>
          <w:szCs w:val="18"/>
          <w:color w:val="222222"/>
        </w:rPr>
        <w:t xml:space="preserve"> in the same period last year. Total revenue was unfavorably impacted by $43.6 million due to changes in foreign exchange rates. Apart from the foreign exchange impact, revenues increased in the Electricity segment by $25.6 million and decreased by $8.5 million in the Gas segment. Water segment revenues were flat. Gross margin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22222"/>
        </w:rPr>
        <w:t xml:space="preserve"> months ended </w:t>
      </w:r>
      <w:r>
        <w:rPr>
          <w:rFonts w:ascii="Times New Roman" w:cs="Times New Roman" w:eastAsia="Times New Roman" w:hAnsi="Times New Roman"/>
          <w:sz w:val="18"/>
          <w:szCs w:val="18"/>
          <w:color w:val="000000"/>
        </w:rPr>
        <w:t>March 31, 2015</w:t>
      </w:r>
      <w:r>
        <w:rPr>
          <w:rFonts w:ascii="Times New Roman" w:cs="Times New Roman" w:eastAsia="Times New Roman" w:hAnsi="Times New Roman"/>
          <w:sz w:val="18"/>
          <w:szCs w:val="18"/>
          <w:color w:val="222222"/>
        </w:rPr>
        <w:t xml:space="preserve"> was </w:t>
      </w:r>
      <w:r>
        <w:rPr>
          <w:rFonts w:ascii="Times New Roman" w:cs="Times New Roman" w:eastAsia="Times New Roman" w:hAnsi="Times New Roman"/>
          <w:sz w:val="18"/>
          <w:szCs w:val="18"/>
          <w:color w:val="000000"/>
        </w:rPr>
        <w:t>30.8%</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32.5%</w:t>
      </w:r>
      <w:r>
        <w:rPr>
          <w:rFonts w:ascii="Times New Roman" w:cs="Times New Roman" w:eastAsia="Times New Roman" w:hAnsi="Times New Roman"/>
          <w:sz w:val="18"/>
          <w:szCs w:val="18"/>
          <w:color w:val="222222"/>
        </w:rPr>
        <w:t xml:space="preserve"> for the same period in 2014. Gross margin was lower in 2015 as the result of declines in the Gas and Water segments, partially offset by an improvement in Electricity.</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22222"/>
        </w:rPr>
        <w:t xml:space="preserve">GAAP operating expenses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22222"/>
        </w:rPr>
        <w:t xml:space="preserve"> months ended March 31, 2015 were lower by $25.3 million compared with the same period in 2014. Total operating expenses were favorably impacted by $14.7 million due to changes in foreign exchange rates. Apart from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the foreign exchange impact, operating expense categories were lower in 2015 as compared with 2014, with the largest decreases in restructuring expense, sales and marketing expense, and amortization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 xml:space="preserve">Total backlog was $1.4 billion and twelve-month backlog was $779 million at </w:t>
      </w:r>
      <w:r>
        <w:rPr>
          <w:rFonts w:ascii="Times New Roman" w:cs="Times New Roman" w:eastAsia="Times New Roman" w:hAnsi="Times New Roman"/>
          <w:sz w:val="18"/>
          <w:szCs w:val="18"/>
          <w:color w:val="000000"/>
        </w:rPr>
        <w:t>March 31, 2015</w:t>
      </w:r>
      <w:r>
        <w:rPr>
          <w:rFonts w:ascii="Times New Roman" w:cs="Times New Roman" w:eastAsia="Times New Roman" w:hAnsi="Times New Roman"/>
          <w:sz w:val="18"/>
          <w:szCs w:val="18"/>
          <w:color w:val="222222"/>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We began implementing these projects in the fourth quarter of 2014, and we expect to substantially complete these projects by the end of 2016. Certain aspects of the projects are subject to a variety of labor and employment laws, rules, and regulations, which could result in a delay in completing the projects at some locations. During the quarter ended March 31, 2015, the total expected restructuring costs decreased by approximately $6.9 million. This includes $5.4 million in restructuring expense release, recognized in the first quarter of 2015, primarily resulting from employees, originally identified to be terminated, voluntarily resigning or filling vacant positions in different departments or locations. The remainder of the change in expected costs results from the translation impact of foreign exchange rates.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Unit Shipments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880" w:type="dxa"/>
            <w:vAlign w:val="bottom"/>
          </w:tcPr>
          <w:p>
            <w:pPr>
              <w:spacing w:after="0"/>
              <w:rPr>
                <w:sz w:val="20"/>
                <w:szCs w:val="20"/>
                <w:color w:val="auto"/>
              </w:rPr>
            </w:pPr>
          </w:p>
        </w:tc>
        <w:tc>
          <w:tcPr>
            <w:tcW w:w="1520" w:type="dxa"/>
            <w:vAlign w:val="bottom"/>
          </w:tcPr>
          <w:p>
            <w:pPr>
              <w:ind w:left="1060"/>
              <w:spacing w:after="0"/>
              <w:rPr>
                <w:sz w:val="20"/>
                <w:szCs w:val="20"/>
                <w:color w:val="auto"/>
              </w:rPr>
            </w:pPr>
            <w:r>
              <w:rPr>
                <w:rFonts w:ascii="Times New Roman" w:cs="Times New Roman" w:eastAsia="Times New Roman" w:hAnsi="Times New Roman"/>
                <w:sz w:val="16"/>
                <w:szCs w:val="16"/>
                <w:b w:val="1"/>
                <w:bCs w:val="1"/>
                <w:color w:val="auto"/>
              </w:rPr>
              <w:t>2014</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7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4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(in thousands, except margin and per share data)</w:t>
            </w:r>
          </w:p>
        </w:tc>
        <w:tc>
          <w:tcPr>
            <w:tcW w:w="2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9"/>
        </w:trPr>
        <w:tc>
          <w:tcPr>
            <w:tcW w:w="43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w:t>
            </w:r>
          </w:p>
        </w:tc>
        <w:tc>
          <w:tcPr>
            <w:tcW w:w="1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80" w:type="dxa"/>
            <w:vAlign w:val="bottom"/>
            <w:tcBorders>
              <w:top w:val="single" w:sz="8" w:color="CCEEFF"/>
            </w:tcBorders>
            <w:shd w:val="clear" w:color="auto" w:fill="CCEEFF"/>
          </w:tcPr>
          <w:p>
            <w:pPr>
              <w:spacing w:after="0"/>
              <w:rPr>
                <w:sz w:val="5"/>
                <w:szCs w:val="5"/>
                <w:color w:val="auto"/>
              </w:rPr>
            </w:pPr>
          </w:p>
        </w:tc>
      </w:tr>
      <w:tr>
        <w:trPr>
          <w:trHeight w:val="237"/>
        </w:trPr>
        <w:tc>
          <w:tcPr>
            <w:tcW w:w="430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48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448,247</w:t>
            </w:r>
          </w:p>
        </w:tc>
        <w:tc>
          <w:tcPr>
            <w:tcW w:w="1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474,795</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48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138,199</w:t>
            </w:r>
          </w:p>
        </w:tc>
        <w:tc>
          <w:tcPr>
            <w:tcW w:w="1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154,535</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r>
      <w:tr>
        <w:trPr>
          <w:trHeight w:val="237"/>
        </w:trPr>
        <w:tc>
          <w:tcPr>
            <w:tcW w:w="430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Operating Expense</w:t>
            </w:r>
          </w:p>
        </w:tc>
        <w:tc>
          <w:tcPr>
            <w:tcW w:w="148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124,660</w:t>
            </w:r>
          </w:p>
        </w:tc>
        <w:tc>
          <w:tcPr>
            <w:tcW w:w="1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149,996</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148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13,539</w:t>
            </w:r>
          </w:p>
        </w:tc>
        <w:tc>
          <w:tcPr>
            <w:tcW w:w="1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4,539</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198%</w:t>
            </w:r>
          </w:p>
        </w:tc>
      </w:tr>
      <w:tr>
        <w:trPr>
          <w:trHeight w:val="237"/>
        </w:trPr>
        <w:tc>
          <w:tcPr>
            <w:tcW w:w="430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48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(2,611)</w:t>
            </w:r>
          </w:p>
        </w:tc>
        <w:tc>
          <w:tcPr>
            <w:tcW w:w="1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(5,310)</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48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(5,563)</w:t>
            </w:r>
          </w:p>
        </w:tc>
        <w:tc>
          <w:tcPr>
            <w:tcW w:w="1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37"/>
        </w:trPr>
        <w:tc>
          <w:tcPr>
            <w:tcW w:w="430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Itron, Inc.</w:t>
            </w:r>
          </w:p>
        </w:tc>
        <w:tc>
          <w:tcPr>
            <w:tcW w:w="148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4,910</w:t>
            </w:r>
          </w:p>
        </w:tc>
        <w:tc>
          <w:tcPr>
            <w:tcW w:w="1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r>
      <w:tr>
        <w:trPr>
          <w:trHeight w:val="189"/>
        </w:trPr>
        <w:tc>
          <w:tcPr>
            <w:tcW w:w="4300" w:type="dxa"/>
            <w:vAlign w:val="bottom"/>
            <w:gridSpan w:val="6"/>
          </w:tcPr>
          <w:p>
            <w:pPr>
              <w:ind w:left="40"/>
              <w:spacing w:after="0" w:line="189" w:lineRule="exact"/>
              <w:rPr>
                <w:sz w:val="20"/>
                <w:szCs w:val="20"/>
                <w:color w:val="auto"/>
              </w:rPr>
            </w:pPr>
            <w:r>
              <w:rPr>
                <w:rFonts w:ascii="Times New Roman" w:cs="Times New Roman" w:eastAsia="Times New Roman" w:hAnsi="Times New Roman"/>
                <w:sz w:val="16"/>
                <w:szCs w:val="16"/>
                <w:b w:val="1"/>
                <w:bCs w:val="1"/>
                <w:color w:val="auto"/>
              </w:rPr>
              <w:t xml:space="preserve">Non-GAAP </w:t>
            </w:r>
            <w:r>
              <w:rPr>
                <w:rFonts w:ascii="Times New Roman" w:cs="Times New Roman" w:eastAsia="Times New Roman" w:hAnsi="Times New Roman"/>
                <w:sz w:val="21"/>
                <w:szCs w:val="21"/>
                <w:b w:val="1"/>
                <w:bCs w:val="1"/>
                <w:color w:val="auto"/>
                <w:vertAlign w:val="superscript"/>
              </w:rPr>
              <w:t>(1)</w:t>
            </w: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80" w:type="dxa"/>
            <w:vAlign w:val="bottom"/>
          </w:tcPr>
          <w:p>
            <w:pPr>
              <w:spacing w:after="0"/>
              <w:rPr>
                <w:sz w:val="5"/>
                <w:szCs w:val="5"/>
                <w:color w:val="auto"/>
              </w:rPr>
            </w:pPr>
          </w:p>
        </w:tc>
      </w:tr>
      <w:tr>
        <w:trPr>
          <w:trHeight w:val="250"/>
        </w:trPr>
        <w:tc>
          <w:tcPr>
            <w:tcW w:w="43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w:t>
            </w:r>
          </w:p>
        </w:tc>
        <w:tc>
          <w:tcPr>
            <w:tcW w:w="148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119,810</w:t>
            </w:r>
          </w:p>
        </w:tc>
        <w:tc>
          <w:tcPr>
            <w:tcW w:w="1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131,936</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237"/>
        </w:trPr>
        <w:tc>
          <w:tcPr>
            <w:tcW w:w="430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148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18,389</w:t>
            </w:r>
          </w:p>
        </w:tc>
        <w:tc>
          <w:tcPr>
            <w:tcW w:w="1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22,599</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8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7,811</w:t>
            </w:r>
          </w:p>
        </w:tc>
        <w:tc>
          <w:tcPr>
            <w:tcW w:w="1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12,243</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r>
      <w:tr>
        <w:trPr>
          <w:trHeight w:val="28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9"/>
        </w:trPr>
        <w:tc>
          <w:tcPr>
            <w:tcW w:w="43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Margins and Earnings Per Share</w:t>
            </w:r>
          </w:p>
        </w:tc>
        <w:tc>
          <w:tcPr>
            <w:tcW w:w="1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80" w:type="dxa"/>
            <w:vAlign w:val="bottom"/>
            <w:tcBorders>
              <w:top w:val="single" w:sz="8" w:color="CCEEFF"/>
            </w:tcBorders>
            <w:shd w:val="clear" w:color="auto" w:fill="CCEEFF"/>
          </w:tcPr>
          <w:p>
            <w:pPr>
              <w:spacing w:after="0"/>
              <w:rPr>
                <w:sz w:val="5"/>
                <w:szCs w:val="5"/>
                <w:color w:val="auto"/>
              </w:rPr>
            </w:pPr>
          </w:p>
        </w:tc>
      </w:tr>
      <w:tr>
        <w:trPr>
          <w:trHeight w:val="237"/>
        </w:trPr>
        <w:tc>
          <w:tcPr>
            <w:tcW w:w="430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1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Margin</w:t>
            </w:r>
          </w:p>
        </w:tc>
        <w:tc>
          <w:tcPr>
            <w:tcW w:w="1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430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Basic EPS</w:t>
            </w:r>
          </w:p>
        </w:tc>
        <w:tc>
          <w:tcPr>
            <w:tcW w:w="148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c>
          <w:tcPr>
            <w:tcW w:w="1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EPS</w:t>
            </w:r>
          </w:p>
        </w:tc>
        <w:tc>
          <w:tcPr>
            <w:tcW w:w="148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c>
          <w:tcPr>
            <w:tcW w:w="1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8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9"/>
        </w:trPr>
        <w:tc>
          <w:tcPr>
            <w:tcW w:w="4300" w:type="dxa"/>
            <w:vAlign w:val="bottom"/>
            <w:gridSpan w:val="6"/>
            <w:shd w:val="clear" w:color="auto" w:fill="CCEEFF"/>
          </w:tcPr>
          <w:p>
            <w:pPr>
              <w:ind w:left="40"/>
              <w:spacing w:after="0" w:line="189" w:lineRule="exact"/>
              <w:rPr>
                <w:sz w:val="20"/>
                <w:szCs w:val="20"/>
                <w:color w:val="auto"/>
              </w:rPr>
            </w:pPr>
            <w:r>
              <w:rPr>
                <w:rFonts w:ascii="Times New Roman" w:cs="Times New Roman" w:eastAsia="Times New Roman" w:hAnsi="Times New Roman"/>
                <w:sz w:val="16"/>
                <w:szCs w:val="16"/>
                <w:b w:val="1"/>
                <w:bCs w:val="1"/>
                <w:color w:val="auto"/>
              </w:rPr>
              <w:t xml:space="preserve">Non-GAAP Earnings Per Share </w:t>
            </w:r>
            <w:r>
              <w:rPr>
                <w:rFonts w:ascii="Times New Roman" w:cs="Times New Roman" w:eastAsia="Times New Roman" w:hAnsi="Times New Roman"/>
                <w:sz w:val="21"/>
                <w:szCs w:val="21"/>
                <w:b w:val="1"/>
                <w:bCs w:val="1"/>
                <w:color w:val="auto"/>
                <w:vertAlign w:val="superscript"/>
              </w:rPr>
              <w:t>(1)</w:t>
            </w:r>
          </w:p>
        </w:tc>
        <w:tc>
          <w:tcPr>
            <w:tcW w:w="1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80" w:type="dxa"/>
            <w:vAlign w:val="bottom"/>
            <w:tcBorders>
              <w:top w:val="single" w:sz="8" w:color="CCEEFF"/>
            </w:tcBorders>
            <w:shd w:val="clear" w:color="auto" w:fill="CCEEFF"/>
          </w:tcPr>
          <w:p>
            <w:pPr>
              <w:spacing w:after="0"/>
              <w:rPr>
                <w:sz w:val="5"/>
                <w:szCs w:val="5"/>
                <w:color w:val="auto"/>
              </w:rPr>
            </w:pPr>
          </w:p>
        </w:tc>
      </w:tr>
      <w:tr>
        <w:trPr>
          <w:trHeight w:val="237"/>
        </w:trPr>
        <w:tc>
          <w:tcPr>
            <w:tcW w:w="430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Diluted EPS</w:t>
            </w:r>
          </w:p>
        </w:tc>
        <w:tc>
          <w:tcPr>
            <w:tcW w:w="148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0.20</w:t>
            </w:r>
          </w:p>
        </w:tc>
        <w:tc>
          <w:tcPr>
            <w:tcW w:w="1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4" w:lineRule="exact"/>
        <w:rPr>
          <w:sz w:val="20"/>
          <w:szCs w:val="20"/>
          <w:color w:val="auto"/>
        </w:rPr>
      </w:pPr>
    </w:p>
    <w:p>
      <w:pPr>
        <w:ind w:left="180" w:right="20" w:hanging="172"/>
        <w:spacing w:after="0" w:line="249"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These measures exclude certain expenses that we do not believe are indicative of our core operating results. See pages </w:t>
      </w:r>
      <w:r>
        <w:rPr>
          <w:rFonts w:ascii="Times New Roman" w:cs="Times New Roman" w:eastAsia="Times New Roman" w:hAnsi="Times New Roman"/>
          <w:sz w:val="18"/>
          <w:szCs w:val="18"/>
          <w:color w:val="auto"/>
        </w:rPr>
        <w:t>47-49</w:t>
      </w:r>
      <w:r>
        <w:rPr>
          <w:rFonts w:ascii="Times New Roman" w:cs="Times New Roman" w:eastAsia="Times New Roman" w:hAnsi="Times New Roman"/>
          <w:sz w:val="16"/>
          <w:szCs w:val="16"/>
          <w:color w:val="auto"/>
        </w:rPr>
        <w:t xml:space="preserve"> for information about these non-GAAP measures and reconciliations to the most comparable GAAP measures.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8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 by Region</w:t>
            </w:r>
          </w:p>
        </w:tc>
        <w:tc>
          <w:tcPr>
            <w:tcW w:w="1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United States and Canada (North America)</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231,136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200,370</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Europe, Middle East, and Africa (EMEA)</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174,654</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223,504</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42,457</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50,921</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500" w:type="dxa"/>
            <w:vAlign w:val="bottom"/>
            <w:tcBorders>
              <w:top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448,247</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474,795</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2015 revenues in EMEA region and Other region were adversely impacted by $35.6 million and $6.8 million, respectively, due to changes in foreign exchange rates.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Meter and Module Summary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metering – no built-in remote reading communication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metering – one-way communication of meter data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metering – two-way communication including remote meter configuration and upgrade (consisting primarily of our OpenWay® technology)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advanced and smart meter communication modules can be sold separately from the meter.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is driven significantly by sales of meters and communication modules. A summary of our meter and communication module shipments is as follows:</w:t>
      </w:r>
    </w:p>
    <w:p>
      <w:pPr>
        <w:spacing w:after="0" w:line="32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38735</wp:posOffset>
            </wp:positionV>
            <wp:extent cx="296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gridSpan w:val="2"/>
          </w:tcPr>
          <w:p>
            <w:pPr>
              <w:ind w:left="77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(units in thousands)</w:t>
            </w:r>
          </w:p>
        </w:tc>
        <w:tc>
          <w:tcPr>
            <w:tcW w:w="1460" w:type="dxa"/>
            <w:vAlign w:val="bottom"/>
          </w:tcPr>
          <w:p>
            <w:pPr>
              <w:spacing w:after="0"/>
              <w:rPr>
                <w:sz w:val="18"/>
                <w:szCs w:val="18"/>
                <w:color w:val="auto"/>
              </w:rPr>
            </w:pPr>
          </w:p>
        </w:tc>
      </w:tr>
      <w:tr>
        <w:trPr>
          <w:trHeight w:val="270"/>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Meters</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Standard</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4,740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4,850</w:t>
            </w:r>
          </w:p>
        </w:tc>
      </w:tr>
      <w:tr>
        <w:trPr>
          <w:trHeight w:val="237"/>
        </w:trPr>
        <w:tc>
          <w:tcPr>
            <w:tcW w:w="82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Advanced and smart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1,520</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meters</w:t>
            </w: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6,280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6,370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Stand-alone communication modules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50"/>
        </w:trPr>
        <w:tc>
          <w:tcPr>
            <w:tcW w:w="82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Advanced and smart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1,350</w:t>
            </w:r>
          </w:p>
        </w:tc>
      </w:tr>
      <w:tr>
        <w:trPr>
          <w:trHeight w:val="20"/>
        </w:trPr>
        <w:tc>
          <w:tcPr>
            <w:tcW w:w="67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22222"/>
        </w:rPr>
        <w:t xml:space="preserve">Revenues decreased </w:t>
      </w:r>
      <w:r>
        <w:rPr>
          <w:rFonts w:ascii="Times New Roman" w:cs="Times New Roman" w:eastAsia="Times New Roman" w:hAnsi="Times New Roman"/>
          <w:sz w:val="18"/>
          <w:szCs w:val="18"/>
          <w:color w:val="000000"/>
        </w:rPr>
        <w:t>$26.5 million</w:t>
      </w:r>
      <w:r>
        <w:rPr>
          <w:rFonts w:ascii="Times New Roman" w:cs="Times New Roman" w:eastAsia="Times New Roman" w:hAnsi="Times New Roman"/>
          <w:sz w:val="18"/>
          <w:szCs w:val="18"/>
          <w:color w:val="222222"/>
        </w:rPr>
        <w:t xml:space="preserve">, or 6%,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22222"/>
        </w:rPr>
        <w:t xml:space="preserve"> months ended </w:t>
      </w:r>
      <w:r>
        <w:rPr>
          <w:rFonts w:ascii="Times New Roman" w:cs="Times New Roman" w:eastAsia="Times New Roman" w:hAnsi="Times New Roman"/>
          <w:sz w:val="18"/>
          <w:szCs w:val="18"/>
          <w:color w:val="000000"/>
        </w:rPr>
        <w:t>March 31, 2015</w:t>
      </w:r>
      <w:r>
        <w:rPr>
          <w:rFonts w:ascii="Times New Roman" w:cs="Times New Roman" w:eastAsia="Times New Roman" w:hAnsi="Times New Roman"/>
          <w:sz w:val="18"/>
          <w:szCs w:val="18"/>
          <w:color w:val="222222"/>
        </w:rPr>
        <w:t xml:space="preserve">, compared with the same period in 2014. Total revenue was unfavorably impacted by $43.6 million due to changes in foreign exchange rates. Apart from the foreign exchange impact, revenues increased in the Electricity segment by $25.6 million and decreased by $8.5 million in the Gas segment. Water segment revenues were flat. A more detailed analysis of revenue fluctuations is provided in </w:t>
      </w:r>
      <w:r>
        <w:rPr>
          <w:rFonts w:ascii="Times New Roman" w:cs="Times New Roman" w:eastAsia="Times New Roman" w:hAnsi="Times New Roman"/>
          <w:sz w:val="18"/>
          <w:szCs w:val="18"/>
          <w:i w:val="1"/>
          <w:iCs w:val="1"/>
          <w:color w:val="222222"/>
        </w:rPr>
        <w:t>Operating Segment Results</w:t>
      </w:r>
      <w:r>
        <w:rPr>
          <w:rFonts w:ascii="Times New Roman" w:cs="Times New Roman" w:eastAsia="Times New Roman" w:hAnsi="Times New Roman"/>
          <w:sz w:val="18"/>
          <w:szCs w:val="18"/>
          <w:color w:val="222222"/>
        </w:rPr>
        <w:t>.</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No single customer accounted for more than 10% of total Company revenues during </w:t>
      </w:r>
      <w:r>
        <w:rPr>
          <w:rFonts w:ascii="Times New Roman" w:cs="Times New Roman" w:eastAsia="Times New Roman" w:hAnsi="Times New Roman"/>
          <w:sz w:val="18"/>
          <w:szCs w:val="18"/>
          <w:color w:val="222222"/>
        </w:rPr>
        <w:t>the</w:t>
      </w:r>
      <w:r>
        <w:rPr>
          <w:rFonts w:ascii="Times New Roman" w:cs="Times New Roman" w:eastAsia="Times New Roman" w:hAnsi="Times New Roman"/>
          <w:sz w:val="18"/>
          <w:szCs w:val="18"/>
          <w:color w:val="auto"/>
        </w:rPr>
        <w:t xml:space="preserve"> three </w:t>
      </w:r>
      <w:r>
        <w:rPr>
          <w:rFonts w:ascii="Times New Roman" w:cs="Times New Roman" w:eastAsia="Times New Roman" w:hAnsi="Times New Roman"/>
          <w:sz w:val="18"/>
          <w:szCs w:val="18"/>
          <w:color w:val="222222"/>
        </w:rPr>
        <w:t>months ended</w:t>
      </w:r>
      <w:r>
        <w:rPr>
          <w:rFonts w:ascii="Times New Roman" w:cs="Times New Roman" w:eastAsia="Times New Roman" w:hAnsi="Times New Roman"/>
          <w:sz w:val="18"/>
          <w:szCs w:val="18"/>
          <w:color w:val="auto"/>
        </w:rPr>
        <w:t xml:space="preserve"> March 31, 2015 and March 31, 2014. Our 10 largest customers accounted for 23% of total revenues during </w:t>
      </w:r>
      <w:r>
        <w:rPr>
          <w:rFonts w:ascii="Times New Roman" w:cs="Times New Roman" w:eastAsia="Times New Roman" w:hAnsi="Times New Roman"/>
          <w:sz w:val="18"/>
          <w:szCs w:val="18"/>
          <w:color w:val="222222"/>
        </w:rPr>
        <w:t>the</w:t>
      </w:r>
      <w:r>
        <w:rPr>
          <w:rFonts w:ascii="Times New Roman" w:cs="Times New Roman" w:eastAsia="Times New Roman" w:hAnsi="Times New Roman"/>
          <w:sz w:val="18"/>
          <w:szCs w:val="18"/>
          <w:color w:val="auto"/>
        </w:rPr>
        <w:t xml:space="preserve"> three </w:t>
      </w:r>
      <w:r>
        <w:rPr>
          <w:rFonts w:ascii="Times New Roman" w:cs="Times New Roman" w:eastAsia="Times New Roman" w:hAnsi="Times New Roman"/>
          <w:sz w:val="18"/>
          <w:szCs w:val="18"/>
          <w:color w:val="222222"/>
        </w:rPr>
        <w:t>months ended</w:t>
      </w:r>
      <w:r>
        <w:rPr>
          <w:rFonts w:ascii="Times New Roman" w:cs="Times New Roman" w:eastAsia="Times New Roman" w:hAnsi="Times New Roman"/>
          <w:sz w:val="18"/>
          <w:szCs w:val="18"/>
          <w:color w:val="auto"/>
        </w:rPr>
        <w:t xml:space="preserve"> March 31, 2015 and 20% of total revenues during </w:t>
      </w:r>
      <w:r>
        <w:rPr>
          <w:rFonts w:ascii="Times New Roman" w:cs="Times New Roman" w:eastAsia="Times New Roman" w:hAnsi="Times New Roman"/>
          <w:sz w:val="18"/>
          <w:szCs w:val="18"/>
          <w:color w:val="222222"/>
        </w:rPr>
        <w:t>the</w:t>
      </w:r>
      <w:r>
        <w:rPr>
          <w:rFonts w:ascii="Times New Roman" w:cs="Times New Roman" w:eastAsia="Times New Roman" w:hAnsi="Times New Roman"/>
          <w:sz w:val="18"/>
          <w:szCs w:val="18"/>
          <w:color w:val="auto"/>
        </w:rPr>
        <w:t xml:space="preserve"> three </w:t>
      </w:r>
      <w:r>
        <w:rPr>
          <w:rFonts w:ascii="Times New Roman" w:cs="Times New Roman" w:eastAsia="Times New Roman" w:hAnsi="Times New Roman"/>
          <w:sz w:val="18"/>
          <w:szCs w:val="18"/>
          <w:color w:val="222222"/>
        </w:rPr>
        <w:t>months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ended </w:t>
      </w:r>
      <w:r>
        <w:rPr>
          <w:rFonts w:ascii="Times New Roman" w:cs="Times New Roman" w:eastAsia="Times New Roman" w:hAnsi="Times New Roman"/>
          <w:sz w:val="18"/>
          <w:szCs w:val="18"/>
          <w:color w:val="000000"/>
        </w:rPr>
        <w:t>March 31, 2014.</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Gross margin for the </w:t>
      </w:r>
      <w:r>
        <w:rPr>
          <w:rFonts w:ascii="Times New Roman" w:cs="Times New Roman" w:eastAsia="Times New Roman" w:hAnsi="Times New Roman"/>
          <w:sz w:val="18"/>
          <w:szCs w:val="18"/>
          <w:color w:val="000000"/>
        </w:rPr>
        <w:t>first</w:t>
      </w:r>
      <w:r>
        <w:rPr>
          <w:rFonts w:ascii="Times New Roman" w:cs="Times New Roman" w:eastAsia="Times New Roman" w:hAnsi="Times New Roman"/>
          <w:sz w:val="18"/>
          <w:szCs w:val="18"/>
          <w:color w:val="222222"/>
        </w:rPr>
        <w:t xml:space="preserve"> quarter of 2015 was 30.8%, compared with 32.5% for the same period in 2014. The reduction in gross margin 2015 was driven by declines in the Gas and Water segments, offset partially by improvement in the Electricity segment. A more detailed analysis of these fluctuations is provided in </w:t>
      </w:r>
      <w:r>
        <w:rPr>
          <w:rFonts w:ascii="Times New Roman" w:cs="Times New Roman" w:eastAsia="Times New Roman" w:hAnsi="Times New Roman"/>
          <w:sz w:val="18"/>
          <w:szCs w:val="18"/>
          <w:i w:val="1"/>
          <w:iCs w:val="1"/>
          <w:color w:val="222222"/>
        </w:rPr>
        <w:t>Operating Segment Results</w:t>
      </w:r>
      <w:r>
        <w:rPr>
          <w:rFonts w:ascii="Times New Roman" w:cs="Times New Roman" w:eastAsia="Times New Roman" w:hAnsi="Times New Roman"/>
          <w:sz w:val="18"/>
          <w:szCs w:val="18"/>
          <w:color w:val="222222"/>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Sales and marketing</w:t>
            </w: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41,027</w:t>
            </w:r>
          </w:p>
        </w:tc>
        <w:tc>
          <w:tcPr>
            <w:tcW w:w="5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47,609</w:t>
            </w:r>
          </w:p>
        </w:tc>
        <w:tc>
          <w:tcPr>
            <w:tcW w:w="1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78"/>
        </w:trPr>
        <w:tc>
          <w:tcPr>
            <w:tcW w:w="480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900" w:type="dxa"/>
            <w:vAlign w:val="bottom"/>
            <w:vMerge w:val="continue"/>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1860" w:type="dxa"/>
            <w:vAlign w:val="bottom"/>
            <w:vMerge w:val="continue"/>
            <w:shd w:val="clear" w:color="auto" w:fill="CCEEFF"/>
          </w:tcPr>
          <w:p>
            <w:pPr>
              <w:spacing w:after="0"/>
              <w:rPr>
                <w:sz w:val="6"/>
                <w:szCs w:val="6"/>
                <w:color w:val="auto"/>
              </w:rPr>
            </w:pPr>
          </w:p>
        </w:tc>
        <w:tc>
          <w:tcPr>
            <w:tcW w:w="19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Product development</w:t>
            </w:r>
          </w:p>
        </w:tc>
        <w:tc>
          <w:tcPr>
            <w:tcW w:w="420" w:type="dxa"/>
            <w:vAlign w:val="bottom"/>
          </w:tcPr>
          <w:p>
            <w:pPr>
              <w:spacing w:after="0"/>
              <w:rPr>
                <w:sz w:val="16"/>
                <w:szCs w:val="16"/>
                <w:color w:val="auto"/>
              </w:rPr>
            </w:pPr>
          </w:p>
        </w:tc>
        <w:tc>
          <w:tcPr>
            <w:tcW w:w="1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41,522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44,409</w:t>
            </w:r>
          </w:p>
        </w:tc>
        <w:tc>
          <w:tcPr>
            <w:tcW w:w="19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3"/>
        </w:trPr>
        <w:tc>
          <w:tcPr>
            <w:tcW w:w="4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20" w:type="dxa"/>
            <w:vAlign w:val="bottom"/>
            <w:shd w:val="clear" w:color="auto" w:fill="CCEEFF"/>
          </w:tcPr>
          <w:p>
            <w:pPr>
              <w:spacing w:after="0"/>
              <w:rPr>
                <w:sz w:val="17"/>
                <w:szCs w:val="17"/>
                <w:color w:val="auto"/>
              </w:rPr>
            </w:pPr>
          </w:p>
        </w:tc>
        <w:tc>
          <w:tcPr>
            <w:tcW w:w="1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39,585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40,407</w:t>
            </w:r>
          </w:p>
        </w:tc>
        <w:tc>
          <w:tcPr>
            <w:tcW w:w="1940" w:type="dxa"/>
            <w:vAlign w:val="bottom"/>
            <w:gridSpan w:val="2"/>
            <w:vMerge w:val="restart"/>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78"/>
        </w:trPr>
        <w:tc>
          <w:tcPr>
            <w:tcW w:w="48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860" w:type="dxa"/>
            <w:vAlign w:val="bottom"/>
            <w:vMerge w:val="continue"/>
            <w:shd w:val="clear" w:color="auto" w:fill="CCEEFF"/>
          </w:tcPr>
          <w:p>
            <w:pPr>
              <w:spacing w:after="0"/>
              <w:rPr>
                <w:sz w:val="6"/>
                <w:szCs w:val="6"/>
                <w:color w:val="auto"/>
              </w:rPr>
            </w:pPr>
          </w:p>
        </w:tc>
        <w:tc>
          <w:tcPr>
            <w:tcW w:w="19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Amortization of business acquisition-related intangible assets</w:t>
            </w:r>
          </w:p>
        </w:tc>
        <w:tc>
          <w:tcPr>
            <w:tcW w:w="420" w:type="dxa"/>
            <w:vAlign w:val="bottom"/>
          </w:tcPr>
          <w:p>
            <w:pPr>
              <w:spacing w:after="0"/>
              <w:rPr>
                <w:sz w:val="16"/>
                <w:szCs w:val="16"/>
                <w:color w:val="auto"/>
              </w:rPr>
            </w:pPr>
          </w:p>
        </w:tc>
        <w:tc>
          <w:tcPr>
            <w:tcW w:w="1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7,973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11,070</w:t>
            </w:r>
          </w:p>
        </w:tc>
        <w:tc>
          <w:tcPr>
            <w:tcW w:w="1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73"/>
        </w:trPr>
        <w:tc>
          <w:tcPr>
            <w:tcW w:w="4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Restructuring</w:t>
            </w:r>
          </w:p>
        </w:tc>
        <w:tc>
          <w:tcPr>
            <w:tcW w:w="420" w:type="dxa"/>
            <w:vAlign w:val="bottom"/>
            <w:shd w:val="clear" w:color="auto" w:fill="CCEEFF"/>
          </w:tcPr>
          <w:p>
            <w:pPr>
              <w:spacing w:after="0"/>
              <w:rPr>
                <w:sz w:val="17"/>
                <w:szCs w:val="17"/>
                <w:color w:val="auto"/>
              </w:rPr>
            </w:pPr>
          </w:p>
        </w:tc>
        <w:tc>
          <w:tcPr>
            <w:tcW w:w="1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5,524</w:t>
            </w:r>
          </w:p>
        </w:tc>
        <w:tc>
          <w:tcPr>
            <w:tcW w:w="120" w:type="dxa"/>
            <w:vAlign w:val="bottom"/>
            <w:shd w:val="clear" w:color="auto" w:fill="CCEEFF"/>
          </w:tcPr>
          <w:p>
            <w:pPr>
              <w:spacing w:after="0"/>
              <w:rPr>
                <w:sz w:val="17"/>
                <w:szCs w:val="17"/>
                <w:color w:val="auto"/>
              </w:rPr>
            </w:pPr>
          </w:p>
        </w:tc>
        <w:tc>
          <w:tcPr>
            <w:tcW w:w="1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78"/>
        </w:trPr>
        <w:tc>
          <w:tcPr>
            <w:tcW w:w="48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 impairment</w:t>
            </w:r>
          </w:p>
        </w:tc>
        <w:tc>
          <w:tcPr>
            <w:tcW w:w="420" w:type="dxa"/>
            <w:vAlign w:val="bottom"/>
          </w:tcPr>
          <w:p>
            <w:pPr>
              <w:spacing w:after="0"/>
              <w:rPr>
                <w:sz w:val="16"/>
                <w:szCs w:val="16"/>
                <w:color w:val="auto"/>
              </w:rPr>
            </w:pPr>
          </w:p>
        </w:tc>
        <w:tc>
          <w:tcPr>
            <w:tcW w:w="1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977</w:t>
            </w:r>
          </w:p>
        </w:tc>
        <w:tc>
          <w:tcPr>
            <w:tcW w:w="120" w:type="dxa"/>
            <w:vAlign w:val="bottom"/>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73"/>
        </w:trPr>
        <w:tc>
          <w:tcPr>
            <w:tcW w:w="48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124,660</w:t>
            </w:r>
          </w:p>
        </w:tc>
        <w:tc>
          <w:tcPr>
            <w:tcW w:w="5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149,996</w:t>
            </w:r>
          </w:p>
        </w:tc>
        <w:tc>
          <w:tcPr>
            <w:tcW w:w="1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64"/>
        </w:trPr>
        <w:tc>
          <w:tcPr>
            <w:tcW w:w="480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900" w:type="dxa"/>
            <w:vAlign w:val="bottom"/>
            <w:vMerge w:val="continue"/>
            <w:shd w:val="clear" w:color="auto" w:fill="CCEEFF"/>
          </w:tcPr>
          <w:p>
            <w:pPr>
              <w:spacing w:after="0"/>
              <w:rPr>
                <w:sz w:val="5"/>
                <w:szCs w:val="5"/>
                <w:color w:val="auto"/>
              </w:rPr>
            </w:pPr>
          </w:p>
        </w:tc>
        <w:tc>
          <w:tcPr>
            <w:tcW w:w="500" w:type="dxa"/>
            <w:vAlign w:val="bottom"/>
            <w:gridSpan w:val="2"/>
            <w:vMerge w:val="continue"/>
            <w:shd w:val="clear" w:color="auto" w:fill="CCEEFF"/>
          </w:tcPr>
          <w:p>
            <w:pPr>
              <w:spacing w:after="0"/>
              <w:rPr>
                <w:sz w:val="5"/>
                <w:szCs w:val="5"/>
                <w:color w:val="auto"/>
              </w:rPr>
            </w:pPr>
          </w:p>
        </w:tc>
        <w:tc>
          <w:tcPr>
            <w:tcW w:w="1860" w:type="dxa"/>
            <w:vAlign w:val="bottom"/>
            <w:vMerge w:val="continue"/>
            <w:shd w:val="clear" w:color="auto" w:fill="CCEEFF"/>
          </w:tcPr>
          <w:p>
            <w:pPr>
              <w:spacing w:after="0"/>
              <w:rPr>
                <w:sz w:val="5"/>
                <w:szCs w:val="5"/>
                <w:color w:val="auto"/>
              </w:rPr>
            </w:pPr>
          </w:p>
        </w:tc>
        <w:tc>
          <w:tcPr>
            <w:tcW w:w="19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Operating expenses decreased $25.3 million for the three months ended March 31, 2015. This decrease was primarily the result of favorable foreign exchange impact of $14.7 million, as well as a decrease in restructuring expense. </w:t>
      </w:r>
      <w:r>
        <w:rPr>
          <w:rFonts w:ascii="Times New Roman" w:cs="Times New Roman" w:eastAsia="Times New Roman" w:hAnsi="Times New Roman"/>
          <w:sz w:val="18"/>
          <w:szCs w:val="18"/>
          <w:color w:val="222222"/>
        </w:rPr>
        <w:t>A more detailed analysis of operating expenses fluctuations is provided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22222"/>
        </w:rPr>
        <w:t>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22222"/>
        </w:rPr>
        <w:t>Segment Results</w:t>
      </w:r>
      <w:r>
        <w:rPr>
          <w:rFonts w:ascii="Times New Roman" w:cs="Times New Roman" w:eastAsia="Times New Roman" w:hAnsi="Times New Roman"/>
          <w:sz w:val="18"/>
          <w:szCs w:val="18"/>
          <w:color w:val="222222"/>
        </w:rPr>
        <w:t>.</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Operating Expenses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non-GAAP operating expenses, as a percentage of revenues, was 27% for the three months ended March 31, 2015 and was 28% for the same period in 2014. For non-GAAP purposes, general and administrative expense excludes acquisition-related costs, which were $2.3 million and $489,000 for the three months ended March 31, 2015 and 2014. In 2015, acquisition costs represented primarily legal costs associated with the product development contract litigation from the SmartSynch, Inc. acquisition, which was settled in February 2015. The improvement in non-GAAP operating expenses in 2015 was driven by a $12.2 million benefit of changes in foreign exchange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4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94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1"/>
        </w:trPr>
        <w:tc>
          <w:tcPr>
            <w:tcW w:w="480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9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48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4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94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194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(52)%</w:t>
            </w: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4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15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94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5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9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N/A</w:t>
            </w:r>
          </w:p>
        </w:tc>
      </w:tr>
      <w:tr>
        <w:trPr>
          <w:trHeight w:val="33"/>
        </w:trPr>
        <w:tc>
          <w:tcPr>
            <w:tcW w:w="48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54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194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(51)%</w:t>
            </w:r>
          </w:p>
        </w:tc>
      </w:tr>
      <w:tr>
        <w:trPr>
          <w:trHeight w:val="20"/>
        </w:trPr>
        <w:tc>
          <w:tcPr>
            <w:tcW w:w="48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is generated from our cash and cash equivalents balances and certain deposits on hand with third parties. Interest income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as the result of lower interest rates for the three months ended March 31, 2015 as compared with the same period in 2014.</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the three months ended March 31, 2015 decreased due to a lower outstanding debt balance. Average total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was $342.8 million and $375.0 million for the quarters ended March 31, 2015 and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prepaid debt fees</w:t>
      </w:r>
      <w:r>
        <w:rPr>
          <w:rFonts w:ascii="Times New Roman" w:cs="Times New Roman" w:eastAsia="Times New Roman" w:hAnsi="Times New Roman"/>
          <w:sz w:val="18"/>
          <w:szCs w:val="18"/>
          <w:color w:val="auto"/>
        </w:rPr>
        <w:t>: Amortization of prepaid debt fees for the three months ended March 31, 2015 remained consistent with the same period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Refer to Item 1: “Financial Statements Note 6: Debt” for additional details related to our long-term borrowings.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net</w:t>
      </w:r>
      <w:r>
        <w:rPr>
          <w:rFonts w:ascii="Times New Roman" w:cs="Times New Roman" w:eastAsia="Times New Roman" w:hAnsi="Times New Roman"/>
          <w:sz w:val="18"/>
          <w:szCs w:val="18"/>
          <w:color w:val="auto"/>
        </w:rPr>
        <w:t>: Other expenses, net, consist primarily of unrealized and realized foreign currency gains and losses from balances denominated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currencies other than the reporting entity's functional currency and other non-operating income (expenses). As a result of currency movements in certain markets in which we do business, foreign currency gains, net of hedging, were $177,000 for the three months ended March 31, 2015, compared with foreign currency losses, net of hedging, of $2.1 million in the same period in 2014.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Benefit (Provision)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2015, the income tax provision was $5.6 million compared with an income tax benefit of $653,000 in the same period in 2014. Our tax expense for the first three months of 2015 differed from the federal statutory rate of 35% due to the forecasted mix of earnings in domestic and international jurisdictions, valuation allowances, discrete tax items, the benefit of certain interest expense deductions, and benefits of certain acquisition-related elections for tax purposes. Our tax benefit for the first three months of 2014 was higher than the federal statutory benefit of 35% due to discrete tax benefits recognized.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Note 15: Segment Information”.</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56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b w:val="1"/>
                <w:bCs w:val="1"/>
                <w:color w:val="auto"/>
                <w:w w:val="99"/>
              </w:rPr>
              <w:t>2015</w:t>
            </w:r>
          </w:p>
        </w:tc>
        <w:tc>
          <w:tcPr>
            <w:tcW w:w="5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9"/>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Segment Revenues</w:t>
            </w:r>
          </w:p>
        </w:tc>
        <w:tc>
          <w:tcPr>
            <w:tcW w:w="1560" w:type="dxa"/>
            <w:vAlign w:val="bottom"/>
          </w:tcPr>
          <w:p>
            <w:pPr>
              <w:spacing w:after="0"/>
              <w:rPr>
                <w:sz w:val="21"/>
                <w:szCs w:val="21"/>
                <w:color w:val="auto"/>
              </w:rPr>
            </w:pPr>
          </w:p>
        </w:tc>
        <w:tc>
          <w:tcPr>
            <w:tcW w:w="3020" w:type="dxa"/>
            <w:vAlign w:val="bottom"/>
            <w:gridSpan w:val="6"/>
          </w:tcPr>
          <w:p>
            <w:pPr>
              <w:jc w:val="center"/>
              <w:ind w:right="164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Electricity</w:t>
            </w:r>
          </w:p>
        </w:tc>
        <w:tc>
          <w:tcPr>
            <w:tcW w:w="1560" w:type="dxa"/>
            <w:vAlign w:val="bottom"/>
            <w:shd w:val="clear" w:color="auto" w:fill="CCEEFF"/>
          </w:tcPr>
          <w:p>
            <w:pPr>
              <w:jc w:val="right"/>
              <w:ind w:right="14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193,852</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180,218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ind w:right="277"/>
              <w:spacing w:after="0"/>
              <w:rPr>
                <w:sz w:val="20"/>
                <w:szCs w:val="20"/>
                <w:color w:val="auto"/>
              </w:rPr>
            </w:pPr>
            <w:r>
              <w:rPr>
                <w:rFonts w:ascii="Times New Roman" w:cs="Times New Roman" w:eastAsia="Times New Roman" w:hAnsi="Times New Roman"/>
                <w:sz w:val="13"/>
                <w:szCs w:val="13"/>
                <w:color w:val="auto"/>
                <w:w w:val="92"/>
              </w:rPr>
              <w:t>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Gas</w:t>
            </w:r>
          </w:p>
        </w:tc>
        <w:tc>
          <w:tcPr>
            <w:tcW w:w="15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125,089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146,109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00" w:type="dxa"/>
            <w:vAlign w:val="bottom"/>
          </w:tcPr>
          <w:p>
            <w:pPr>
              <w:jc w:val="center"/>
              <w:ind w:right="277"/>
              <w:spacing w:after="0"/>
              <w:rPr>
                <w:sz w:val="20"/>
                <w:szCs w:val="20"/>
                <w:color w:val="auto"/>
              </w:rPr>
            </w:pPr>
            <w:r>
              <w:rPr>
                <w:rFonts w:ascii="Times New Roman" w:cs="Times New Roman" w:eastAsia="Times New Roman" w:hAnsi="Times New Roman"/>
                <w:sz w:val="13"/>
                <w:szCs w:val="13"/>
                <w:color w:val="auto"/>
                <w:w w:val="98"/>
              </w:rPr>
              <w:t>(14)%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Water</w:t>
            </w:r>
          </w:p>
        </w:tc>
        <w:tc>
          <w:tcPr>
            <w:tcW w:w="15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129,306</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148,468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700" w:type="dxa"/>
            <w:vAlign w:val="bottom"/>
            <w:shd w:val="clear" w:color="auto" w:fill="CCEEFF"/>
          </w:tcPr>
          <w:p>
            <w:pPr>
              <w:jc w:val="center"/>
              <w:ind w:right="277"/>
              <w:spacing w:after="0"/>
              <w:rPr>
                <w:sz w:val="20"/>
                <w:szCs w:val="20"/>
                <w:color w:val="auto"/>
              </w:rPr>
            </w:pPr>
            <w:r>
              <w:rPr>
                <w:rFonts w:ascii="Times New Roman" w:cs="Times New Roman" w:eastAsia="Times New Roman" w:hAnsi="Times New Roman"/>
                <w:sz w:val="13"/>
                <w:szCs w:val="13"/>
                <w:color w:val="auto"/>
                <w:w w:val="98"/>
              </w:rPr>
              <w:t>(13)%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42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Total revenues</w:t>
            </w:r>
          </w:p>
        </w:tc>
        <w:tc>
          <w:tcPr>
            <w:tcW w:w="1560" w:type="dxa"/>
            <w:vAlign w:val="bottom"/>
            <w:tcBorders>
              <w:bottom w:val="single" w:sz="8" w:color="auto"/>
            </w:tcBorders>
          </w:tcPr>
          <w:p>
            <w:pPr>
              <w:jc w:val="right"/>
              <w:ind w:right="14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448,247</w:t>
            </w:r>
          </w:p>
        </w:tc>
        <w:tc>
          <w:tcPr>
            <w:tcW w:w="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474,795</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2"/>
              </w:rPr>
              <w:t>(6)%</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4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4"/>
          </w:tcPr>
          <w:p>
            <w:pPr>
              <w:jc w:val="right"/>
              <w:ind w:right="123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2015</w:t>
            </w:r>
          </w:p>
        </w:tc>
        <w:tc>
          <w:tcPr>
            <w:tcW w:w="2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1997"/>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560" w:type="dxa"/>
            <w:vAlign w:val="bottom"/>
          </w:tcPr>
          <w:p>
            <w:pPr>
              <w:jc w:val="center"/>
              <w:ind w:left="557"/>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6"/>
              </w:rPr>
              <w:t>Gross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6"/>
              </w:rPr>
              <w:t>Gross</w:t>
            </w:r>
          </w:p>
        </w:tc>
        <w:tc>
          <w:tcPr>
            <w:tcW w:w="400" w:type="dxa"/>
            <w:vAlign w:val="bottom"/>
          </w:tcPr>
          <w:p>
            <w:pPr>
              <w:spacing w:after="0"/>
              <w:rPr>
                <w:sz w:val="12"/>
                <w:szCs w:val="12"/>
                <w:color w:val="auto"/>
              </w:rPr>
            </w:pPr>
          </w:p>
        </w:tc>
        <w:tc>
          <w:tcPr>
            <w:tcW w:w="1700" w:type="dxa"/>
            <w:vAlign w:val="bottom"/>
          </w:tcPr>
          <w:p>
            <w:pPr>
              <w:jc w:val="center"/>
              <w:ind w:right="297"/>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6"/>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Gross</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560" w:type="dxa"/>
            <w:vAlign w:val="bottom"/>
          </w:tcPr>
          <w:p>
            <w:pPr>
              <w:jc w:val="center"/>
              <w:ind w:left="557"/>
              <w:spacing w:after="0"/>
              <w:rPr>
                <w:sz w:val="20"/>
                <w:szCs w:val="20"/>
                <w:color w:val="auto"/>
              </w:rPr>
            </w:pPr>
            <w:r>
              <w:rPr>
                <w:rFonts w:ascii="Times New Roman" w:cs="Times New Roman" w:eastAsia="Times New Roman" w:hAnsi="Times New Roman"/>
                <w:sz w:val="13"/>
                <w:szCs w:val="13"/>
                <w:b w:val="1"/>
                <w:bCs w:val="1"/>
                <w:i w:val="1"/>
                <w:iCs w:val="1"/>
                <w:color w:val="auto"/>
                <w:w w:val="96"/>
              </w:rPr>
              <w:t>Profit</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i w:val="1"/>
                <w:iCs w:val="1"/>
                <w:color w:val="auto"/>
                <w:w w:val="93"/>
              </w:rPr>
              <w:t>Margin</w:t>
            </w:r>
          </w:p>
        </w:tc>
        <w:tc>
          <w:tcPr>
            <w:tcW w:w="400" w:type="dxa"/>
            <w:vAlign w:val="bottom"/>
          </w:tcPr>
          <w:p>
            <w:pPr>
              <w:spacing w:after="0"/>
              <w:rPr>
                <w:sz w:val="15"/>
                <w:szCs w:val="15"/>
                <w:color w:val="auto"/>
              </w:rPr>
            </w:pPr>
          </w:p>
        </w:tc>
        <w:tc>
          <w:tcPr>
            <w:tcW w:w="1700" w:type="dxa"/>
            <w:vAlign w:val="bottom"/>
          </w:tcPr>
          <w:p>
            <w:pPr>
              <w:jc w:val="center"/>
              <w:ind w:right="297"/>
              <w:spacing w:after="0"/>
              <w:rPr>
                <w:sz w:val="20"/>
                <w:szCs w:val="20"/>
                <w:color w:val="auto"/>
              </w:rPr>
            </w:pPr>
            <w:r>
              <w:rPr>
                <w:rFonts w:ascii="Times New Roman" w:cs="Times New Roman" w:eastAsia="Times New Roman" w:hAnsi="Times New Roman"/>
                <w:sz w:val="13"/>
                <w:szCs w:val="13"/>
                <w:b w:val="1"/>
                <w:bCs w:val="1"/>
                <w:i w:val="1"/>
                <w:iCs w:val="1"/>
                <w:color w:val="auto"/>
                <w:w w:val="96"/>
              </w:rPr>
              <w:t>Profit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8"/>
              </w:rPr>
              <w:t>Margin</w:t>
            </w: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Segment Gross Profit and Margin</w:t>
            </w:r>
          </w:p>
        </w:tc>
        <w:tc>
          <w:tcPr>
            <w:tcW w:w="1560" w:type="dxa"/>
            <w:vAlign w:val="bottom"/>
            <w:tcBorders>
              <w:top w:val="single" w:sz="8" w:color="auto"/>
            </w:tcBorders>
          </w:tcPr>
          <w:p>
            <w:pPr>
              <w:jc w:val="center"/>
              <w:ind w:left="53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5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Electricity</w:t>
            </w:r>
          </w:p>
        </w:tc>
        <w:tc>
          <w:tcPr>
            <w:tcW w:w="1560" w:type="dxa"/>
            <w:vAlign w:val="bottom"/>
            <w:shd w:val="clear" w:color="auto" w:fill="CCEEFF"/>
          </w:tcPr>
          <w:p>
            <w:pPr>
              <w:jc w:val="right"/>
              <w:ind w:right="14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55,120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42,740</w:t>
            </w:r>
          </w:p>
        </w:tc>
        <w:tc>
          <w:tcPr>
            <w:tcW w:w="2320" w:type="dxa"/>
            <w:vAlign w:val="bottom"/>
            <w:gridSpan w:val="3"/>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w w:val="95"/>
              </w:rPr>
              <w:t>23.7%</w:t>
            </w:r>
          </w:p>
        </w:tc>
        <w:tc>
          <w:tcPr>
            <w:tcW w:w="0" w:type="dxa"/>
            <w:vAlign w:val="bottom"/>
          </w:tcPr>
          <w:p>
            <w:pPr>
              <w:spacing w:after="0"/>
              <w:rPr>
                <w:sz w:val="1"/>
                <w:szCs w:val="1"/>
                <w:color w:val="auto"/>
              </w:rPr>
            </w:pPr>
          </w:p>
        </w:tc>
      </w:tr>
      <w:tr>
        <w:trPr>
          <w:trHeight w:val="262"/>
        </w:trPr>
        <w:tc>
          <w:tcPr>
            <w:tcW w:w="24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Gas</w:t>
            </w:r>
          </w:p>
        </w:tc>
        <w:tc>
          <w:tcPr>
            <w:tcW w:w="15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43,516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58,406</w:t>
            </w:r>
          </w:p>
        </w:tc>
        <w:tc>
          <w:tcPr>
            <w:tcW w:w="232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color w:val="auto"/>
                <w:w w:val="95"/>
              </w:rPr>
              <w:t>40.0%</w:t>
            </w:r>
          </w:p>
        </w:tc>
        <w:tc>
          <w:tcPr>
            <w:tcW w:w="0" w:type="dxa"/>
            <w:vAlign w:val="bottom"/>
          </w:tcPr>
          <w:p>
            <w:pPr>
              <w:spacing w:after="0"/>
              <w:rPr>
                <w:sz w:val="1"/>
                <w:szCs w:val="1"/>
                <w:color w:val="auto"/>
              </w:rPr>
            </w:pPr>
          </w:p>
        </w:tc>
      </w:tr>
      <w:tr>
        <w:trPr>
          <w:trHeight w:val="272"/>
        </w:trPr>
        <w:tc>
          <w:tcPr>
            <w:tcW w:w="2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Water</w:t>
            </w:r>
          </w:p>
        </w:tc>
        <w:tc>
          <w:tcPr>
            <w:tcW w:w="15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39,563</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2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53,389</w:t>
            </w:r>
          </w:p>
        </w:tc>
        <w:tc>
          <w:tcPr>
            <w:tcW w:w="60" w:type="dxa"/>
            <w:vAlign w:val="bottom"/>
            <w:tcBorders>
              <w:bottom w:val="single" w:sz="8" w:color="auto"/>
            </w:tcBorders>
            <w:shd w:val="clear" w:color="auto" w:fill="CCEEFF"/>
          </w:tcPr>
          <w:p>
            <w:pPr>
              <w:spacing w:after="0"/>
              <w:rPr>
                <w:sz w:val="23"/>
                <w:szCs w:val="23"/>
                <w:color w:val="auto"/>
              </w:rPr>
            </w:pPr>
          </w:p>
        </w:tc>
        <w:tc>
          <w:tcPr>
            <w:tcW w:w="22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5"/>
              </w:rPr>
              <w:t>36.0%</w:t>
            </w:r>
          </w:p>
        </w:tc>
        <w:tc>
          <w:tcPr>
            <w:tcW w:w="0" w:type="dxa"/>
            <w:vAlign w:val="bottom"/>
          </w:tcPr>
          <w:p>
            <w:pPr>
              <w:spacing w:after="0"/>
              <w:rPr>
                <w:sz w:val="1"/>
                <w:szCs w:val="1"/>
                <w:color w:val="auto"/>
              </w:rPr>
            </w:pPr>
          </w:p>
        </w:tc>
      </w:tr>
      <w:tr>
        <w:trPr>
          <w:trHeight w:val="242"/>
        </w:trPr>
        <w:tc>
          <w:tcPr>
            <w:tcW w:w="2420" w:type="dxa"/>
            <w:vAlign w:val="bottom"/>
          </w:tcPr>
          <w:p>
            <w:pPr>
              <w:ind w:left="880"/>
              <w:spacing w:after="0"/>
              <w:rPr>
                <w:sz w:val="20"/>
                <w:szCs w:val="20"/>
                <w:color w:val="auto"/>
              </w:rPr>
            </w:pPr>
            <w:r>
              <w:rPr>
                <w:rFonts w:ascii="Times New Roman" w:cs="Times New Roman" w:eastAsia="Times New Roman" w:hAnsi="Times New Roman"/>
                <w:sz w:val="13"/>
                <w:szCs w:val="13"/>
                <w:color w:val="auto"/>
                <w:w w:val="99"/>
              </w:rPr>
              <w:t>Total gross profit and margin</w:t>
            </w:r>
          </w:p>
        </w:tc>
        <w:tc>
          <w:tcPr>
            <w:tcW w:w="1560" w:type="dxa"/>
            <w:vAlign w:val="bottom"/>
            <w:tcBorders>
              <w:bottom w:val="single" w:sz="8" w:color="auto"/>
            </w:tcBorders>
          </w:tcPr>
          <w:p>
            <w:pPr>
              <w:jc w:val="right"/>
              <w:ind w:right="14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138,199</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154,535</w:t>
            </w:r>
          </w:p>
        </w:tc>
        <w:tc>
          <w:tcPr>
            <w:tcW w:w="2320" w:type="dxa"/>
            <w:vAlign w:val="bottom"/>
            <w:tcBorders>
              <w:bottom w:val="single" w:sz="8" w:color="auto"/>
            </w:tcBorders>
            <w:gridSpan w:val="3"/>
          </w:tcPr>
          <w:p>
            <w:pPr>
              <w:jc w:val="center"/>
              <w:ind w:left="97"/>
              <w:spacing w:after="0"/>
              <w:rPr>
                <w:sz w:val="20"/>
                <w:szCs w:val="20"/>
                <w:color w:val="auto"/>
              </w:rPr>
            </w:pPr>
            <w:r>
              <w:rPr>
                <w:rFonts w:ascii="Times New Roman" w:cs="Times New Roman" w:eastAsia="Times New Roman" w:hAnsi="Times New Roman"/>
                <w:sz w:val="13"/>
                <w:szCs w:val="13"/>
                <w:color w:val="auto"/>
                <w:w w:val="95"/>
              </w:rPr>
              <w:t>32.5%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4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c>
          <w:tcPr>
            <w:tcW w:w="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56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b w:val="1"/>
                <w:bCs w:val="1"/>
                <w:color w:val="auto"/>
                <w:w w:val="99"/>
              </w:rPr>
              <w:t>2015</w:t>
            </w:r>
          </w:p>
        </w:tc>
        <w:tc>
          <w:tcPr>
            <w:tcW w:w="5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9"/>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Segment Operating Expenses</w:t>
            </w:r>
          </w:p>
        </w:tc>
        <w:tc>
          <w:tcPr>
            <w:tcW w:w="1560" w:type="dxa"/>
            <w:vAlign w:val="bottom"/>
          </w:tcPr>
          <w:p>
            <w:pPr>
              <w:spacing w:after="0"/>
              <w:rPr>
                <w:sz w:val="20"/>
                <w:szCs w:val="20"/>
                <w:color w:val="auto"/>
              </w:rPr>
            </w:pPr>
          </w:p>
        </w:tc>
        <w:tc>
          <w:tcPr>
            <w:tcW w:w="3020" w:type="dxa"/>
            <w:vAlign w:val="bottom"/>
            <w:gridSpan w:val="6"/>
          </w:tcPr>
          <w:p>
            <w:pPr>
              <w:jc w:val="center"/>
              <w:ind w:right="164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4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Electricity</w:t>
            </w:r>
          </w:p>
        </w:tc>
        <w:tc>
          <w:tcPr>
            <w:tcW w:w="1560" w:type="dxa"/>
            <w:vAlign w:val="bottom"/>
          </w:tcPr>
          <w:p>
            <w:pPr>
              <w:jc w:val="right"/>
              <w:ind w:right="14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52,724</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65,709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jc w:val="center"/>
              <w:ind w:right="277"/>
              <w:spacing w:after="0"/>
              <w:rPr>
                <w:sz w:val="20"/>
                <w:szCs w:val="20"/>
                <w:color w:val="auto"/>
              </w:rPr>
            </w:pPr>
            <w:r>
              <w:rPr>
                <w:rFonts w:ascii="Times New Roman" w:cs="Times New Roman" w:eastAsia="Times New Roman" w:hAnsi="Times New Roman"/>
                <w:sz w:val="13"/>
                <w:szCs w:val="13"/>
                <w:color w:val="auto"/>
                <w:w w:val="98"/>
              </w:rPr>
              <w:t>(20)%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Gas</w:t>
            </w:r>
          </w:p>
        </w:tc>
        <w:tc>
          <w:tcPr>
            <w:tcW w:w="15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29,924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32,682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ind w:right="277"/>
              <w:spacing w:after="0"/>
              <w:rPr>
                <w:sz w:val="20"/>
                <w:szCs w:val="20"/>
                <w:color w:val="auto"/>
              </w:rPr>
            </w:pPr>
            <w:r>
              <w:rPr>
                <w:rFonts w:ascii="Times New Roman" w:cs="Times New Roman" w:eastAsia="Times New Roman" w:hAnsi="Times New Roman"/>
                <w:sz w:val="13"/>
                <w:szCs w:val="13"/>
                <w:color w:val="auto"/>
                <w:w w:val="92"/>
              </w:rPr>
              <w:t>(8)%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Water</w:t>
            </w:r>
          </w:p>
        </w:tc>
        <w:tc>
          <w:tcPr>
            <w:tcW w:w="15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31,466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32,746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00" w:type="dxa"/>
            <w:vAlign w:val="bottom"/>
          </w:tcPr>
          <w:p>
            <w:pPr>
              <w:jc w:val="center"/>
              <w:ind w:right="277"/>
              <w:spacing w:after="0"/>
              <w:rPr>
                <w:sz w:val="20"/>
                <w:szCs w:val="20"/>
                <w:color w:val="auto"/>
              </w:rPr>
            </w:pPr>
            <w:r>
              <w:rPr>
                <w:rFonts w:ascii="Times New Roman" w:cs="Times New Roman" w:eastAsia="Times New Roman" w:hAnsi="Times New Roman"/>
                <w:sz w:val="13"/>
                <w:szCs w:val="13"/>
                <w:color w:val="auto"/>
                <w:w w:val="92"/>
              </w:rPr>
              <w:t>(4)%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Corporate unallocated</w:t>
            </w:r>
          </w:p>
        </w:tc>
        <w:tc>
          <w:tcPr>
            <w:tcW w:w="15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10,546</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18,859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700" w:type="dxa"/>
            <w:vAlign w:val="bottom"/>
            <w:shd w:val="clear" w:color="auto" w:fill="CCEEFF"/>
          </w:tcPr>
          <w:p>
            <w:pPr>
              <w:jc w:val="center"/>
              <w:ind w:right="277"/>
              <w:spacing w:after="0"/>
              <w:rPr>
                <w:sz w:val="20"/>
                <w:szCs w:val="20"/>
                <w:color w:val="auto"/>
              </w:rPr>
            </w:pPr>
            <w:r>
              <w:rPr>
                <w:rFonts w:ascii="Times New Roman" w:cs="Times New Roman" w:eastAsia="Times New Roman" w:hAnsi="Times New Roman"/>
                <w:sz w:val="13"/>
                <w:szCs w:val="13"/>
                <w:color w:val="auto"/>
                <w:w w:val="98"/>
              </w:rPr>
              <w:t>(44)%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4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560" w:type="dxa"/>
            <w:vAlign w:val="bottom"/>
            <w:tcBorders>
              <w:bottom w:val="single" w:sz="8" w:color="auto"/>
            </w:tcBorders>
          </w:tcPr>
          <w:p>
            <w:pPr>
              <w:jc w:val="right"/>
              <w:ind w:right="14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124,660</w:t>
            </w:r>
          </w:p>
        </w:tc>
        <w:tc>
          <w:tcPr>
            <w:tcW w:w="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149,996</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8"/>
              </w:rPr>
              <w:t>(17)%</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4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4"/>
          </w:tcPr>
          <w:p>
            <w:pPr>
              <w:jc w:val="right"/>
              <w:ind w:right="123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2015</w:t>
            </w:r>
          </w:p>
        </w:tc>
        <w:tc>
          <w:tcPr>
            <w:tcW w:w="2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1997"/>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560" w:type="dxa"/>
            <w:vAlign w:val="bottom"/>
          </w:tcPr>
          <w:p>
            <w:pPr>
              <w:jc w:val="center"/>
              <w:ind w:left="537"/>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5"/>
              </w:rPr>
              <w:t>Operating</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9"/>
              </w:rPr>
              <w:t>Operating</w:t>
            </w:r>
          </w:p>
        </w:tc>
        <w:tc>
          <w:tcPr>
            <w:tcW w:w="400" w:type="dxa"/>
            <w:vAlign w:val="bottom"/>
          </w:tcPr>
          <w:p>
            <w:pPr>
              <w:spacing w:after="0"/>
              <w:rPr>
                <w:sz w:val="12"/>
                <w:szCs w:val="12"/>
                <w:color w:val="auto"/>
              </w:rPr>
            </w:pPr>
          </w:p>
        </w:tc>
        <w:tc>
          <w:tcPr>
            <w:tcW w:w="1700" w:type="dxa"/>
            <w:vAlign w:val="bottom"/>
          </w:tcPr>
          <w:p>
            <w:pPr>
              <w:jc w:val="center"/>
              <w:ind w:right="277"/>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5"/>
              </w:rPr>
              <w:t>Operating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5"/>
              </w:rPr>
              <w:t>Operating</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560" w:type="dxa"/>
            <w:vAlign w:val="bottom"/>
          </w:tcPr>
          <w:p>
            <w:pPr>
              <w:jc w:val="center"/>
              <w:ind w:left="557"/>
              <w:spacing w:after="0"/>
              <w:rPr>
                <w:sz w:val="20"/>
                <w:szCs w:val="20"/>
                <w:color w:val="auto"/>
              </w:rPr>
            </w:pPr>
            <w:r>
              <w:rPr>
                <w:rFonts w:ascii="Times New Roman" w:cs="Times New Roman" w:eastAsia="Times New Roman" w:hAnsi="Times New Roman"/>
                <w:sz w:val="13"/>
                <w:szCs w:val="13"/>
                <w:b w:val="1"/>
                <w:bCs w:val="1"/>
                <w:i w:val="1"/>
                <w:iCs w:val="1"/>
                <w:color w:val="auto"/>
                <w:w w:val="96"/>
              </w:rPr>
              <w:t>Income (Loss)</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i w:val="1"/>
                <w:iCs w:val="1"/>
                <w:color w:val="auto"/>
                <w:w w:val="93"/>
              </w:rPr>
              <w:t>Margin</w:t>
            </w:r>
          </w:p>
        </w:tc>
        <w:tc>
          <w:tcPr>
            <w:tcW w:w="400" w:type="dxa"/>
            <w:vAlign w:val="bottom"/>
          </w:tcPr>
          <w:p>
            <w:pPr>
              <w:spacing w:after="0"/>
              <w:rPr>
                <w:sz w:val="15"/>
                <w:szCs w:val="15"/>
                <w:color w:val="auto"/>
              </w:rPr>
            </w:pPr>
          </w:p>
        </w:tc>
        <w:tc>
          <w:tcPr>
            <w:tcW w:w="170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i w:val="1"/>
                <w:iCs w:val="1"/>
                <w:color w:val="auto"/>
                <w:w w:val="98"/>
              </w:rPr>
              <w:t>Income (Loss)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8"/>
              </w:rPr>
              <w:t>Margin</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Segment Operating Income (Loss) and</w:t>
            </w:r>
          </w:p>
        </w:tc>
        <w:tc>
          <w:tcPr>
            <w:tcW w:w="1560" w:type="dxa"/>
            <w:vAlign w:val="bottom"/>
            <w:tcBorders>
              <w:top w:val="single" w:sz="8" w:color="auto"/>
            </w:tcBorders>
            <w:vMerge w:val="restart"/>
          </w:tcPr>
          <w:p>
            <w:pPr>
              <w:jc w:val="center"/>
              <w:ind w:left="53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vMerge w:val="restart"/>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Operating Margin</w:t>
            </w:r>
          </w:p>
        </w:tc>
        <w:tc>
          <w:tcPr>
            <w:tcW w:w="1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2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4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Electricity</w:t>
            </w:r>
          </w:p>
        </w:tc>
        <w:tc>
          <w:tcPr>
            <w:tcW w:w="1560" w:type="dxa"/>
            <w:vAlign w:val="bottom"/>
          </w:tcPr>
          <w:p>
            <w:pPr>
              <w:jc w:val="right"/>
              <w:ind w:right="14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4"/>
                <w:szCs w:val="24"/>
                <w:color w:val="auto"/>
              </w:rPr>
            </w:pP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(22,969)</w:t>
            </w:r>
          </w:p>
        </w:tc>
        <w:tc>
          <w:tcPr>
            <w:tcW w:w="232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color w:val="auto"/>
                <w:w w:val="98"/>
              </w:rPr>
              <w:t>(13)%</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Gas</w:t>
            </w:r>
          </w:p>
        </w:tc>
        <w:tc>
          <w:tcPr>
            <w:tcW w:w="15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2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3"/>
                <w:szCs w:val="13"/>
                <w:color w:val="auto"/>
                <w:w w:val="92"/>
              </w:rPr>
              <w:t>11%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25,724</w:t>
            </w:r>
          </w:p>
        </w:tc>
        <w:tc>
          <w:tcPr>
            <w:tcW w:w="2320" w:type="dxa"/>
            <w:vAlign w:val="bottom"/>
            <w:gridSpan w:val="3"/>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262"/>
        </w:trPr>
        <w:tc>
          <w:tcPr>
            <w:tcW w:w="24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Water</w:t>
            </w:r>
          </w:p>
        </w:tc>
        <w:tc>
          <w:tcPr>
            <w:tcW w:w="15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20,643</w:t>
            </w:r>
          </w:p>
        </w:tc>
        <w:tc>
          <w:tcPr>
            <w:tcW w:w="232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72"/>
        </w:trPr>
        <w:tc>
          <w:tcPr>
            <w:tcW w:w="2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Corporate unallocated</w:t>
            </w:r>
          </w:p>
        </w:tc>
        <w:tc>
          <w:tcPr>
            <w:tcW w:w="15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(10,546)</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42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Total Company</w:t>
            </w:r>
          </w:p>
        </w:tc>
        <w:tc>
          <w:tcPr>
            <w:tcW w:w="1560" w:type="dxa"/>
            <w:vAlign w:val="bottom"/>
          </w:tcPr>
          <w:p>
            <w:pPr>
              <w:jc w:val="right"/>
              <w:ind w:right="14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4"/>
                <w:szCs w:val="24"/>
                <w:color w:val="auto"/>
              </w:rPr>
            </w:pP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4,539</w:t>
            </w:r>
          </w:p>
        </w:tc>
        <w:tc>
          <w:tcPr>
            <w:tcW w:w="232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252"/>
        </w:trPr>
        <w:tc>
          <w:tcPr>
            <w:tcW w:w="242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0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1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1237"/>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r>
      <w:tr>
        <w:trPr>
          <w:trHeight w:val="264"/>
        </w:trPr>
        <w:tc>
          <w:tcPr>
            <w:tcW w:w="2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1997"/>
              <w:spacing w:after="0"/>
              <w:rPr>
                <w:sz w:val="20"/>
                <w:szCs w:val="20"/>
                <w:color w:val="auto"/>
              </w:rPr>
            </w:pPr>
            <w:r>
              <w:rPr>
                <w:rFonts w:ascii="Times New Roman" w:cs="Times New Roman" w:eastAsia="Times New Roman" w:hAnsi="Times New Roman"/>
                <w:sz w:val="13"/>
                <w:szCs w:val="13"/>
                <w:b w:val="1"/>
                <w:bCs w:val="1"/>
                <w:color w:val="auto"/>
                <w:w w:val="92"/>
              </w:rPr>
              <w:t>2014</w:t>
            </w:r>
          </w:p>
        </w:tc>
      </w:tr>
      <w:tr>
        <w:trPr>
          <w:trHeight w:val="142"/>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7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Non-GAAP Operating</w:t>
            </w:r>
          </w:p>
        </w:tc>
        <w:tc>
          <w:tcPr>
            <w:tcW w:w="2280" w:type="dxa"/>
            <w:vAlign w:val="bottom"/>
            <w:gridSpan w:val="4"/>
          </w:tcPr>
          <w:p>
            <w:pPr>
              <w:jc w:val="center"/>
              <w:ind w:right="6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Non-GAAP Operating</w:t>
            </w:r>
          </w:p>
        </w:tc>
        <w:tc>
          <w:tcPr>
            <w:tcW w:w="1820" w:type="dxa"/>
            <w:vAlign w:val="bottom"/>
          </w:tcPr>
          <w:p>
            <w:pPr>
              <w:jc w:val="right"/>
              <w:ind w:right="357"/>
              <w:spacing w:after="0" w:line="142" w:lineRule="exact"/>
              <w:rPr>
                <w:sz w:val="20"/>
                <w:szCs w:val="20"/>
                <w:color w:val="auto"/>
              </w:rPr>
            </w:pPr>
            <w:r>
              <w:rPr>
                <w:rFonts w:ascii="Times New Roman" w:cs="Times New Roman" w:eastAsia="Times New Roman" w:hAnsi="Times New Roman"/>
                <w:sz w:val="13"/>
                <w:szCs w:val="13"/>
                <w:b w:val="1"/>
                <w:bCs w:val="1"/>
                <w:color w:val="auto"/>
              </w:rPr>
              <w:t>Non-GAAP Operating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Non-GAAP Operating</w:t>
            </w:r>
          </w:p>
        </w:tc>
      </w:tr>
      <w:tr>
        <w:trPr>
          <w:trHeight w:val="176"/>
        </w:trPr>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04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Margin</w:t>
            </w:r>
          </w:p>
        </w:tc>
      </w:tr>
      <w:tr>
        <w:trPr>
          <w:trHeight w:val="128"/>
        </w:trPr>
        <w:tc>
          <w:tcPr>
            <w:tcW w:w="242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Non-GAAP Segment Operating Income</w:t>
            </w:r>
          </w:p>
        </w:tc>
        <w:tc>
          <w:tcPr>
            <w:tcW w:w="28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r>
      <w:tr>
        <w:trPr>
          <w:trHeight w:val="166"/>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(Loss) </w:t>
            </w:r>
            <w:r>
              <w:rPr>
                <w:rFonts w:ascii="Times New Roman" w:cs="Times New Roman" w:eastAsia="Times New Roman" w:hAnsi="Times New Roman"/>
                <w:sz w:val="8"/>
                <w:szCs w:val="8"/>
                <w:b w:val="1"/>
                <w:bCs w:val="1"/>
                <w:i w:val="1"/>
                <w:iCs w:val="1"/>
                <w:color w:val="auto"/>
              </w:rPr>
              <w:t>(1)</w:t>
            </w:r>
          </w:p>
        </w:tc>
        <w:tc>
          <w:tcPr>
            <w:tcW w:w="280" w:type="dxa"/>
            <w:vAlign w:val="bottom"/>
          </w:tcPr>
          <w:p>
            <w:pPr>
              <w:spacing w:after="0"/>
              <w:rPr>
                <w:sz w:val="14"/>
                <w:szCs w:val="14"/>
                <w:color w:val="auto"/>
              </w:rPr>
            </w:pPr>
          </w:p>
        </w:tc>
        <w:tc>
          <w:tcPr>
            <w:tcW w:w="230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78"/>
        </w:trPr>
        <w:tc>
          <w:tcPr>
            <w:tcW w:w="242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Electricity</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6,048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center"/>
              <w:ind w:left="517"/>
              <w:spacing w:after="0"/>
              <w:rPr>
                <w:sz w:val="20"/>
                <w:szCs w:val="20"/>
                <w:color w:val="auto"/>
              </w:rPr>
            </w:pPr>
            <w:r>
              <w:rPr>
                <w:rFonts w:ascii="Times New Roman" w:cs="Times New Roman" w:eastAsia="Times New Roman" w:hAnsi="Times New Roman"/>
                <w:sz w:val="13"/>
                <w:szCs w:val="13"/>
                <w:color w:val="auto"/>
              </w:rPr>
              <w:t>3%</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(15,925)</w:t>
            </w:r>
          </w:p>
        </w:tc>
        <w:tc>
          <w:tcPr>
            <w:tcW w:w="232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color w:val="auto"/>
                <w:w w:val="92"/>
              </w:rPr>
              <w:t>(9)%</w:t>
            </w:r>
          </w:p>
        </w:tc>
      </w:tr>
      <w:tr>
        <w:trPr>
          <w:trHeight w:val="278"/>
        </w:trPr>
        <w:tc>
          <w:tcPr>
            <w:tcW w:w="2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Gas</w:t>
            </w:r>
          </w:p>
        </w:tc>
        <w:tc>
          <w:tcPr>
            <w:tcW w:w="28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16,064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left="517"/>
              <w:spacing w:after="0"/>
              <w:rPr>
                <w:sz w:val="20"/>
                <w:szCs w:val="20"/>
                <w:color w:val="auto"/>
              </w:rPr>
            </w:pPr>
            <w:r>
              <w:rPr>
                <w:rFonts w:ascii="Times New Roman" w:cs="Times New Roman" w:eastAsia="Times New Roman" w:hAnsi="Times New Roman"/>
                <w:sz w:val="13"/>
                <w:szCs w:val="13"/>
                <w:color w:val="auto"/>
                <w:w w:val="92"/>
              </w:rPr>
              <w:t>13%</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28,110</w:t>
            </w:r>
          </w:p>
        </w:tc>
        <w:tc>
          <w:tcPr>
            <w:tcW w:w="2320" w:type="dxa"/>
            <w:vAlign w:val="bottom"/>
            <w:gridSpan w:val="3"/>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rPr>
              <w:t>19%</w:t>
            </w:r>
          </w:p>
        </w:tc>
      </w:tr>
      <w:tr>
        <w:trPr>
          <w:trHeight w:val="262"/>
        </w:trPr>
        <w:tc>
          <w:tcPr>
            <w:tcW w:w="242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Water</w:t>
            </w:r>
          </w:p>
        </w:tc>
        <w:tc>
          <w:tcPr>
            <w:tcW w:w="280" w:type="dxa"/>
            <w:vAlign w:val="bottom"/>
          </w:tcPr>
          <w:p>
            <w:pPr>
              <w:spacing w:after="0"/>
              <w:rPr>
                <w:sz w:val="22"/>
                <w:szCs w:val="22"/>
                <w:color w:val="auto"/>
              </w:rPr>
            </w:pPr>
          </w:p>
        </w:tc>
        <w:tc>
          <w:tcPr>
            <w:tcW w:w="1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9,762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center"/>
              <w:ind w:left="517"/>
              <w:spacing w:after="0"/>
              <w:rPr>
                <w:sz w:val="20"/>
                <w:szCs w:val="20"/>
                <w:color w:val="auto"/>
              </w:rPr>
            </w:pPr>
            <w:r>
              <w:rPr>
                <w:rFonts w:ascii="Times New Roman" w:cs="Times New Roman" w:eastAsia="Times New Roman" w:hAnsi="Times New Roman"/>
                <w:sz w:val="13"/>
                <w:szCs w:val="13"/>
                <w:color w:val="auto"/>
              </w:rPr>
              <w:t>8%</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23,426</w:t>
            </w:r>
          </w:p>
        </w:tc>
        <w:tc>
          <w:tcPr>
            <w:tcW w:w="232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color w:val="auto"/>
              </w:rPr>
              <w:t>16%</w:t>
            </w:r>
          </w:p>
        </w:tc>
      </w:tr>
      <w:tr>
        <w:trPr>
          <w:trHeight w:val="272"/>
        </w:trPr>
        <w:tc>
          <w:tcPr>
            <w:tcW w:w="2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Corporate unallocated</w:t>
            </w:r>
          </w:p>
        </w:tc>
        <w:tc>
          <w:tcPr>
            <w:tcW w:w="28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(13,485)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(13,012)</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r>
      <w:tr>
        <w:trPr>
          <w:trHeight w:val="242"/>
        </w:trPr>
        <w:tc>
          <w:tcPr>
            <w:tcW w:w="24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Total Company</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18,389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center"/>
              <w:ind w:left="517"/>
              <w:spacing w:after="0"/>
              <w:rPr>
                <w:sz w:val="20"/>
                <w:szCs w:val="20"/>
                <w:color w:val="auto"/>
              </w:rPr>
            </w:pPr>
            <w:r>
              <w:rPr>
                <w:rFonts w:ascii="Times New Roman" w:cs="Times New Roman" w:eastAsia="Times New Roman" w:hAnsi="Times New Roman"/>
                <w:sz w:val="13"/>
                <w:szCs w:val="13"/>
                <w:color w:val="auto"/>
              </w:rPr>
              <w:t>4%</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22,599</w:t>
            </w:r>
          </w:p>
        </w:tc>
        <w:tc>
          <w:tcPr>
            <w:tcW w:w="232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color w:val="auto"/>
                <w:w w:val="92"/>
              </w:rPr>
              <w:t>5%</w:t>
            </w:r>
          </w:p>
        </w:tc>
      </w:tr>
      <w:tr>
        <w:trPr>
          <w:trHeight w:val="20"/>
        </w:trPr>
        <w:tc>
          <w:tcPr>
            <w:tcW w:w="2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right="20" w:hanging="332"/>
        <w:spacing w:after="0" w:line="249" w:lineRule="auto"/>
        <w:tabs>
          <w:tab w:leader="none" w:pos="34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These measures exclude certain expenses that we do not believe are indicative of our core operating results. See pages </w:t>
      </w:r>
      <w:r>
        <w:rPr>
          <w:rFonts w:ascii="Times New Roman" w:cs="Times New Roman" w:eastAsia="Times New Roman" w:hAnsi="Times New Roman"/>
          <w:sz w:val="18"/>
          <w:szCs w:val="18"/>
          <w:color w:val="auto"/>
        </w:rPr>
        <w:t>47-49</w:t>
      </w:r>
      <w:r>
        <w:rPr>
          <w:rFonts w:ascii="Times New Roman" w:cs="Times New Roman" w:eastAsia="Times New Roman" w:hAnsi="Times New Roman"/>
          <w:sz w:val="16"/>
          <w:szCs w:val="16"/>
          <w:color w:val="auto"/>
        </w:rPr>
        <w:t xml:space="preserve"> for information about these non-GAAP measures and reconciliations to the most comparable GAAP measures.</w:t>
      </w:r>
    </w:p>
    <w:p>
      <w:pPr>
        <w:sectPr>
          <w:pgSz w:w="11900" w:h="16838" w:orient="portrait"/>
          <w:cols w:equalWidth="0" w:num="1">
            <w:col w:w="11420"/>
          </w:cols>
          <w:pgMar w:left="240" w:top="121" w:right="239" w:bottom="603"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603"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Electricity:</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2015 vs. Three months ended March 31, 2014</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Electricity revenues increased $13.6 million, or 8%, for the three months ended March 31, 2015, compared with the same period in 2014. Foreign exchange rates negatively impacted Electricity revenues by $12.0 million. Apart from foreign currency impacts, other drivers impacting revenues include increased product shipments and professional services in North America totaling $20.1 million and $11.3 million, respectively, partially offset by lower product revenue in our EMEA region of $5.2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accounted for more than 10% of the Electricity operating segment revenues during the three months ended March 31, 2015 and 2014</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2015 vs. Three months ended March 31, 2014</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Electricity gross margin was 28.4% for the three months ended March 31, 2015, compared with 23.7% for the three months ended March 31, 2014. In 2015, gross margin increased 470 basis points over the prior year, primarily as the result of more favorable product mix, as well as reduced warranty costs. In addition, 2014 included a net charge of $2.5 million on an OpenWay project in North America, and there were no such charges in 2015. Gross margin improved in all regions.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March 31, 2015 vs. Three months ended March 31, 2014</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Electricity operating expenses decreased $13.0 million, or 20%, for the three months ended March 31, 2015, compared with the same period in 2014. Operating expenses were favorably impacted by $5.4 million of foreign exchange rate changes. Apart from foreign exchange impact, operating expenses decreased primarily due to a decrease of $2.6 million in restructuring expense and $1.4 million in lower amortization of intangible asset expense, as well as reduced sales and marketing and product development costs totaling $2.6 million. Additionally, in 2014, we recognized a goodwill impairment charge of $1.0 million. There were no goodwill impairment charges in 2015. These improvements were partially offset by an increase of $1.9 million, from $442,000 in 2014 to $2.3 million in 2015, in acquisition-related costs, which are classified within general and administrative expense. In 2015, acquisition-related costs represented primarily legal costs associated with the product development contract litigation from the SmartSynch, Inc. acquisition, which was settled in February 2015.</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Operating Expenses - Three months ended March 31, 2015 vs. Three months ended March 31, 2014</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non-GAAP operating expenses, as a percentage of revenues, was 25% for the three months ended March 31, 2015 and was 33% for the same period in 2014. Acquisition-related costs are excluded from general and administrative expenses for non-GAAP purposes. The overall improvement in non-GAAP operating expenses, represented by the lower ratio as a percentage of revenue, in 2015 was driven by increased revenues, cost reductions resulting from our restructuring projects, and lower litigation and other reserves.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2015 vs. Three months ended March 31, 2014</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Gas revenues decreased $21.0 million, or 14%, for the three months ended March 31, 2015, compared with the first quarter of 2014. Foreign exchange rates had an unfavorable impact of $12.5 million in the first quarter of 2015. Apart from foreign currency impacts, this decrease was primarily driven by decreased product shipments of $8.0 million in EMEA.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accounted for more than 10% of the Gas operating segment revenues during the three months ended March 31, 2015 and 2014.</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2015 vs. Three months ended March 31, 2014</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Gas gross margin was 34.8% for the three months ended March 31, 2015, compared with 40.0% for the same period in 2014. This decrease of 520 basis points was driven by lower volumes and less favorable product mix in EMEA and North America and $1.2 million of increased warranty expense.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March 31, 2015 vs. Three months ended March 31, 2014</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Gas operating expenses decreased $2.8 million, or 8%, for the three months ended March 31, 2015, compared with the same period in 2014. Foreign currency exchange rates had a $3.6 million favorable impact to operating expenses. In addition to the foreign currency impact, there was $1.5 million in lower sales and marketing and amortization of intangible assets expenses, partially offset by higher general and administrative expenses and restructuring costs during the quarter.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Operating Expenses - Three months ended March 31, 2015 vs. Three months ended March 31, 2014</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non-GAAP operating expenses, as a percentage of revenues, was 22% for the three months ended March 31, 2015 and was 21% for the same period in 2014. The total as a percentage of revenue increased in 2015 as the result of lower revenues during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2015 vs. Three months ended March 31, 2014</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$19.2 million, or 13%, for the three months ended March 31, 2015, compared with the first quarter of 2014. This was the result of $19.2 million unfavorable foreign exchange impact. In addition to the foreign exchange impact, modest increases in EMEA and Asia/Pacific totaling $2.2 million were entirely offset by a decline in Latin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represented more than 10% of the Water operating segment revenues during the three months ended March 31, 2015 and 2014.</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2015 vs. Three months ended March 31, 2014</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Water gross margin decreased to 30.6% for the three months ended March 31, 2015, compared with 36.0% for the same period last year, primarily as the result of $4.4 million of increased warranty cost and a less favorable product mix in EMEA and Latin America.</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March 31, 2015 vs. Three months ended March 31, 2014</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for the three months ended March 31, 2015 decreased by $1.3 million, or 4%, over the first quarter of 2014, primarily as the result of $4.3 million in favorable impact from foreign exchange rates. Apart from foreign currency impact, there was $3.6 million in increased sales and marketing, product development, and general and administrative costs. Additionally, amortization of intangible assets decreased in 2015 as scheduled, by $334,000.</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Operating Expenses - Three months ended March 31, 2015 vs. Three months ended March 31, 2014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non-GAAP operating expenses, as a percentage of revenues, was 23% for the three months ended March 31, 2015 and 20% for the same period in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in 2015 as a percentage of revenue was driven by a decline in revenues during the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decreased by $8.3 million for the three months ended March 31, 2015 due to $7.5 million in lower restructuring expense, as well as favorable foreign exchange rate impact of $1.4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that have met certain conditions, such as regulatory and/or contractual approval. Total backlog represents committed but undelivered products and services for contracts and purchase orders at period 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12-Month</w:t>
            </w:r>
          </w:p>
        </w:tc>
      </w:tr>
      <w:tr>
        <w:trPr>
          <w:trHeight w:val="212"/>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31, 2015</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424</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1,438</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779</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December 31, 2014</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648</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1,486</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747</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30, 2014</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514</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1,345</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June 30, 2014</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478</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1,330</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675</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31, 2014</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745</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1,333</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614</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bookings by our operating segments is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Electricity</w:t>
            </w:r>
          </w:p>
        </w:tc>
        <w:tc>
          <w:tcPr>
            <w:tcW w:w="760" w:type="dxa"/>
            <w:vAlign w:val="bottom"/>
          </w:tcPr>
          <w:p>
            <w:pPr>
              <w:spacing w:after="0"/>
              <w:rPr>
                <w:sz w:val="18"/>
                <w:szCs w:val="18"/>
                <w:color w:val="auto"/>
              </w:rPr>
            </w:pPr>
          </w:p>
        </w:tc>
        <w:tc>
          <w:tcPr>
            <w:tcW w:w="162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Gas</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31, 2015</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424</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w:t>
            </w:r>
          </w:p>
        </w:tc>
      </w:tr>
      <w:tr>
        <w:trPr>
          <w:trHeight w:val="237"/>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December 31, 2014</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648</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348</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30, 2014</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514</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r>
      <w:tr>
        <w:trPr>
          <w:trHeight w:val="237"/>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June 30, 2014</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478</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31, 2014</w:t>
            </w: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745</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463</w:t>
            </w:r>
          </w:p>
        </w:tc>
        <w:tc>
          <w:tcPr>
            <w:tcW w:w="7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9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7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60" w:type="dxa"/>
            <w:vAlign w:val="bottom"/>
            <w:gridSpan w:val="3"/>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66,761</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(9,590)</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(8,397)</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(35,507)</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(6,665)</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5,713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21,522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was $118.1 million at March 31, 2015, compared with $112.4 million at December 31, 2014.</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used by operating activities during the three months ended March 31, 2015 was $4.0 million compared with $66.8 million of cash provided during the same period in 2014. The decreased cash flow was due to $23.3 million in increased payments of other current liabilities, including litigation payments and restructuring accrual release during the first three months of 2015, as well as $10.6 million of increased wages and benefits payments due to 2014 variable compensation payouts paid in 2015. Cash paid for taxes increased $20.1 million, due to a significant payment made in North America based on 2014 results. In addition, net accounts receivable collections were $13.4 million less in 2015 as compared with 2014, while inventory build up was $7.7 million higher. These uses of cash were partially offset by $8.6 million of lower payments of accounts payable during the period due to payment timing.</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2015 was $1.2 million higher compared with the same period in 2014, primarily due to an increase in the acquisition of property, plant, and equipment of $908,000.</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2015 was $25.9 million, compared with a cash use of $35.5 million for the same period in 2014. The increased cash provided by financing activities is primarily a result of draws on our revolving line of credit of $63.0 million in the first three months of 2015 while no draws occurred during the same period in 2014. In addition, debt repayments decreased by $8.3 million. This was partially offset by $13.4 million in increased share repurchases. Refer to Part II, Item 2: "Unregistered Sale of Equity Securities and Use of Proceeds" for additional details related to our share repurchase program.</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for the three months ended March 31, 2015 was a decrease of $6.7 million, compared with a decrease of $1.3 million for the same period in 2014. The increased impact of exchange rates is the result of a strengthening of the dollar compared with most foreign currencies during the three months ended March 31, 2015.</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4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2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42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4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4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66,761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37"/>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1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(8,564)</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4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Free cash flow</w:t>
            </w:r>
          </w:p>
        </w:tc>
        <w:tc>
          <w:tcPr>
            <w:tcW w:w="1460" w:type="dxa"/>
            <w:vAlign w:val="bottom"/>
            <w:tcBorders>
              <w:bottom w:val="single" w:sz="8" w:color="auto"/>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58,197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
        </w:trPr>
        <w:tc>
          <w:tcPr>
            <w:tcW w:w="4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(non-GAAP) decreased almost exclusively as a result of cash used in operating activities. See the cash flow discussion of operating activities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March 31, 2015 and December 31, 2014 that we believe are reasonably likely to have a current or future effect on our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$279.7 million at March 31, 2015, compared with $261.9 million at December 31, 2014.</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credit facility consists of a $300 million U.S. dollar term loan and a multicurrency revolving line of credit (the revolver) with a principal amount of up to $660 million. At March 31, 2015, $136.3 million was outstanding under the revolver, and $53.0 million was utilized by outstanding standby letters of credit, resulting in $470.7 million available for additional borrowings.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the term loan and the revolver under our credit facility, refer to Item 1: “Financial Statements, Note 6: Debt.”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Note 11: Commitments and Contingencies.”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19, 2015, the Board authorized a new repurchase program of up to $50 million of our common stock over a 12-month period, beginning February 19, 2015. From February 19, 2015 through March 31, 2015, we repurchased 84,000 shares of our common stock, totaling $3.1 million, and $46.9 million remains under the current program for future purchases.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are made in the open market or in privately negotiated transactions and in accordance with applicable securities laws. Refer to Part II, Item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 for additional information related to our share repurchase program.</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implementing these projects in the fourth quarter of 2014, and we expect to substantially complete these projects by the end of 2016. Certain aspects of the projects are subject to a variety of labor and employment laws, rules, and regulations, which could result in a delay in completing the projects at some locations. During the quarter ended March 31, 2015, the total expected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costs decreased by approximately $6.9 million. This includes $5.4 million in restructuring expense release, recognized in the first quarter of 2015, primarily resulting from employees, originally identified to be terminated, voluntarily resigning or filling vacant positions in different departments or locations. The remainder of the change in expected costs results from the translation impact of foreign exchange rates.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2015, the current and long-term portions of the restructuring related liability balances were $40.7 million and $6.9 million, respectively. For further details regarding our restructuring activities, refer to Item 1: “Financial Statements, Note 12: Restructuring.”</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$1.1 million in state taxes, $21.3 million in U.S federal taxes, and $11.9 million in local and foreign taxes in 2015. For a discussion of our tax provision and unrecognized tax benefits, see Item 1: “Financial Statements, Note 10: Income Taxes.”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2015, we are under examination by certain tax authorities for the 2000 to 2013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provided U.S. deferred taxes related to the cash in certain foreign subsidiaries because our investment is considered permanent in duration. As of March 31, 2015, there was $47.5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or because we exercise control over the operations. The noncontrolling interest balance in our Consolidated Balance Sheets represents the proportional share of the equity of the joint venture entities, which is attributable to the minority shareholders. Approximately $30.2 million of our consolidated cash balance at March 31, 2015 is held in our joint venture entities. As a result, the minority shareholders of these entities control their proportional share of this cash balance, and there may be limitations on our ability to repatriate cash to the United States from these entities.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funded and unfunded non-U.S. defined benefit pension plans and our expected 2015 contributions, refer to Item 1: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Note 8: Defined Benefit Pension Plans.”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bonus and profit sharing plans, including the amounts accrued at March 31, 2015 and the expected timing of payment, refer to </w:t>
      </w: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Profit Sharing </w:t>
      </w:r>
      <w:r>
        <w:rPr>
          <w:rFonts w:ascii="Times New Roman" w:cs="Times New Roman" w:eastAsia="Times New Roman" w:hAnsi="Times New Roman"/>
          <w:sz w:val="18"/>
          <w:szCs w:val="18"/>
          <w:color w:val="auto"/>
        </w:rPr>
        <w:t>within Critical Accounting Estimates below.</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2014, which was filed with the SEC on February 20, 2015, as well as “Quantitative and Qualitative Disclosures About Market Risk” within Item 3 of Part I included in this Quarterly Report on Form 10-Q.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Note 11: Commitments and Contingencies”.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A majority of our revenue is recognized when products are shipped to or received by a customer or when services are provided.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implementation services are essential to a software arrangement, revenue is recognized using either the percentage-of-completion methodology of contract accounting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contract accounting, 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allocate consideration to each deliverable in an arrangement based on its relative selling price. We determine selling price using vendor specific objective evidence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The objective of ESP is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our financial position and results of operations. The long-term warranty balance includes estimated warranty claims beyond one year.</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expense in the Consolidated Statements of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recorded.</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calculation of our annual estimated effective tax rate requires significant judgment and is subject to several factors, including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 valuation allowances to reduce deferred tax assets to the extent we believe it is more likely than not that a portion of such assets will not be realized. In making such determinations, we consider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The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(IPR&amp;D) is considered an indefinite-lived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The reporting units are aligned with our reporting segments, effective in the fourth quarter of 2013.</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our qualitative analysis as of October 1, 2014, we determined that it was more likely than not that the fair value of the Electricity, Gas and Water reporting units exceeded their respective carrying values. As a result, it was not necessary to complete the two-step impairment test for those reporting units.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94% of our benefit obligation, we use two discount rates, with consideration of the duration of the plans, using a hypothetical yield curve developed from euro-denominated AA-rated corporate bond issues,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1.50% and 2.00%, respectively. The weighted average discount rate used to measure the projected benefit obligation for all of the plans at December 31, 2014 was 2.36%. A change of 25 basis points in the discount rate would change our pension benefit obligation by approximately $5.2 million. The financial and actuarial assumptions used at December 31, 2014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2015.</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Bonus and Profit Sharing</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 For the three months ended March 31, 2015, we accrued $7.9 million compared with $7.7 million for the same period in 2014. Awards are typically distributed in the first quarter of the following year.</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The fair value of restricted stock units with a market condition is estimated at the date of award using a Monte Carlo simulation model, which includes assumptions for the dividend yield, expected volatility, risk-free interest rate and the expected term. 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without a market condition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Non-GAAP operating expense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non-GAAP operating income</w:t>
      </w:r>
      <w:r>
        <w:rPr>
          <w:rFonts w:ascii="Times New Roman" w:cs="Times New Roman" w:eastAsia="Times New Roman" w:hAnsi="Times New Roman"/>
          <w:sz w:val="18"/>
          <w:szCs w:val="18"/>
          <w:color w:val="auto"/>
        </w:rPr>
        <w:t xml:space="preserve"> – We define non-GAAP operating expense as operating expense excluding certain expenses related to the amortization of intangible assets acquired through a business acquisition, restructuring, acquisitions and goodwill impairment. We define non-GAAP operating income as operating income excluding the expenses related to the amortization of intangible assets acquired through a business acquisition, restructuring, acquisitions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Non-GAAP net income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non-GAAP diluted EPS</w:t>
      </w:r>
      <w:r>
        <w:rPr>
          <w:rFonts w:ascii="Times New Roman" w:cs="Times New Roman" w:eastAsia="Times New Roman" w:hAnsi="Times New Roman"/>
          <w:sz w:val="18"/>
          <w:szCs w:val="18"/>
          <w:color w:val="auto"/>
        </w:rPr>
        <w:t xml:space="preserve"> – We define non-GAAP net income as net income excluding the expenses associated with amortization of intangible assets acquired through a business acquisition, restructuring, acquisitions, goodwill impairment and amortization of debt placement fees.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Measures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reconciles the non-GAAP financial measures of net income and diluted EPS, free cash flow, operating income, operating expense, and operating income by segment with the most directly comparable GAAP financial measures.</w:t>
      </w:r>
    </w:p>
    <w:p>
      <w:pPr>
        <w:spacing w:after="0" w:line="189"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(Unaudited; in thousands, except per share data)</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469"/>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COMPANY RECONCILIATIONS</w:t>
            </w: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264"/>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2015</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2014</w:t>
            </w:r>
          </w:p>
        </w:tc>
      </w:tr>
      <w:tr>
        <w:trPr>
          <w:trHeight w:val="262"/>
        </w:trPr>
        <w:tc>
          <w:tcPr>
            <w:tcW w:w="64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NON-GAAP NET INCOME &amp; DILUTED EPS</w:t>
            </w: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GAAP net income (loss) attributable to Itron, Inc.</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4,910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40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7,973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11,070</w:t>
            </w:r>
          </w:p>
        </w:tc>
      </w:tr>
      <w:tr>
        <w:trPr>
          <w:trHeight w:val="278"/>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Amortization of debt placement fees</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379</w:t>
            </w: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Restructuring expense</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5,524</w:t>
            </w:r>
          </w:p>
        </w:tc>
      </w:tr>
      <w:tr>
        <w:trPr>
          <w:trHeight w:val="278"/>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Acquisition-related expenses</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2,324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489</w:t>
            </w: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Goodwill impairment</w:t>
            </w:r>
          </w:p>
        </w:tc>
        <w:tc>
          <w:tcPr>
            <w:tcW w:w="4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977</w:t>
            </w:r>
          </w:p>
        </w:tc>
      </w:tr>
      <w:tr>
        <w:trPr>
          <w:trHeight w:val="272"/>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Income tax effect of non-GAAP adjustments</w:t>
            </w:r>
            <w:r>
              <w:rPr>
                <w:rFonts w:ascii="Times New Roman" w:cs="Times New Roman" w:eastAsia="Times New Roman" w:hAnsi="Times New Roman"/>
                <w:sz w:val="8"/>
                <w:szCs w:val="8"/>
                <w:color w:val="auto"/>
              </w:rPr>
              <w:t>(1)</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(5,942)</w:t>
            </w:r>
          </w:p>
        </w:tc>
      </w:tr>
      <w:tr>
        <w:trPr>
          <w:trHeight w:val="282"/>
        </w:trPr>
        <w:tc>
          <w:tcPr>
            <w:tcW w:w="6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Non-GAAP net income</w:t>
            </w: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7,811</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12,243</w:t>
            </w:r>
          </w:p>
        </w:tc>
      </w:tr>
      <w:tr>
        <w:trPr>
          <w:trHeight w:val="252"/>
        </w:trPr>
        <w:tc>
          <w:tcPr>
            <w:tcW w:w="64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r>
      <w:tr>
        <w:trPr>
          <w:trHeight w:val="275"/>
        </w:trPr>
        <w:tc>
          <w:tcPr>
            <w:tcW w:w="6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Non-GAAP diluted EPS</w:t>
            </w: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0.20</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0.31</w:t>
            </w:r>
          </w:p>
        </w:tc>
      </w:tr>
      <w:tr>
        <w:trPr>
          <w:trHeight w:val="252"/>
        </w:trPr>
        <w:tc>
          <w:tcPr>
            <w:tcW w:w="6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5"/>
        </w:trPr>
        <w:tc>
          <w:tcPr>
            <w:tcW w:w="6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Weighted average common shares outstanding - Diluted</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38,758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39,512</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820" w:right="1080" w:hanging="2"/>
        <w:spacing w:after="0" w:line="256" w:lineRule="auto"/>
        <w:tabs>
          <w:tab w:leader="none" w:pos="95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1"/>
          <w:szCs w:val="11"/>
          <w:color w:val="auto"/>
        </w:rPr>
        <w:t>The income tax effect of non-GAAP adjustments is calculated using the statutory tax rates for the relevant jurisdictions if no valuation allowance exists. If a valuation allowance exists, there is no tax impact to the non-GAAP adjustment</w:t>
      </w:r>
    </w:p>
    <w:p>
      <w:pPr>
        <w:spacing w:after="0" w:line="372" w:lineRule="exact"/>
        <w:rPr>
          <w:sz w:val="20"/>
          <w:szCs w:val="20"/>
          <w:color w:val="auto"/>
        </w:rPr>
      </w:pPr>
    </w:p>
    <w:tbl>
      <w:tblPr>
        <w:tblLayout w:type="fixed"/>
        <w:tblInd w:w="800" w:type="dxa"/>
        <w:tblCellMar>
          <w:top w:w="0" w:type="dxa"/>
          <w:left w:w="0" w:type="dxa"/>
          <w:bottom w:w="0" w:type="dxa"/>
          <w:right w:w="0" w:type="dxa"/>
        </w:tblCellMar>
      </w:tblPr>
      <w:tr>
        <w:trPr>
          <w:trHeight w:val="166"/>
        </w:trPr>
        <w:tc>
          <w:tcPr>
            <w:tcW w:w="64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FREE CASH FLOW</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78"/>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64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(3,955)</w:t>
            </w:r>
          </w:p>
        </w:tc>
        <w:tc>
          <w:tcPr>
            <w:tcW w:w="120" w:type="dxa"/>
            <w:vAlign w:val="bottom"/>
          </w:tcPr>
          <w:p>
            <w:pPr>
              <w:spacing w:after="0"/>
              <w:rPr>
                <w:sz w:val="24"/>
                <w:szCs w:val="24"/>
                <w:color w:val="auto"/>
              </w:rPr>
            </w:pPr>
          </w:p>
        </w:tc>
        <w:tc>
          <w:tcPr>
            <w:tcW w:w="660" w:type="dxa"/>
            <w:vAlign w:val="bottom"/>
          </w:tcPr>
          <w:p>
            <w:pPr>
              <w:jc w:val="right"/>
              <w:ind w:right="5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66,761</w:t>
            </w:r>
          </w:p>
        </w:tc>
      </w:tr>
      <w:tr>
        <w:trPr>
          <w:trHeight w:val="272"/>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Acquisitions of property, plant, and equipment</w:t>
            </w:r>
          </w:p>
        </w:tc>
        <w:tc>
          <w:tcPr>
            <w:tcW w:w="6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(9,472)</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(8,564)</w:t>
            </w:r>
          </w:p>
        </w:tc>
      </w:tr>
      <w:tr>
        <w:trPr>
          <w:trHeight w:val="242"/>
        </w:trPr>
        <w:tc>
          <w:tcPr>
            <w:tcW w:w="6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Free Cash Flow</w:t>
            </w:r>
          </w:p>
        </w:tc>
        <w:tc>
          <w:tcPr>
            <w:tcW w:w="6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(13,427)</w:t>
            </w:r>
          </w:p>
        </w:tc>
        <w:tc>
          <w:tcPr>
            <w:tcW w:w="120" w:type="dxa"/>
            <w:vAlign w:val="bottom"/>
          </w:tcPr>
          <w:p>
            <w:pPr>
              <w:spacing w:after="0"/>
              <w:rPr>
                <w:sz w:val="21"/>
                <w:szCs w:val="21"/>
                <w:color w:val="auto"/>
              </w:rPr>
            </w:pPr>
          </w:p>
        </w:tc>
        <w:tc>
          <w:tcPr>
            <w:tcW w:w="6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58,197</w:t>
            </w:r>
          </w:p>
        </w:tc>
      </w:tr>
      <w:tr>
        <w:trPr>
          <w:trHeight w:val="20"/>
        </w:trPr>
        <w:tc>
          <w:tcPr>
            <w:tcW w:w="6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(Unaudited; in thousands)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COMPANY RECONCILIATIONS (Continued)</w:t>
            </w: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2015</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2014</w:t>
            </w:r>
          </w:p>
        </w:tc>
        <w:tc>
          <w:tcPr>
            <w:tcW w:w="0" w:type="dxa"/>
            <w:vAlign w:val="bottom"/>
          </w:tcPr>
          <w:p>
            <w:pPr>
              <w:spacing w:after="0"/>
              <w:rPr>
                <w:sz w:val="1"/>
                <w:szCs w:val="1"/>
                <w:color w:val="auto"/>
              </w:rPr>
            </w:pPr>
          </w:p>
        </w:tc>
      </w:tr>
      <w:tr>
        <w:trPr>
          <w:trHeight w:val="262"/>
        </w:trPr>
        <w:tc>
          <w:tcPr>
            <w:tcW w:w="64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NON-GAAP OPERATING INCOME</w:t>
            </w: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GAAP operating income</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13,539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4,539</w:t>
            </w:r>
          </w:p>
        </w:tc>
        <w:tc>
          <w:tcPr>
            <w:tcW w:w="0" w:type="dxa"/>
            <w:vAlign w:val="bottom"/>
          </w:tcPr>
          <w:p>
            <w:pPr>
              <w:spacing w:after="0"/>
              <w:rPr>
                <w:sz w:val="1"/>
                <w:szCs w:val="1"/>
                <w:color w:val="auto"/>
              </w:rPr>
            </w:pP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40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7,973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11,070</w:t>
            </w: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Restructuring expense</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5,524</w:t>
            </w:r>
          </w:p>
        </w:tc>
        <w:tc>
          <w:tcPr>
            <w:tcW w:w="0" w:type="dxa"/>
            <w:vAlign w:val="bottom"/>
          </w:tcPr>
          <w:p>
            <w:pPr>
              <w:spacing w:after="0"/>
              <w:rPr>
                <w:sz w:val="1"/>
                <w:szCs w:val="1"/>
                <w:color w:val="auto"/>
              </w:rPr>
            </w:pP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Acquisition-related expenses</w:t>
            </w:r>
          </w:p>
        </w:tc>
        <w:tc>
          <w:tcPr>
            <w:tcW w:w="40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2,324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489</w:t>
            </w:r>
          </w:p>
        </w:tc>
        <w:tc>
          <w:tcPr>
            <w:tcW w:w="0" w:type="dxa"/>
            <w:vAlign w:val="bottom"/>
          </w:tcPr>
          <w:p>
            <w:pPr>
              <w:spacing w:after="0"/>
              <w:rPr>
                <w:sz w:val="1"/>
                <w:szCs w:val="1"/>
                <w:color w:val="auto"/>
              </w:rPr>
            </w:pPr>
          </w:p>
        </w:tc>
      </w:tr>
      <w:tr>
        <w:trPr>
          <w:trHeight w:val="272"/>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Goodwill impairment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977</w:t>
            </w:r>
          </w:p>
        </w:tc>
        <w:tc>
          <w:tcPr>
            <w:tcW w:w="0" w:type="dxa"/>
            <w:vAlign w:val="bottom"/>
          </w:tcPr>
          <w:p>
            <w:pPr>
              <w:spacing w:after="0"/>
              <w:rPr>
                <w:sz w:val="1"/>
                <w:szCs w:val="1"/>
                <w:color w:val="auto"/>
              </w:rPr>
            </w:pPr>
          </w:p>
        </w:tc>
      </w:tr>
      <w:tr>
        <w:trPr>
          <w:trHeight w:val="241"/>
        </w:trPr>
        <w:tc>
          <w:tcPr>
            <w:tcW w:w="6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Non-GAAP operating income</w:t>
            </w: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18,389</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22,599</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NON-GAAP OPERATING EXPENSE</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GAAP operating expense</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124,660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149,996</w:t>
            </w:r>
          </w:p>
        </w:tc>
        <w:tc>
          <w:tcPr>
            <w:tcW w:w="0" w:type="dxa"/>
            <w:vAlign w:val="bottom"/>
          </w:tcPr>
          <w:p>
            <w:pPr>
              <w:spacing w:after="0"/>
              <w:rPr>
                <w:sz w:val="1"/>
                <w:szCs w:val="1"/>
                <w:color w:val="auto"/>
              </w:rPr>
            </w:pP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(11,070)</w:t>
            </w: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Restructuring expense</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5,447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(5,524)</w:t>
            </w:r>
          </w:p>
        </w:tc>
        <w:tc>
          <w:tcPr>
            <w:tcW w:w="0" w:type="dxa"/>
            <w:vAlign w:val="bottom"/>
          </w:tcPr>
          <w:p>
            <w:pPr>
              <w:spacing w:after="0"/>
              <w:rPr>
                <w:sz w:val="1"/>
                <w:szCs w:val="1"/>
                <w:color w:val="auto"/>
              </w:rPr>
            </w:pP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Acquisition-related expenses</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0" w:type="dxa"/>
            <w:vAlign w:val="bottom"/>
          </w:tcPr>
          <w:p>
            <w:pPr>
              <w:spacing w:after="0"/>
              <w:rPr>
                <w:sz w:val="1"/>
                <w:szCs w:val="1"/>
                <w:color w:val="auto"/>
              </w:rPr>
            </w:pPr>
          </w:p>
        </w:tc>
      </w:tr>
      <w:tr>
        <w:trPr>
          <w:trHeight w:val="272"/>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Goodwill impairment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0" w:type="dxa"/>
            <w:vAlign w:val="bottom"/>
          </w:tcPr>
          <w:p>
            <w:pPr>
              <w:spacing w:after="0"/>
              <w:rPr>
                <w:sz w:val="1"/>
                <w:szCs w:val="1"/>
                <w:color w:val="auto"/>
              </w:rPr>
            </w:pPr>
          </w:p>
        </w:tc>
      </w:tr>
      <w:tr>
        <w:trPr>
          <w:trHeight w:val="242"/>
        </w:trPr>
        <w:tc>
          <w:tcPr>
            <w:tcW w:w="6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Non-GAAP operating expense</w:t>
            </w: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119,810</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131,936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SEGMENT RECONCILIATIONS</w:t>
            </w: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2015</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2014</w:t>
            </w:r>
          </w:p>
        </w:tc>
        <w:tc>
          <w:tcPr>
            <w:tcW w:w="0" w:type="dxa"/>
            <w:vAlign w:val="bottom"/>
          </w:tcPr>
          <w:p>
            <w:pPr>
              <w:spacing w:after="0"/>
              <w:rPr>
                <w:sz w:val="1"/>
                <w:szCs w:val="1"/>
                <w:color w:val="auto"/>
              </w:rPr>
            </w:pPr>
          </w:p>
        </w:tc>
      </w:tr>
      <w:tr>
        <w:trPr>
          <w:trHeight w:val="262"/>
        </w:trPr>
        <w:tc>
          <w:tcPr>
            <w:tcW w:w="64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NON-GAAP OPERATING INCOME - ELECTRICITY</w:t>
            </w: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Electricity - GAAP operating income (loss)</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2,396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(22,969)</w:t>
            </w:r>
          </w:p>
        </w:tc>
        <w:tc>
          <w:tcPr>
            <w:tcW w:w="0" w:type="dxa"/>
            <w:vAlign w:val="bottom"/>
          </w:tcPr>
          <w:p>
            <w:pPr>
              <w:spacing w:after="0"/>
              <w:rPr>
                <w:sz w:val="1"/>
                <w:szCs w:val="1"/>
                <w:color w:val="auto"/>
              </w:rPr>
            </w:pP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40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4,455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6,155</w:t>
            </w: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Restructuring expense</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0" w:type="dxa"/>
            <w:vAlign w:val="bottom"/>
          </w:tcPr>
          <w:p>
            <w:pPr>
              <w:spacing w:after="0"/>
              <w:rPr>
                <w:sz w:val="1"/>
                <w:szCs w:val="1"/>
                <w:color w:val="auto"/>
              </w:rPr>
            </w:pP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Acquisition-related expenses</w:t>
            </w:r>
          </w:p>
        </w:tc>
        <w:tc>
          <w:tcPr>
            <w:tcW w:w="40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2,324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442</w:t>
            </w:r>
          </w:p>
        </w:tc>
        <w:tc>
          <w:tcPr>
            <w:tcW w:w="0" w:type="dxa"/>
            <w:vAlign w:val="bottom"/>
          </w:tcPr>
          <w:p>
            <w:pPr>
              <w:spacing w:after="0"/>
              <w:rPr>
                <w:sz w:val="1"/>
                <w:szCs w:val="1"/>
                <w:color w:val="auto"/>
              </w:rPr>
            </w:pPr>
          </w:p>
        </w:tc>
      </w:tr>
      <w:tr>
        <w:trPr>
          <w:trHeight w:val="272"/>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Goodwill impairment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977</w:t>
            </w:r>
          </w:p>
        </w:tc>
        <w:tc>
          <w:tcPr>
            <w:tcW w:w="0" w:type="dxa"/>
            <w:vAlign w:val="bottom"/>
          </w:tcPr>
          <w:p>
            <w:pPr>
              <w:spacing w:after="0"/>
              <w:rPr>
                <w:sz w:val="1"/>
                <w:szCs w:val="1"/>
                <w:color w:val="auto"/>
              </w:rPr>
            </w:pPr>
          </w:p>
        </w:tc>
      </w:tr>
      <w:tr>
        <w:trPr>
          <w:trHeight w:val="241"/>
        </w:trPr>
        <w:tc>
          <w:tcPr>
            <w:tcW w:w="6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Electricity - Non-GAAP operating income (loss)</w:t>
            </w: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6,048</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(15,925)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NON-GAAP OPERATING INCOME - GAS</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Gas - GAAP operating income</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13,592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25,724</w:t>
            </w:r>
          </w:p>
        </w:tc>
        <w:tc>
          <w:tcPr>
            <w:tcW w:w="0" w:type="dxa"/>
            <w:vAlign w:val="bottom"/>
          </w:tcPr>
          <w:p>
            <w:pPr>
              <w:spacing w:after="0"/>
              <w:rPr>
                <w:sz w:val="1"/>
                <w:szCs w:val="1"/>
                <w:color w:val="auto"/>
              </w:rPr>
            </w:pP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40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1,970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2,689</w:t>
            </w:r>
          </w:p>
        </w:tc>
        <w:tc>
          <w:tcPr>
            <w:tcW w:w="0" w:type="dxa"/>
            <w:vAlign w:val="bottom"/>
          </w:tcPr>
          <w:p>
            <w:pPr>
              <w:spacing w:after="0"/>
              <w:rPr>
                <w:sz w:val="1"/>
                <w:szCs w:val="1"/>
                <w:color w:val="auto"/>
              </w:rPr>
            </w:pPr>
          </w:p>
        </w:tc>
      </w:tr>
      <w:tr>
        <w:trPr>
          <w:trHeight w:val="272"/>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Restructuring expense</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502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0" w:type="dxa"/>
            <w:vAlign w:val="bottom"/>
          </w:tcPr>
          <w:p>
            <w:pPr>
              <w:spacing w:after="0"/>
              <w:rPr>
                <w:sz w:val="1"/>
                <w:szCs w:val="1"/>
                <w:color w:val="auto"/>
              </w:rPr>
            </w:pPr>
          </w:p>
        </w:tc>
      </w:tr>
      <w:tr>
        <w:trPr>
          <w:trHeight w:val="241"/>
        </w:trPr>
        <w:tc>
          <w:tcPr>
            <w:tcW w:w="6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Gas - Non-GAAP operating income</w:t>
            </w: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16,064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28,110</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NON-GAAP OPERATING INCOME - WATER</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Water - GAAP operating income</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20,643</w:t>
            </w:r>
          </w:p>
        </w:tc>
        <w:tc>
          <w:tcPr>
            <w:tcW w:w="0" w:type="dxa"/>
            <w:vAlign w:val="bottom"/>
          </w:tcPr>
          <w:p>
            <w:pPr>
              <w:spacing w:after="0"/>
              <w:rPr>
                <w:sz w:val="1"/>
                <w:szCs w:val="1"/>
                <w:color w:val="auto"/>
              </w:rPr>
            </w:pP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40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1,548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2,226</w:t>
            </w:r>
          </w:p>
        </w:tc>
        <w:tc>
          <w:tcPr>
            <w:tcW w:w="0" w:type="dxa"/>
            <w:vAlign w:val="bottom"/>
          </w:tcPr>
          <w:p>
            <w:pPr>
              <w:spacing w:after="0"/>
              <w:rPr>
                <w:sz w:val="1"/>
                <w:szCs w:val="1"/>
                <w:color w:val="auto"/>
              </w:rPr>
            </w:pPr>
          </w:p>
        </w:tc>
      </w:tr>
      <w:tr>
        <w:trPr>
          <w:trHeight w:val="272"/>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Restructuring expense</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557</w:t>
            </w:r>
          </w:p>
        </w:tc>
        <w:tc>
          <w:tcPr>
            <w:tcW w:w="0" w:type="dxa"/>
            <w:vAlign w:val="bottom"/>
          </w:tcPr>
          <w:p>
            <w:pPr>
              <w:spacing w:after="0"/>
              <w:rPr>
                <w:sz w:val="1"/>
                <w:szCs w:val="1"/>
                <w:color w:val="auto"/>
              </w:rPr>
            </w:pPr>
          </w:p>
        </w:tc>
      </w:tr>
      <w:tr>
        <w:trPr>
          <w:trHeight w:val="241"/>
        </w:trPr>
        <w:tc>
          <w:tcPr>
            <w:tcW w:w="6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Water - Non-GAAP operating income</w:t>
            </w: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9,762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23,426</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NON-GAAP OPERATING INCOME - CORPORATE UNALLOCATED</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Corporate unallocated - GAAP operating loss</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(18,859)</w:t>
            </w:r>
          </w:p>
        </w:tc>
        <w:tc>
          <w:tcPr>
            <w:tcW w:w="0" w:type="dxa"/>
            <w:vAlign w:val="bottom"/>
          </w:tcPr>
          <w:p>
            <w:pPr>
              <w:spacing w:after="0"/>
              <w:rPr>
                <w:sz w:val="1"/>
                <w:szCs w:val="1"/>
                <w:color w:val="auto"/>
              </w:rPr>
            </w:pPr>
          </w:p>
        </w:tc>
      </w:tr>
      <w:tr>
        <w:trPr>
          <w:trHeight w:val="262"/>
        </w:trPr>
        <w:tc>
          <w:tcPr>
            <w:tcW w:w="64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Restructuring expense</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5,800</w:t>
            </w:r>
          </w:p>
        </w:tc>
        <w:tc>
          <w:tcPr>
            <w:tcW w:w="0" w:type="dxa"/>
            <w:vAlign w:val="bottom"/>
          </w:tcPr>
          <w:p>
            <w:pPr>
              <w:spacing w:after="0"/>
              <w:rPr>
                <w:sz w:val="1"/>
                <w:szCs w:val="1"/>
                <w:color w:val="auto"/>
              </w:rPr>
            </w:pPr>
          </w:p>
        </w:tc>
      </w:tr>
      <w:tr>
        <w:trPr>
          <w:trHeight w:val="272"/>
        </w:trPr>
        <w:tc>
          <w:tcPr>
            <w:tcW w:w="6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Acquisition-related expenses</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242"/>
        </w:trPr>
        <w:tc>
          <w:tcPr>
            <w:tcW w:w="6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Corporate unallocated - Non-GAAP operating loss</w:t>
            </w: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(13,485)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(13,012)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40"/>
          </w:cols>
          <w:pgMar w:left="240" w:top="121" w:right="101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640"/>
          </w:cols>
          <w:pgMar w:left="240" w:top="121" w:right="101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through our variable rate debt instruments. 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provides information about our financial instruments that are sensitive to changes in interest rates and the scheduled minimum repayment of principal and the weighted average interest rates at March 31, 2015. Weighted average variable rates in the table are based on implied forward rates in the Reuters U.S. dollar yield curve as of March 31, 2015 and our estimated leverage ratio, which determines our additional interest rate margin at March 31, 2015.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Variable Rate Debt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Principal: U.S. dollar term loan</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9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Average interest rate</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620"/>
        <w:spacing w:after="0" w:line="389" w:lineRule="auto"/>
        <w:rPr>
          <w:sz w:val="20"/>
          <w:szCs w:val="20"/>
          <w:color w:val="auto"/>
        </w:rPr>
      </w:pPr>
      <w:r>
        <w:rPr>
          <w:rFonts w:ascii="Times New Roman" w:cs="Times New Roman" w:eastAsia="Times New Roman" w:hAnsi="Times New Roman"/>
          <w:sz w:val="14"/>
          <w:szCs w:val="14"/>
          <w:color w:val="auto"/>
        </w:rPr>
        <w:t xml:space="preserve">Principal: Multicurrency revolving line of credit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Average interest rate</w:t>
      </w:r>
    </w:p>
    <w:p>
      <w:pPr>
        <w:spacing w:after="0" w:line="152" w:lineRule="exact"/>
        <w:rPr>
          <w:sz w:val="20"/>
          <w:szCs w:val="20"/>
          <w:color w:val="auto"/>
        </w:rPr>
      </w:pPr>
    </w:p>
    <w:p>
      <w:pPr>
        <w:ind w:left="380" w:right="580" w:firstLine="243"/>
        <w:spacing w:after="0" w:line="438" w:lineRule="auto"/>
        <w:rPr>
          <w:sz w:val="20"/>
          <w:szCs w:val="20"/>
          <w:color w:val="auto"/>
        </w:rPr>
      </w:pPr>
      <w:r>
        <w:rPr>
          <w:rFonts w:ascii="Times New Roman" w:cs="Times New Roman" w:eastAsia="Times New Roman" w:hAnsi="Times New Roman"/>
          <w:sz w:val="14"/>
          <w:szCs w:val="14"/>
          <w:color w:val="auto"/>
        </w:rPr>
        <w:t>Interest rate swap on LIBOR-based debt Average interest rate (Pay) Average interest rate (Receive) Net/Spread</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6"/>
                <w:szCs w:val="16"/>
                <w:color w:val="auto"/>
              </w:rPr>
            </w:pPr>
          </w:p>
        </w:tc>
        <w:tc>
          <w:tcPr>
            <w:tcW w:w="8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540"/>
        </w:trPr>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22,500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202,500</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225,000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224,278</w:t>
            </w:r>
          </w:p>
        </w:tc>
      </w:tr>
      <w:tr>
        <w:trPr>
          <w:trHeight w:val="270"/>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1.79 %</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20" w:type="dxa"/>
            <w:vAlign w:val="bottom"/>
          </w:tcPr>
          <w:p>
            <w:pPr>
              <w:jc w:val="center"/>
              <w:ind w:left="32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540"/>
        </w:trPr>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136,310</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136,310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135,744</w:t>
            </w:r>
          </w:p>
        </w:tc>
      </w:tr>
      <w:tr>
        <w:trPr>
          <w:trHeight w:val="270"/>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1.75 %</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20" w:type="dxa"/>
            <w:vAlign w:val="bottom"/>
          </w:tcPr>
          <w:p>
            <w:pPr>
              <w:jc w:val="center"/>
              <w:ind w:left="32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810"/>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1.00 %</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820" w:type="dxa"/>
            <w:vAlign w:val="bottom"/>
          </w:tcPr>
          <w:p>
            <w:pPr>
              <w:jc w:val="center"/>
              <w:ind w:left="3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5"/>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0.29 %</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0.73 %</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59"/>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(0.71)%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20" w:type="dxa"/>
            <w:vAlign w:val="bottom"/>
          </w:tcPr>
          <w:p>
            <w:pPr>
              <w:jc w:val="center"/>
              <w:ind w:left="3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-1717040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-1373505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-1030605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-687705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-344805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-2025650</wp:posOffset>
            </wp:positionV>
            <wp:extent cx="50685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300"/>
            <w:col w:w="7580"/>
          </w:cols>
          <w:pgMar w:left="240" w:top="121" w:right="239" w:bottom="1440" w:gutter="0" w:footer="0" w:header="0"/>
          <w:type w:val="continuous"/>
        </w:sectPr>
      </w:pP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a sensitivity analysis as of March 31, 2015, we estimate that, if market interest rates average one percentage point higher in 2015 than in the table above, our financial results in 2015 would not be materially impacted.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54% of total revenues for the three months ended March 31, 2015 compared with 60% for the same respective period in 2014.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143 contracts were entered into during the three months ended March 31, 2015) not designated for hedge accounting, with the intent to reduce earnings volatility associated with certain of these balances. The notional amounts of the contracts ranged from $188,000 to $21.0 million, offsetting our exposures from the euro, British pound, Canadian dollar, Australian dollar, Mexican peso, and various other currencies.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jc w:val="both"/>
        <w:ind w:left="660" w:hanging="328"/>
        <w:spacing w:after="0" w:line="25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At March 31, 2015, an evaluation was performed under the supervision and with the participation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management, including the Chief Executive Officer and Chief Financial Officer, of the effectiveness of the design and operation of our disclosure controls and procedures (as such term is defined in Rules 13a-15(e) and 15d-15(e)) under the Securities Exchange Act of 1934, as amended. Based on that evaluation, our management, including the Chief Executive Officer and Chief Financial Officer, concluded that as of March 31, 2015, our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controls over financial reporting. </w:t>
      </w:r>
      <w:r>
        <w:rPr>
          <w:rFonts w:ascii="Times New Roman" w:cs="Times New Roman" w:eastAsia="Times New Roman" w:hAnsi="Times New Roman"/>
          <w:sz w:val="18"/>
          <w:szCs w:val="18"/>
          <w:color w:val="auto"/>
        </w:rPr>
        <w:t>In the ordinary course of business, we review our system of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84"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we have established a shared services center in Europe, and we are currently transitioning certain finance and accounting activities within our EMEA locations to the shared services center in a staged approach. The implementation of our shared services is ongoing, and we believe the related changes to processes and internal controls will allow us to be more efficient and further enhance our internal control over financial reporting.</w:t>
      </w:r>
    </w:p>
    <w:p>
      <w:pPr>
        <w:spacing w:after="0" w:line="180"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other changes in our internal control over financial reporting during the three months ended March 31, 2015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risk factors during the first quarter of 2015 from those previously disclosed in Item 1A: "Risk Factors" of Part I of our Annual Report on Form 10-K for the fiscal year ended December 31, 2014, which was filed with the SEC on February 20, 2015.</w:t>
      </w:r>
    </w:p>
    <w:p>
      <w:pPr>
        <w:spacing w:after="0" w:line="320" w:lineRule="exact"/>
        <w:rPr>
          <w:sz w:val="20"/>
          <w:szCs w:val="20"/>
          <w:color w:val="auto"/>
        </w:rPr>
      </w:pPr>
    </w:p>
    <w:p>
      <w:pPr>
        <w:ind w:left="4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information about our repurchases of our equity securities, based on settlement date, during the quarterly period ended March 31, 2015.</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Purchased Under the</w:t>
            </w:r>
          </w:p>
        </w:tc>
      </w:tr>
      <w:tr>
        <w:trPr>
          <w:trHeight w:val="245"/>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2"/>
              </w:rPr>
              <w:t>Share</w:t>
            </w:r>
            <w:r>
              <w:rPr>
                <w:rFonts w:ascii="Times New Roman" w:cs="Times New Roman" w:eastAsia="Times New Roman" w:hAnsi="Times New Roman"/>
                <w:sz w:val="21"/>
                <w:szCs w:val="21"/>
                <w:b w:val="1"/>
                <w:bCs w:val="1"/>
                <w:color w:val="auto"/>
                <w:w w:val="92"/>
                <w:vertAlign w:val="superscript"/>
              </w:rPr>
              <w:t>(2)</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January 1 through January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39.64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r>
      <w:tr>
        <w:trPr>
          <w:trHeight w:val="224"/>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1 through February 28</w:t>
            </w: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tcPr>
          <w:p>
            <w:pPr>
              <w:spacing w:after="0"/>
              <w:rPr>
                <w:sz w:val="19"/>
                <w:szCs w:val="19"/>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49,746</w:t>
            </w:r>
          </w:p>
        </w:tc>
      </w:tr>
      <w:tr>
        <w:trPr>
          <w:trHeight w:val="47"/>
        </w:trPr>
        <w:tc>
          <w:tcPr>
            <w:tcW w:w="3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1 through March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77,000</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36.41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46,942</w:t>
            </w:r>
          </w:p>
        </w:tc>
      </w:tr>
      <w:tr>
        <w:trPr>
          <w:trHeight w:val="244"/>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419,251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38.98</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419,251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340" w:hanging="332"/>
        <w:spacing w:after="0" w:line="227" w:lineRule="auto"/>
        <w:tabs>
          <w:tab w:leader="none" w:pos="3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On February 19, 2015, Itron's Board authorized a new repurchase program of up to $50 million of our common stock over a 12-month period beginning February 19, 2015. Repurchases are made in the open market or in privately negotiated transactions, and in accordance with applicable securities laws. No shares were purchased outside of this plan.</w:t>
      </w:r>
    </w:p>
    <w:p>
      <w:pPr>
        <w:spacing w:after="0" w:line="18" w:lineRule="exact"/>
        <w:rPr>
          <w:rFonts w:ascii="Times New Roman" w:cs="Times New Roman" w:eastAsia="Times New Roman" w:hAnsi="Times New Roman"/>
          <w:sz w:val="22"/>
          <w:szCs w:val="22"/>
          <w:color w:val="auto"/>
          <w:vertAlign w:val="superscript"/>
        </w:rPr>
      </w:pPr>
    </w:p>
    <w:p>
      <w:pPr>
        <w:ind w:left="340" w:hanging="332"/>
        <w:spacing w:after="0"/>
        <w:tabs>
          <w:tab w:leader="none" w:pos="3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commissions.</w:t>
      </w:r>
    </w:p>
    <w:p>
      <w:pPr>
        <w:spacing w:after="0" w:line="1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Subsequent to March 31, 2015, we repurchased 52,775 shares of our common stock under the stock repurchase program authorized by the Board of Directors on February 19, 2015. The average price paid per share was $36.79</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first quarter of 2015 that was not reported.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580" w:type="dxa"/>
            <w:vAlign w:val="bottom"/>
          </w:tcPr>
          <w:p>
            <w:pPr>
              <w:spacing w:after="0"/>
              <w:rPr>
                <w:sz w:val="18"/>
                <w:szCs w:val="18"/>
                <w:color w:val="auto"/>
              </w:rPr>
            </w:pPr>
          </w:p>
        </w:tc>
      </w:tr>
      <w:tr>
        <w:trPr>
          <w:trHeight w:val="238"/>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561"/>
        </w:trPr>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tc>
      </w:tr>
      <w:tr>
        <w:trPr>
          <w:trHeight w:val="594"/>
        </w:trPr>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w:t>
            </w:r>
          </w:p>
        </w:tc>
      </w:tr>
      <w:tr>
        <w:trPr>
          <w:trHeight w:val="594"/>
        </w:trPr>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94"/>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594"/>
        </w:trPr>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594"/>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594"/>
        </w:trPr>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594"/>
        </w:trPr>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891"/>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53</w:t>
            </w:r>
          </w:p>
        </w:tc>
      </w:tr>
    </w:tbl>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rPr>
              <w:t>ITRON, INC.</w:t>
            </w:r>
          </w:p>
        </w:tc>
      </w:tr>
      <w:tr>
        <w:trPr>
          <w:trHeight w:val="594"/>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2015</w:t>
            </w:r>
          </w:p>
        </w:tc>
        <w:tc>
          <w:tcPr>
            <w:tcW w:w="1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W. MARK SCHMITZ</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 Mark Schmitz</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Times New Roman" w:cs="Times New Roman" w:eastAsia="Times New Roman" w:hAnsi="Times New Roman"/>
                <w:sz w:val="18"/>
                <w:szCs w:val="18"/>
                <w:color w:val="auto"/>
              </w:rPr>
              <w:t>54</w:t>
            </w:r>
          </w:p>
        </w:tc>
      </w:tr>
    </w:tbl>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C. Mezey, certify that:</w:t>
      </w:r>
    </w:p>
    <w:p>
      <w:pPr>
        <w:spacing w:after="0" w:line="20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5540"/>
        <w:spacing w:after="0"/>
        <w:tabs>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34290</wp:posOffset>
            </wp:positionV>
            <wp:extent cx="3370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b w:val="1"/>
          <w:bCs w:val="1"/>
          <w:color w:val="auto"/>
        </w:rPr>
        <w:t>Philip C. Mezey</w:t>
      </w:r>
    </w:p>
    <w:p>
      <w:pPr>
        <w:spacing w:after="0" w:line="31"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2015</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Mark Schmitz, certify that:</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548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3395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W. Mark Schmitz</w:t>
      </w:r>
    </w:p>
    <w:p>
      <w:pPr>
        <w:spacing w:after="0" w:line="3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2015</w:t>
      </w:r>
    </w:p>
    <w:p>
      <w:pPr>
        <w:sectPr>
          <w:pgSz w:w="11900" w:h="16838" w:orient="portrait"/>
          <w:cols w:equalWidth="0" w:num="1">
            <w:col w:w="11420"/>
          </w:cols>
          <w:pgMar w:left="240" w:top="576"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March 31, 2015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Philip C. Mezey, the Chief Executive Officer and W. Mark Schmitz, the Chief Financial Officer of the Company, each certifies that to the best of his knowledge:</w:t>
      </w:r>
    </w:p>
    <w:p>
      <w:pPr>
        <w:spacing w:after="0" w:line="162" w:lineRule="exact"/>
        <w:rPr>
          <w:sz w:val="20"/>
          <w:szCs w:val="20"/>
          <w:color w:val="auto"/>
        </w:rPr>
      </w:pPr>
    </w:p>
    <w:p>
      <w:pPr>
        <w:ind w:left="880" w:hanging="467"/>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67"/>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10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Philip C. Mezey</w:t>
      </w:r>
    </w:p>
    <w:p>
      <w:pPr>
        <w:spacing w:after="0" w:line="3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4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May 4, 2015</w:t>
      </w:r>
    </w:p>
    <w:p>
      <w:pPr>
        <w:spacing w:after="0" w:line="3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10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W. Mark Schmitz</w:t>
      </w:r>
    </w:p>
    <w:p>
      <w:pPr>
        <w:spacing w:after="0" w:line="3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4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May 4, 2015</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2019-12-29T17:57:14Z</dcterms:created>
  <dcterms:modified xsi:type="dcterms:W3CDTF">2019-12-29T17:57:14Z</dcterms:modified>
</cp:coreProperties>
</file>