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176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16687.39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176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108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10422.66</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142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14947.60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3755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373767.07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73021.31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5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Laurie A. Hahn and Laurie Ann Pulatie-Hahn are one and the same person. Sale includes an amount necessary to cover a tax obligation resulting from the settlement of a vested equity award distribution.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64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Corey Walter, as a duly authorized representative of Fidelity Brokerage Services LLC, as attorney-in-fact for Laurie A. Hahn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2026-02-24T14:18:21Z</dcterms:created>
  <dcterms:modified xsi:type="dcterms:W3CDTF">2026-02-24T14:18:21Z</dcterms:modified>
</cp:coreProperties>
</file>