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rPr>
          <w:color w:val="000000"/>
        </w:rPr>
      </w:pPr>
      <w:r>
        <w:rPr>
          <w:color w:val="000000"/>
        </w:rPr>
        <w:t> </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9927" w:type="dxa"/>
        <w:jc w:val="left"/>
        <w:tblInd w:w="0" w:type="dxa"/>
        <w:tblCellMar>
          <w:top w:w="28" w:type="dxa"/>
          <w:left w:w="28" w:type="dxa"/>
          <w:bottom w:w="28" w:type="dxa"/>
          <w:right w:w="28" w:type="dxa"/>
        </w:tblCellMar>
      </w:tblPr>
      <w:tblGrid>
        <w:gridCol w:w="124"/>
        <w:gridCol w:w="109"/>
        <w:gridCol w:w="109"/>
        <w:gridCol w:w="2808"/>
        <w:gridCol w:w="2808"/>
        <w:gridCol w:w="396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2808" w:type="dxa"/>
            <w:tcBorders/>
            <w:shd w:fill="auto" w:val="clear"/>
            <w:vAlign w:val="center"/>
          </w:tcPr>
          <w:p>
            <w:pPr>
              <w:pStyle w:val="TableContents"/>
              <w:spacing w:before="0" w:after="283"/>
              <w:rPr>
                <w:sz w:val="4"/>
                <w:szCs w:val="4"/>
              </w:rPr>
            </w:pPr>
            <w:r>
              <w:rPr>
                <w:sz w:val="4"/>
                <w:szCs w:val="4"/>
              </w:rPr>
            </w:r>
          </w:p>
        </w:tc>
        <w:tc>
          <w:tcPr>
            <w:tcW w:w="396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bl>
    <w:p>
      <w:pPr>
        <w:pStyle w:val="TextBody"/>
        <w:spacing w:lineRule="auto" w:line="288" w:before="0" w:after="0"/>
        <w:ind w:left="0" w:right="0" w:firstLine="720"/>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000-22418</w:t>
      </w:r>
    </w:p>
    <w:p>
      <w:pPr>
        <w:pStyle w:val="TextBody"/>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ITRON,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5981" w:type="dxa"/>
        <w:jc w:val="center"/>
        <w:tblInd w:w="0" w:type="dxa"/>
        <w:tblCellMar>
          <w:top w:w="28" w:type="dxa"/>
          <w:left w:w="28" w:type="dxa"/>
          <w:bottom w:w="28" w:type="dxa"/>
          <w:right w:w="28" w:type="dxa"/>
        </w:tblCellMar>
      </w:tblPr>
      <w:tblGrid>
        <w:gridCol w:w="765"/>
        <w:gridCol w:w="672"/>
        <w:gridCol w:w="677"/>
        <w:gridCol w:w="109"/>
        <w:gridCol w:w="109"/>
        <w:gridCol w:w="109"/>
        <w:gridCol w:w="1034"/>
        <w:gridCol w:w="1034"/>
        <w:gridCol w:w="1472"/>
      </w:tblGrid>
      <w:tr>
        <w:trPr/>
        <w:tc>
          <w:tcPr>
            <w:tcW w:w="765"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Washington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91-1011792</w:t>
            </w:r>
          </w:p>
        </w:tc>
      </w:tr>
      <w:tr>
        <w:trPr/>
        <w:tc>
          <w:tcPr>
            <w:tcW w:w="21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Number)</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2111 N Molter Road, Liberty Lake, Washington 99019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(509) 924-9900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and telephone number of registrant's principal executive offices)</w:t>
      </w:r>
    </w:p>
    <w:p>
      <w:pPr>
        <w:pStyle w:val="TextBody"/>
        <w:spacing w:lineRule="auto" w:line="288" w:before="0" w:after="0"/>
        <w:rPr>
          <w:color w:val="000000"/>
        </w:rPr>
      </w:pPr>
      <w:r>
        <w:rPr>
          <w:color w:val="000000"/>
        </w:rPr>
        <w:t>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617" w:type="dxa"/>
        <w:jc w:val="center"/>
        <w:tblInd w:w="0" w:type="dxa"/>
        <w:tblCellMar>
          <w:top w:w="28" w:type="dxa"/>
          <w:left w:w="28" w:type="dxa"/>
          <w:bottom w:w="28" w:type="dxa"/>
          <w:right w:w="28" w:type="dxa"/>
        </w:tblCellMar>
      </w:tblPr>
      <w:tblGrid>
        <w:gridCol w:w="883"/>
        <w:gridCol w:w="776"/>
        <w:gridCol w:w="785"/>
        <w:gridCol w:w="109"/>
        <w:gridCol w:w="109"/>
        <w:gridCol w:w="109"/>
        <w:gridCol w:w="564"/>
        <w:gridCol w:w="564"/>
        <w:gridCol w:w="566"/>
        <w:gridCol w:w="109"/>
        <w:gridCol w:w="109"/>
        <w:gridCol w:w="109"/>
        <w:gridCol w:w="1118"/>
        <w:gridCol w:w="1118"/>
        <w:gridCol w:w="1589"/>
      </w:tblGrid>
      <w:tr>
        <w:trPr/>
        <w:tc>
          <w:tcPr>
            <w:tcW w:w="88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spacing w:before="60" w:after="283"/>
        <w:rPr/>
      </w:pPr>
      <w:r>
        <w:rPr/>
      </w:r>
    </w:p>
    <w:p>
      <w:pPr>
        <w:pStyle w:val="TextBody"/>
        <w:spacing w:lineRule="auto" w:line="288" w:before="60" w:after="283"/>
        <w:rPr/>
      </w:pPr>
      <w:r>
        <w:rPr>
          <w:rFonts w:ascii="Times New Roman;sans-serif" w:hAnsi="Times New Roman;sans-serif"/>
          <w:b w:val="false"/>
          <w:color w:val="000000"/>
          <w:sz w:val="16"/>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jc w:val="both"/>
        <w:rPr/>
      </w:pPr>
      <w:r>
        <w:rPr>
          <w:rFonts w:ascii="Times New Roman;sans-serif" w:hAnsi="Times New Roman;sans-serif"/>
          <w:b w:val="false"/>
          <w:color w:val="000000"/>
          <w:sz w:val="16"/>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jc w:val="both"/>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jc w:val="both"/>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6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40" w:before="0" w:after="0"/>
        <w:rPr>
          <w:color w:val="000000"/>
        </w:rPr>
      </w:pPr>
      <w:r>
        <w:rPr>
          <w:color w:val="000000"/>
        </w:rPr>
        <w:t> </w:t>
      </w:r>
    </w:p>
    <w:tbl>
      <w:tblPr>
        <w:tblW w:w="5041" w:type="dxa"/>
        <w:jc w:val="left"/>
        <w:tblInd w:w="0" w:type="dxa"/>
        <w:tblCellMar>
          <w:top w:w="28" w:type="dxa"/>
          <w:left w:w="28" w:type="dxa"/>
          <w:bottom w:w="28" w:type="dxa"/>
          <w:right w:w="28" w:type="dxa"/>
        </w:tblCellMar>
      </w:tblPr>
      <w:tblGrid>
        <w:gridCol w:w="124"/>
        <w:gridCol w:w="109"/>
        <w:gridCol w:w="109"/>
        <w:gridCol w:w="549"/>
        <w:gridCol w:w="549"/>
        <w:gridCol w:w="551"/>
        <w:gridCol w:w="109"/>
        <w:gridCol w:w="109"/>
        <w:gridCol w:w="109"/>
        <w:gridCol w:w="673"/>
        <w:gridCol w:w="673"/>
        <w:gridCol w:w="678"/>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00" w:after="283"/>
        <w:jc w:val="both"/>
        <w:rPr/>
      </w:pPr>
      <w:r>
        <w:rPr>
          <w:rFonts w:ascii="Times New Roman;sans-serif" w:hAnsi="Times New Roman;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spacing w:lineRule="auto" w:line="288" w:before="40" w:after="283"/>
        <w:rPr/>
      </w:pPr>
      <w:r>
        <w:rPr>
          <w:rFonts w:ascii="Times New Roman;sans-serif" w:hAnsi="Times New Roman;sans-serif"/>
          <w:b w:val="false"/>
          <w:color w:val="000000"/>
          <w:sz w:val="16"/>
        </w:rPr>
        <w:t>Indicate by check mark whether the registrant is a shell company (as defined in Rule 12b-2 of the Act).  Yes  </w:t>
      </w:r>
      <w:r>
        <w:rPr>
          <w:color w:val="000000"/>
        </w:rPr>
        <w:t>☐  </w:t>
      </w:r>
      <w:r>
        <w:rPr>
          <w:rFonts w:ascii="Times New Roman;sans-serif" w:hAnsi="Times New Roman;sans-serif"/>
          <w:b w:val="false"/>
          <w:color w:val="000000"/>
          <w:sz w:val="16"/>
        </w:rPr>
        <w:t>No  </w:t>
      </w:r>
      <w:r>
        <w:rPr>
          <w:color w:val="000000"/>
        </w:rPr>
        <w:t>☒</w:t>
      </w:r>
    </w:p>
    <w:p>
      <w:pPr>
        <w:pStyle w:val="TextBody"/>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June 30, 2021 (the last business day of the registrant's most recently completed second fiscal quarter), the aggregate market value of the shares of common stock held by non-affiliates of the registrant (based on the closing price for the common stock on the NASDAQ Global Select Market) was $4,476,900,241.</w:t>
      </w:r>
    </w:p>
    <w:p>
      <w:pPr>
        <w:pStyle w:val="TextBody"/>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February 23, 2022, there were outstanding 45,008,799 shares of the registrant's common stock, no par value, which is the only class of common stock of the registrant.</w:t>
      </w:r>
    </w:p>
    <w:p>
      <w:pPr>
        <w:pStyle w:val="TextBody"/>
        <w:spacing w:lineRule="auto" w:line="288" w:before="40" w:after="283"/>
        <w:rPr>
          <w:rFonts w:ascii="Times New Roman;sans-serif" w:hAnsi="Times New Roman;sans-serif"/>
          <w:b w:val="false"/>
          <w:color w:val="000000"/>
          <w:sz w:val="16"/>
        </w:rPr>
      </w:pPr>
      <w:r>
        <w:rPr>
          <w:rFonts w:ascii="Times New Roman;sans-serif" w:hAnsi="Times New Roman;sans-serif"/>
          <w:b w:val="false"/>
          <w:color w:val="000000"/>
          <w:sz w:val="16"/>
        </w:rPr>
        <w:t>DOCUMENTS INCORPORATED BY REFERENCE</w:t>
      </w:r>
    </w:p>
    <w:p>
      <w:pPr>
        <w:pStyle w:val="TextBody"/>
        <w:spacing w:lineRule="auto" w:line="288" w:before="4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information called for by Part III is incorporated by reference to the definitive Proxy Statement for the Annual Meeting of Shareholders of the Company to be held on May 12, 2022.</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6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154"/>
        <w:gridCol w:w="136"/>
        <w:gridCol w:w="136"/>
        <w:gridCol w:w="311"/>
        <w:gridCol w:w="311"/>
        <w:gridCol w:w="318"/>
        <w:gridCol w:w="2777"/>
        <w:gridCol w:w="2740"/>
        <w:gridCol w:w="2750"/>
        <w:gridCol w:w="167"/>
        <w:gridCol w:w="167"/>
        <w:gridCol w:w="238"/>
      </w:tblGrid>
      <w:tr>
        <w:trPr/>
        <w:tc>
          <w:tcPr>
            <w:tcW w:w="15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2777"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13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6">
              <w:r>
                <w:rPr>
                  <w:rStyle w:val="InternetLink"/>
                  <w:rFonts w:ascii="Times New Roman;sans-serif" w:hAnsi="Times New Roman;sans-serif"/>
                  <w:b w:val="false"/>
                  <w:color w:val="0000FF"/>
                  <w:sz w:val="20"/>
                  <w:u w:val="single"/>
                </w:rPr>
                <w:t>Business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6">
              <w:r>
                <w:rPr>
                  <w:rStyle w:val="InternetLink"/>
                  <w:rFonts w:ascii="Times New Roman;sans-serif" w:hAnsi="Times New Roman;sans-serif"/>
                  <w:b w:val="false"/>
                  <w:color w:val="0000FF"/>
                  <w:sz w:val="20"/>
                  <w:u w:val="single"/>
                </w:rPr>
                <w:t>1</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34">
              <w:r>
                <w:rPr>
                  <w:rStyle w:val="InternetLink"/>
                  <w:rFonts w:ascii="Times New Roman;sans-serif" w:hAnsi="Times New Roman;sans-serif"/>
                  <w:b w:val="false"/>
                  <w:color w:val="0000FF"/>
                  <w:sz w:val="20"/>
                  <w:u w:val="single"/>
                </w:rPr>
                <w:t>Risk Factors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34">
              <w:r>
                <w:rPr>
                  <w:rStyle w:val="InternetLink"/>
                  <w:rFonts w:ascii="Times New Roman;sans-serif" w:hAnsi="Times New Roman;sans-serif"/>
                  <w:b w:val="false"/>
                  <w:color w:val="0000FF"/>
                  <w:sz w:val="20"/>
                  <w:u w:val="single"/>
                </w:rPr>
                <w:t>9</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37">
              <w:r>
                <w:rPr>
                  <w:rStyle w:val="InternetLink"/>
                  <w:rFonts w:ascii="Times New Roman;sans-serif" w:hAnsi="Times New Roman;sans-serif"/>
                  <w:b w:val="false"/>
                  <w:color w:val="0000FF"/>
                  <w:sz w:val="20"/>
                  <w:u w:val="single"/>
                </w:rPr>
                <w:t>Unresolved Staff Comments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37">
              <w:r>
                <w:rPr>
                  <w:rStyle w:val="InternetLink"/>
                  <w:rFonts w:ascii="Times New Roman;sans-serif" w:hAnsi="Times New Roman;sans-serif"/>
                  <w:b w:val="false"/>
                  <w:color w:val="0000FF"/>
                  <w:sz w:val="20"/>
                  <w:u w:val="single"/>
                </w:rPr>
                <w:t>22</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40">
              <w:r>
                <w:rPr>
                  <w:rStyle w:val="InternetLink"/>
                  <w:rFonts w:ascii="Times New Roman;sans-serif" w:hAnsi="Times New Roman;sans-serif"/>
                  <w:b w:val="false"/>
                  <w:color w:val="0000FF"/>
                  <w:sz w:val="20"/>
                  <w:u w:val="single"/>
                </w:rPr>
                <w:t>Properties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40">
              <w:r>
                <w:rPr>
                  <w:rStyle w:val="InternetLink"/>
                  <w:rFonts w:ascii="Times New Roman;sans-serif" w:hAnsi="Times New Roman;sans-serif"/>
                  <w:b w:val="false"/>
                  <w:color w:val="0000FF"/>
                  <w:sz w:val="20"/>
                  <w:u w:val="single"/>
                </w:rPr>
                <w:t>23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43">
              <w:r>
                <w:rPr>
                  <w:rStyle w:val="InternetLink"/>
                </w:rPr>
                <w:t>L</w:t>
              </w:r>
            </w:hyperlink>
            <w:hyperlink w:anchor="i7df3b159ee09488eba192ff78016dfde_43">
              <w:r>
                <w:rPr>
                  <w:rStyle w:val="InternetLink"/>
                </w:rPr>
                <w:t>egal Proceedings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43">
              <w:r>
                <w:rPr>
                  <w:rStyle w:val="InternetLink"/>
                  <w:rFonts w:ascii="Times New Roman;sans-serif" w:hAnsi="Times New Roman;sans-serif"/>
                  <w:b w:val="false"/>
                  <w:color w:val="0000FF"/>
                  <w:sz w:val="20"/>
                  <w:u w:val="single"/>
                </w:rPr>
                <w:t>23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46">
              <w:r>
                <w:rPr>
                  <w:rStyle w:val="InternetLink"/>
                  <w:rFonts w:ascii="Times New Roman;sans-serif" w:hAnsi="Times New Roman;sans-serif"/>
                  <w:b w:val="false"/>
                  <w:color w:val="0000FF"/>
                  <w:sz w:val="20"/>
                  <w:u w:val="single"/>
                </w:rPr>
                <w:t>Mine Safety Disclosures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46">
              <w:r>
                <w:rPr>
                  <w:rStyle w:val="InternetLink"/>
                  <w:rFonts w:ascii="Times New Roman;sans-serif" w:hAnsi="Times New Roman;sans-serif"/>
                  <w:b w:val="false"/>
                  <w:color w:val="0000FF"/>
                  <w:sz w:val="20"/>
                  <w:u w:val="single"/>
                </w:rPr>
                <w:t>23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52">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52">
              <w:r>
                <w:rPr>
                  <w:rStyle w:val="InternetLink"/>
                  <w:rFonts w:ascii="Times New Roman;sans-serif" w:hAnsi="Times New Roman;sans-serif"/>
                  <w:b w:val="false"/>
                  <w:color w:val="0000FF"/>
                  <w:sz w:val="20"/>
                  <w:u w:val="single"/>
                </w:rPr>
                <w:t>24</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58">
              <w:r>
                <w:rPr>
                  <w:rStyle w:val="InternetLink"/>
                  <w:rFonts w:ascii="Times New Roman;sans-serif" w:hAnsi="Times New Roman;sans-serif"/>
                  <w:b w:val="false"/>
                  <w:color w:val="0000FF"/>
                  <w:sz w:val="20"/>
                  <w:u w:val="single"/>
                </w:rPr>
                <w:t>[Reserved]</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58">
              <w:r>
                <w:rPr>
                  <w:rStyle w:val="InternetLink"/>
                  <w:rFonts w:ascii="Times New Roman;sans-serif" w:hAnsi="Times New Roman;sans-serif"/>
                  <w:b w:val="false"/>
                  <w:color w:val="0000FF"/>
                  <w:sz w:val="20"/>
                  <w:u w:val="single"/>
                </w:rPr>
                <w:t>25</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64">
              <w:r>
                <w:rPr>
                  <w:rStyle w:val="InternetLink"/>
                </w:rPr>
                <w:t>M</w:t>
              </w:r>
            </w:hyperlink>
            <w:hyperlink w:anchor="i7df3b159ee09488eba192ff78016dfde_64">
              <w:r>
                <w:rPr>
                  <w:rStyle w:val="InternetLink"/>
                </w:rPr>
                <w:t>anagement's Discussion and Analysis of Financial Condition and Results of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64">
              <w:r>
                <w:rPr>
                  <w:rStyle w:val="InternetLink"/>
                  <w:rFonts w:ascii="Times New Roman;sans-serif" w:hAnsi="Times New Roman;sans-serif"/>
                  <w:b w:val="false"/>
                  <w:color w:val="0000FF"/>
                  <w:sz w:val="20"/>
                  <w:u w:val="single"/>
                </w:rPr>
                <w:t>26</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21">
              <w:r>
                <w:rPr>
                  <w:rStyle w:val="InternetLink"/>
                  <w:rFonts w:ascii="Times New Roman;sans-serif" w:hAnsi="Times New Roman;sans-serif"/>
                  <w:b w:val="false"/>
                  <w:color w:val="0000FF"/>
                  <w:sz w:val="20"/>
                  <w:u w:val="single"/>
                </w:rPr>
                <w:t>Quantitative and Qualitative Disclosures About Market Risk</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21">
              <w:r>
                <w:rPr>
                  <w:rStyle w:val="InternetLink"/>
                  <w:rFonts w:ascii="Times New Roman;sans-serif" w:hAnsi="Times New Roman;sans-serif"/>
                  <w:b w:val="false"/>
                  <w:color w:val="0000FF"/>
                  <w:sz w:val="20"/>
                  <w:u w:val="single"/>
                </w:rPr>
                <w:t>47</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24">
              <w:r>
                <w:rPr>
                  <w:rStyle w:val="InternetLink"/>
                  <w:rFonts w:ascii="Times New Roman;sans-serif" w:hAnsi="Times New Roman;sans-serif"/>
                  <w:b w:val="false"/>
                  <w:color w:val="0000FF"/>
                  <w:sz w:val="20"/>
                  <w:u w:val="single"/>
                </w:rPr>
                <w:t>Financial Statements and Supplementary Data</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24">
              <w:r>
                <w:rPr>
                  <w:rStyle w:val="InternetLink"/>
                  <w:rFonts w:ascii="Times New Roman;sans-serif" w:hAnsi="Times New Roman;sans-serif"/>
                  <w:b w:val="false"/>
                  <w:color w:val="0000FF"/>
                  <w:sz w:val="20"/>
                  <w:u w:val="single"/>
                </w:rPr>
                <w:t>48</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30">
              <w:r>
                <w:rPr>
                  <w:rStyle w:val="InternetLink"/>
                  <w:rFonts w:ascii="Times New Roman;sans-serif" w:hAnsi="Times New Roman;sans-serif"/>
                  <w:b w:val="false"/>
                  <w:color w:val="0000FF"/>
                  <w:sz w:val="20"/>
                  <w:u w:val="single"/>
                </w:rPr>
                <w:t>Report of Independent Registered Public Accounting Fir</w:t>
              </w:r>
            </w:hyperlink>
            <w:hyperlink w:anchor="i7df3b159ee09488eba192ff78016dfde_130">
              <w:r>
                <w:rPr>
                  <w:rStyle w:val="InternetLink"/>
                  <w:rFonts w:ascii="Times New Roman;sans-serif" w:hAnsi="Times New Roman;sans-serif"/>
                  <w:b w:val="false"/>
                  <w:color w:val="0E32E1"/>
                  <w:sz w:val="20"/>
                  <w:u w:val="single"/>
                </w:rPr>
                <w:t>m</w:t>
              </w:r>
            </w:hyperlink>
            <w:hyperlink w:anchor="i7df3b159ee09488eba192ff78016dfde_130">
              <w:r>
                <w:rPr>
                  <w:rStyle w:val="InternetLink"/>
                  <w:strike w:val="false"/>
                  <w:dstrike w:val="false"/>
                  <w:color w:val="0E32E1"/>
                  <w:u w:val="none"/>
                  <w:effect w:val="none"/>
                </w:rPr>
                <w:t xml:space="preserve"> </w:t>
              </w:r>
            </w:hyperlink>
            <w:r>
              <w:rPr>
                <w:rFonts w:ascii="Times New Roman;sans-serif" w:hAnsi="Times New Roman;sans-serif"/>
                <w:b w:val="false"/>
                <w:color w:val="000000"/>
                <w:sz w:val="20"/>
              </w:rPr>
              <w:t>(PCAOB ID No. 34)</w:t>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30">
              <w:r>
                <w:rPr>
                  <w:rStyle w:val="InternetLink"/>
                  <w:rFonts w:ascii="Times New Roman;sans-serif" w:hAnsi="Times New Roman;sans-serif"/>
                  <w:b w:val="false"/>
                  <w:color w:val="0000FF"/>
                  <w:sz w:val="20"/>
                  <w:u w:val="single"/>
                </w:rPr>
                <w:t>48</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33">
              <w:r>
                <w:rPr>
                  <w:rStyle w:val="InternetLink"/>
                  <w:rFonts w:ascii="Times New Roman;sans-serif" w:hAnsi="Times New Roman;sans-serif"/>
                  <w:b w:val="false"/>
                  <w:color w:val="0000FF"/>
                  <w:sz w:val="20"/>
                  <w:u w:val="single"/>
                </w:rPr>
                <w:t>Consolidated Statements of Operations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33">
              <w:r>
                <w:rPr>
                  <w:rStyle w:val="InternetLink"/>
                  <w:rFonts w:ascii="Times New Roman;sans-serif" w:hAnsi="Times New Roman;sans-serif"/>
                  <w:b w:val="false"/>
                  <w:color w:val="0000FF"/>
                  <w:sz w:val="20"/>
                  <w:u w:val="single"/>
                </w:rPr>
                <w:t>51</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36">
              <w:r>
                <w:rPr>
                  <w:rStyle w:val="InternetLink"/>
                  <w:rFonts w:ascii="Times New Roman;sans-serif" w:hAnsi="Times New Roman;sans-serif"/>
                  <w:b w:val="false"/>
                  <w:color w:val="0000FF"/>
                  <w:sz w:val="20"/>
                  <w:u w:val="single"/>
                </w:rPr>
                <w:t>Consolidated Statements of Comprehensive Income (Loss)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36">
              <w:r>
                <w:rPr>
                  <w:rStyle w:val="InternetLink"/>
                  <w:rFonts w:ascii="Times New Roman;sans-serif" w:hAnsi="Times New Roman;sans-serif"/>
                  <w:b w:val="false"/>
                  <w:color w:val="0000FF"/>
                  <w:sz w:val="20"/>
                  <w:u w:val="single"/>
                </w:rPr>
                <w:t>52</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39">
              <w:r>
                <w:rPr>
                  <w:rStyle w:val="InternetLink"/>
                  <w:rFonts w:ascii="Times New Roman;sans-serif" w:hAnsi="Times New Roman;sans-serif"/>
                  <w:b w:val="false"/>
                  <w:color w:val="0000FF"/>
                  <w:sz w:val="20"/>
                  <w:u w:val="single"/>
                </w:rPr>
                <w:t>Consolidated Balance Sheets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39">
              <w:r>
                <w:rPr>
                  <w:rStyle w:val="InternetLink"/>
                  <w:rFonts w:ascii="Times New Roman;sans-serif" w:hAnsi="Times New Roman;sans-serif"/>
                  <w:b w:val="false"/>
                  <w:color w:val="0000FF"/>
                  <w:sz w:val="20"/>
                  <w:u w:val="single"/>
                </w:rPr>
                <w:t>53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42">
              <w:r>
                <w:rPr>
                  <w:rStyle w:val="InternetLink"/>
                  <w:rFonts w:ascii="Times New Roman;sans-serif" w:hAnsi="Times New Roman;sans-serif"/>
                  <w:b w:val="false"/>
                  <w:color w:val="0000FF"/>
                  <w:sz w:val="20"/>
                  <w:u w:val="single"/>
                </w:rPr>
                <w:t>Consolidated Statements of Equity</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42">
              <w:r>
                <w:rPr>
                  <w:rStyle w:val="InternetLink"/>
                  <w:rFonts w:ascii="Times New Roman;sans-serif" w:hAnsi="Times New Roman;sans-serif"/>
                  <w:b w:val="false"/>
                  <w:color w:val="0000FF"/>
                  <w:sz w:val="20"/>
                  <w:u w:val="single"/>
                </w:rPr>
                <w:t>54</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45">
              <w:r>
                <w:rPr>
                  <w:rStyle w:val="InternetLink"/>
                  <w:rFonts w:ascii="Times New Roman;sans-serif" w:hAnsi="Times New Roman;sans-serif"/>
                  <w:b w:val="false"/>
                  <w:color w:val="0000FF"/>
                  <w:sz w:val="20"/>
                  <w:u w:val="single"/>
                </w:rPr>
                <w:t>Consolidated Statements of Cash Flows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45">
              <w:r>
                <w:rPr>
                  <w:rStyle w:val="InternetLink"/>
                  <w:rFonts w:ascii="Times New Roman;sans-serif" w:hAnsi="Times New Roman;sans-serif"/>
                  <w:b w:val="false"/>
                  <w:color w:val="0000FF"/>
                  <w:sz w:val="20"/>
                  <w:u w:val="single"/>
                </w:rPr>
                <w:t>55</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148">
              <w:r>
                <w:rPr>
                  <w:rStyle w:val="InternetLink"/>
                  <w:rFonts w:ascii="Times New Roman;sans-serif" w:hAnsi="Times New Roman;sans-serif"/>
                  <w:b w:val="false"/>
                  <w:color w:val="0000FF"/>
                  <w:sz w:val="20"/>
                  <w:u w:val="single"/>
                </w:rPr>
                <w:t>Notes to Consolidated Financial Statements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148">
              <w:r>
                <w:rPr>
                  <w:rStyle w:val="InternetLink"/>
                  <w:rFonts w:ascii="Times New Roman;sans-serif" w:hAnsi="Times New Roman;sans-serif"/>
                  <w:b w:val="false"/>
                  <w:color w:val="0000FF"/>
                  <w:sz w:val="20"/>
                  <w:u w:val="single"/>
                </w:rPr>
                <w:t>56</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41">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41">
              <w:r>
                <w:rPr>
                  <w:rStyle w:val="InternetLink"/>
                  <w:rFonts w:ascii="Times New Roman;sans-serif" w:hAnsi="Times New Roman;sans-serif"/>
                  <w:b w:val="false"/>
                  <w:color w:val="0000FF"/>
                  <w:sz w:val="20"/>
                  <w:u w:val="single"/>
                </w:rPr>
                <w:t>100</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44">
              <w:r>
                <w:rPr>
                  <w:rStyle w:val="InternetLink"/>
                  <w:rFonts w:ascii="Times New Roman;sans-serif" w:hAnsi="Times New Roman;sans-serif"/>
                  <w:b w:val="false"/>
                  <w:color w:val="0000FF"/>
                  <w:sz w:val="20"/>
                  <w:u w:val="single"/>
                </w:rPr>
                <w:t>Controls and Procedures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44">
              <w:r>
                <w:rPr>
                  <w:rStyle w:val="InternetLink"/>
                  <w:rFonts w:ascii="Times New Roman;sans-serif" w:hAnsi="Times New Roman;sans-serif"/>
                  <w:b w:val="false"/>
                  <w:color w:val="0000FF"/>
                  <w:sz w:val="20"/>
                  <w:u w:val="single"/>
                </w:rPr>
                <w:t>100</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50">
              <w:r>
                <w:rPr>
                  <w:rStyle w:val="InternetLink"/>
                  <w:rFonts w:ascii="Times New Roman;sans-serif" w:hAnsi="Times New Roman;sans-serif"/>
                  <w:b w:val="false"/>
                  <w:color w:val="0000FF"/>
                  <w:sz w:val="20"/>
                  <w:u w:val="single"/>
                </w:rPr>
                <w:t>Other Information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50">
              <w:r>
                <w:rPr>
                  <w:rStyle w:val="InternetLink"/>
                  <w:rFonts w:ascii="Times New Roman;sans-serif" w:hAnsi="Times New Roman;sans-serif"/>
                  <w:b w:val="false"/>
                  <w:color w:val="0000FF"/>
                  <w:sz w:val="20"/>
                  <w:u w:val="single"/>
                </w:rPr>
                <w:t>102</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876">
              <w:r>
                <w:rPr>
                  <w:rStyle w:val="InternetLink"/>
                  <w:rFonts w:ascii="Times New Roman;sans-serif" w:hAnsi="Times New Roman;sans-serif"/>
                  <w:b w:val="false"/>
                  <w:color w:val="0000FF"/>
                  <w:sz w:val="20"/>
                  <w:u w:val="single"/>
                </w:rPr>
                <w:t>Disclosure Regarding Foreign Jurisdictions that Prevent Inspections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876">
              <w:r>
                <w:rPr>
                  <w:rStyle w:val="InternetLink"/>
                  <w:rFonts w:ascii="Times New Roman;sans-serif" w:hAnsi="Times New Roman;sans-serif"/>
                  <w:b w:val="false"/>
                  <w:color w:val="0000FF"/>
                  <w:sz w:val="20"/>
                  <w:u w:val="single"/>
                </w:rPr>
                <w:t>102</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56">
              <w:r>
                <w:rPr>
                  <w:rStyle w:val="InternetLink"/>
                  <w:rFonts w:ascii="Times New Roman;sans-serif" w:hAnsi="Times New Roman;sans-serif"/>
                  <w:b w:val="false"/>
                  <w:color w:val="0000FF"/>
                  <w:sz w:val="20"/>
                  <w:u w:val="single"/>
                </w:rPr>
                <w:t>Directors, Executive Officers and Corporate Governance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56">
              <w:r>
                <w:rPr>
                  <w:rStyle w:val="InternetLink"/>
                  <w:rFonts w:ascii="Times New Roman;sans-serif" w:hAnsi="Times New Roman;sans-serif"/>
                  <w:b w:val="false"/>
                  <w:color w:val="0000FF"/>
                  <w:sz w:val="20"/>
                  <w:u w:val="single"/>
                </w:rPr>
                <w:t>103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62">
              <w:r>
                <w:rPr>
                  <w:rStyle w:val="InternetLink"/>
                  <w:rFonts w:ascii="Times New Roman;sans-serif" w:hAnsi="Times New Roman;sans-serif"/>
                  <w:b w:val="false"/>
                  <w:color w:val="0000FF"/>
                  <w:sz w:val="20"/>
                  <w:u w:val="single"/>
                </w:rPr>
                <w:t>Executive Compensation</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62">
              <w:r>
                <w:rPr>
                  <w:rStyle w:val="InternetLink"/>
                  <w:rFonts w:ascii="Times New Roman;sans-serif" w:hAnsi="Times New Roman;sans-serif"/>
                  <w:b w:val="false"/>
                  <w:color w:val="0000FF"/>
                  <w:sz w:val="20"/>
                  <w:u w:val="single"/>
                </w:rPr>
                <w:t>103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83">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83">
              <w:r>
                <w:rPr>
                  <w:rStyle w:val="InternetLink"/>
                  <w:rFonts w:ascii="Times New Roman;sans-serif" w:hAnsi="Times New Roman;sans-serif"/>
                  <w:b w:val="false"/>
                  <w:color w:val="0000FF"/>
                  <w:sz w:val="20"/>
                  <w:u w:val="single"/>
                </w:rPr>
                <w:t>103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8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89">
              <w:r>
                <w:rPr>
                  <w:rStyle w:val="InternetLink"/>
                  <w:rFonts w:ascii="Times New Roman;sans-serif" w:hAnsi="Times New Roman;sans-serif"/>
                  <w:b w:val="false"/>
                  <w:color w:val="0000FF"/>
                  <w:sz w:val="20"/>
                  <w:u w:val="single"/>
                </w:rPr>
                <w:t>103</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295">
              <w:r>
                <w:rPr>
                  <w:rStyle w:val="InternetLink"/>
                  <w:rFonts w:ascii="Times New Roman;sans-serif" w:hAnsi="Times New Roman;sans-serif"/>
                  <w:b w:val="false"/>
                  <w:color w:val="0000FF"/>
                  <w:sz w:val="20"/>
                  <w:u w:val="single"/>
                </w:rPr>
                <w:t>Principal Accountant Fees and Services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295">
              <w:r>
                <w:rPr>
                  <w:rStyle w:val="InternetLink"/>
                  <w:rFonts w:ascii="Times New Roman;sans-serif" w:hAnsi="Times New Roman;sans-serif"/>
                  <w:b w:val="false"/>
                  <w:color w:val="0000FF"/>
                  <w:sz w:val="20"/>
                  <w:u w:val="single"/>
                </w:rPr>
                <w:t>104</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26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304">
              <w:r>
                <w:rPr>
                  <w:rStyle w:val="InternetLink"/>
                  <w:rFonts w:ascii="Times New Roman;sans-serif" w:hAnsi="Times New Roman;sans-serif"/>
                  <w:b w:val="false"/>
                  <w:color w:val="0000FF"/>
                  <w:sz w:val="20"/>
                  <w:u w:val="single"/>
                </w:rPr>
                <w:t>Exhibit and Financial Statement Schedules</w:t>
              </w:r>
            </w:hyperlink>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304">
              <w:r>
                <w:rPr>
                  <w:rStyle w:val="InternetLink"/>
                  <w:rFonts w:ascii="Times New Roman;sans-serif" w:hAnsi="Times New Roman;sans-serif"/>
                  <w:b w:val="false"/>
                  <w:color w:val="0000FF"/>
                  <w:sz w:val="20"/>
                  <w:u w:val="single"/>
                </w:rPr>
                <w:t>105</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6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df3b159ee09488eba192ff78016dfde_307">
              <w:r>
                <w:rPr>
                  <w:rStyle w:val="InternetLink"/>
                  <w:rFonts w:ascii="Times New Roman;sans-serif" w:hAnsi="Times New Roman;sans-serif"/>
                  <w:b/>
                  <w:color w:val="0000FF"/>
                  <w:sz w:val="20"/>
                  <w:u w:val="single"/>
                </w:rPr>
                <w:t>SIGNATURES</w:t>
              </w:r>
            </w:hyperlink>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7df3b159ee09488eba192ff78016dfde_307">
              <w:r>
                <w:rPr>
                  <w:rStyle w:val="InternetLink"/>
                  <w:rFonts w:ascii="Times New Roman;sans-serif" w:hAnsi="Times New Roman;sans-serif"/>
                  <w:b w:val="false"/>
                  <w:color w:val="0000FF"/>
                  <w:sz w:val="20"/>
                  <w:u w:val="single"/>
                </w:rPr>
                <w:t>109</w:t>
              </w:r>
            </w:hyperlink>
          </w:p>
        </w:tc>
      </w:tr>
      <w:tr>
        <w:trPr/>
        <w:tc>
          <w:tcPr>
            <w:tcW w:w="4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6"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8267" w:type="dxa"/>
            <w:gridSpan w:val="3"/>
            <w:tcBorders/>
            <w:shd w:fill="auto" w:val="clear"/>
            <w:vAlign w:val="center"/>
          </w:tcPr>
          <w:p>
            <w:pPr>
              <w:pStyle w:val="TableContents"/>
              <w:spacing w:before="0" w:after="283"/>
              <w:rPr>
                <w:sz w:val="4"/>
                <w:szCs w:val="4"/>
              </w:rPr>
            </w:pPr>
            <w:r>
              <w:rPr>
                <w:sz w:val="4"/>
                <w:szCs w:val="4"/>
              </w:rPr>
            </w:r>
          </w:p>
        </w:tc>
        <w:tc>
          <w:tcPr>
            <w:tcW w:w="572" w:type="dxa"/>
            <w:gridSpan w:val="3"/>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this Annual Report on Form 10-K, the terms "we", "us", "our", "Itron", and the "Company" refer to Itron, Inc.</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Certain Forward-Looking Statements</w:t>
      </w:r>
    </w:p>
    <w:p>
      <w:pPr>
        <w:pStyle w:val="TextBody"/>
        <w:spacing w:lineRule="auto" w:line="288" w:before="180" w:after="283"/>
        <w:jc w:val="both"/>
        <w:rPr/>
      </w:pPr>
      <w:r>
        <w:rPr>
          <w:rFonts w:ascii="Times New Roman;sans-serif" w:hAnsi="Times New Roman;sans-serif"/>
          <w:b w:val="false"/>
          <w:i/>
          <w:color w:val="222222"/>
          <w:sz w:val="20"/>
        </w:rPr>
        <w:t xml:space="preserve">This report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Annual Report on Form 10-K.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such as the COVID-19 pandemic and other factors that are more fully described in Part I, </w:t>
      </w:r>
      <w:r>
        <w:rPr>
          <w:rFonts w:ascii="Times New Roman;sans-serif" w:hAnsi="Times New Roman;sans-serif"/>
          <w:b w:val="false"/>
          <w:i/>
          <w:color w:val="000000"/>
          <w:sz w:val="20"/>
        </w:rPr>
        <w:t>Item 1A:</w:t>
      </w:r>
      <w:r>
        <w:rPr>
          <w:color w:val="222222"/>
        </w:rPr>
        <w:t xml:space="preserve"> </w:t>
      </w:r>
      <w:r>
        <w:rPr>
          <w:rFonts w:ascii="Times New Roman;sans-serif" w:hAnsi="Times New Roman;sans-serif"/>
          <w:b w:val="false"/>
          <w:i/>
          <w:color w:val="000000"/>
          <w:sz w:val="20"/>
        </w:rPr>
        <w:t xml:space="preserve">Risk Factors </w:t>
      </w:r>
      <w:r>
        <w:rPr>
          <w:rFonts w:ascii="Times New Roman;sans-serif" w:hAnsi="Times New Roman;sans-serif"/>
          <w:b w:val="false"/>
          <w:i/>
          <w:color w:val="222222"/>
          <w:sz w:val="20"/>
        </w:rPr>
        <w:t xml:space="preserve">included in this Annual Report </w:t>
      </w:r>
      <w:r>
        <w:rPr>
          <w:rFonts w:ascii="Times New Roman;sans-serif" w:hAnsi="Times New Roman;sans-serif"/>
          <w:b w:val="false"/>
          <w:i/>
          <w:color w:val="000000"/>
          <w:sz w:val="20"/>
        </w:rPr>
        <w:t>and other reports on file with the Securities and Exchange Commission</w:t>
      </w:r>
      <w:r>
        <w:rPr>
          <w:rFonts w:ascii="Times New Roman;sans-serif" w:hAnsi="Times New Roman;sans-serif"/>
          <w:b w:val="false"/>
          <w:i/>
          <w:color w:val="222222"/>
          <w:sz w:val="20"/>
        </w:rPr>
        <w:t>. We undertake no obligation to update or revise any forward-looking statement, whether written or oral.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Documents we provide to the Securities and Exchange Commission (SEC) are available free of charge under the Investors section of our website at </w:t>
      </w:r>
      <w:r>
        <w:rPr>
          <w:rFonts w:ascii="Times New Roman;sans-serif" w:hAnsi="Times New Roman;sans-serif"/>
          <w:b w:val="false"/>
          <w:i/>
          <w:color w:val="000000"/>
          <w:sz w:val="20"/>
        </w:rPr>
        <w:t>www.itron.com</w:t>
      </w:r>
      <w:r>
        <w:rPr>
          <w:color w:val="000000"/>
        </w:rPr>
        <w:t xml:space="preserve"> </w:t>
      </w:r>
      <w:r>
        <w:rPr>
          <w:rFonts w:ascii="Times New Roman;sans-serif" w:hAnsi="Times New Roman;sans-serif"/>
          <w:b w:val="false"/>
          <w:color w:val="000000"/>
          <w:sz w:val="20"/>
        </w:rPr>
        <w:t>as soon as practicable after they are filed with or furnished to the SEC. In addition, these documents are available at the SEC's website (</w:t>
      </w:r>
      <w:r>
        <w:rPr>
          <w:rFonts w:ascii="Times New Roman;sans-serif" w:hAnsi="Times New Roman;sans-serif"/>
          <w:b w:val="false"/>
          <w:i/>
          <w:color w:val="000000"/>
          <w:sz w:val="20"/>
        </w:rPr>
        <w:t>http://www.sec.gov</w:t>
      </w:r>
      <w:r>
        <w:rPr>
          <w:rFonts w:ascii="Times New Roman;sans-serif" w:hAnsi="Times New Roman;sans-serif"/>
          <w:b w:val="false"/>
          <w:color w:val="000000"/>
          <w:sz w:val="20"/>
        </w:rPr>
        <w:t>). The information posted on or accessible through our website is not part of or incorporated by reference into this Annual Report.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Itron is a leader in the Industrial Internet of Things (IIoT), enabling utilities and cities to safely, securely and reliably deliver critical infrastructure solutions to communities around the world. Our proven platform enables smart networks, software, services, devices and sensors to help our customers better manage their operations in the energy, water, and smart city spaces. We are among the leading technology and services companies offering end-to-end device solutions, networked solutions, and outcomes-based products and services to the utility and municipal sectors. Our comprehensive offerings measure, monitor, and provide data analytics and services that enable utilities and municipalities to manage their critical resources responsibly and efficiently.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have over 40 years of experience supporting utilities and municipalities in the management of their data and critical infrastructure needs and we have delivered continuous innovation to help drive the industry forward. Incorporated in 1977 with a focus on meter reading services and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Times New Roman;sans-serif" w:hAnsi="Times New Roman;sans-serif"/>
          <w:b w:val="false"/>
          <w:color w:val="222222"/>
          <w:sz w:val="20"/>
        </w:rPr>
        <w:t>Comverge, which e</w:t>
      </w:r>
      <w:r>
        <w:rPr>
          <w:rFonts w:ascii="Times New Roman;sans-serif" w:hAnsi="Times New Roman;sans-serif"/>
          <w:b w:val="false"/>
          <w:color w:val="000000"/>
          <w:sz w:val="20"/>
        </w:rPr>
        <w:t xml:space="preserve">nabled us to offer integrated cloud-based demand response, energy efficiency, and customer engagement solutions. In 2018, we strengthened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deliver a broader set of solutions and to increase the pace of growth and innovation in the utility, smart city, and broader IIoT markets with the acquisition of Silver Spring Networks, Inc. (SSNI).</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Looking forward, we will continue to innovate and support open standards and maintain a device and transport agnostic platform that enables our customers to meet their needs either directly or via our ecosystem of partners. We support a worldwide network of connected devices, and we will continue to develop more applications, new opportunities, and enhanced outcomes for our customers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discussion of our solutions, markets, and operating segments. Refer to Item 7: Management's Discussion and Analysis of Financial Condition and Results of Operations and Item 8: Financial Statements and Supplementary Data for specific segment results.</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way the world manages energy and water will be one of the defining actions of this century. At Itron, we are committed to creating a more resourceful world—one where energy, water, and city resources are managed safely, securely, and reliably, to help improve day-to-day life and promote the well-being of people around the world. We invent new ways for cities and utilities to work together so they can cost-effectively leverage their infrastructure to deliver multiple services and applications on a reliable, intelligent platform capable of serving all their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Itron helps our customers adapt to a rapidly changing world and to address a number of macro trends, including: </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Infrastructure – </w:t>
      </w:r>
      <w:r>
        <w:rPr>
          <w:rFonts w:ascii="Times New Roman;sans-serif" w:hAnsi="Times New Roman;sans-serif"/>
          <w:b w:val="false"/>
          <w:color w:val="000000"/>
          <w:sz w:val="20"/>
        </w:rPr>
        <w:t>such as aging utility infrastructure, grid security, renewable energy and storage, and incorporating electric vehicles into the grid</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Environmental</w:t>
      </w:r>
      <w:r>
        <w:rPr>
          <w:color w:val="000000"/>
        </w:rPr>
        <w:t xml:space="preserve"> – </w:t>
      </w:r>
      <w:r>
        <w:rPr>
          <w:rFonts w:ascii="Times New Roman;sans-serif" w:hAnsi="Times New Roman;sans-serif"/>
          <w:b w:val="false"/>
          <w:color w:val="000000"/>
          <w:sz w:val="20"/>
        </w:rPr>
        <w:t>such as extreme weather, resource scarcity and sustainability, safety, monitoring, and management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w:t>
      </w:r>
      <w:r>
        <w:rPr>
          <w:rFonts w:ascii="Times New Roman;sans-serif" w:hAnsi="Times New Roman;sans-serif"/>
          <w:b w:val="false"/>
          <w:i/>
          <w:color w:val="000000"/>
          <w:sz w:val="20"/>
        </w:rPr>
        <w:t>ocial</w:t>
      </w:r>
      <w:r>
        <w:rPr>
          <w:color w:val="000000"/>
        </w:rPr>
        <w:t xml:space="preserve"> – </w:t>
      </w:r>
      <w:r>
        <w:rPr>
          <w:rFonts w:ascii="Times New Roman;sans-serif" w:hAnsi="Times New Roman;sans-serif"/>
          <w:b w:val="false"/>
          <w:color w:val="000000"/>
          <w:sz w:val="20"/>
        </w:rPr>
        <w:t xml:space="preserve">such as increased customer expectations, urbanization, population increase, and the management of "big data" and incorporating IIoT technology into their existing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solutions include smart networks, software, services, devices, sensors, and data analytics upon a platform that allows our customers to not only address the changing macro trends listed above but also to address pressing industry challenges to better manage assets, secure revenue, lower operational costs, improve customer service, develop new business models and revenue streams, improve safety, and enable efficient management of valuable resources. Our comprehensive solutions and data analytics also help our customers address operational issues including increasing demand on resources, non-technical loss, leak detection, environmental and regulatory compliance, integrating renewable and distributed energy sources, and improving operational reliability.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Itron solutions include technology, software, and services delivered as part of a standalone, one-time purchase or end-to-end solution over multiple years. The portfolio includes hardware products used for measurement, control, or sensing, with and without communications capability; a combination of endpoints and network infrastructure with embedded intelligence that is designed and sold as a complete solution to acquire and transport application-specific data; and value-added services, software, and products that organize, analyze, and interpret data to gain insights, make decisions, and inform actions. We also offer managed services, Software-as-a-Service (SaaS), Network-as-a-Service (NaaS), technical support services, licensed hardware technology, and consulting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Industry Drivers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Utility and municipalities are undergoing an evolution in how they operate critical infrastructure, manage scarce resources, address impacts of climate disruption, and interact with their customers. Efficiently managing resources within energy, water, and cities is a top priority globally, as increasing populations and resource consumption along with extreme weather events continue to stress an aging infrastructure. The growing demand for energy, water, and municipal services coupled with the proliferation of renewable energy sources, smart communicating devices, sensors, and multiple data-producing technologies is forcing providers to rethink how they operate and service their communities. This evolution comes at a time when utilities and municipalities are challenged by cost constraints, regulatory requirements, environmental concerns, safety, and resource scarcity. Itron provides its customers with solution-based offerings to safely, securely, and reliably optimize their critical infrastructure to improve the efficiency of their services and to better understand their customers with near real-time knowledge of their resource usage. An added benefit of our solutions is that a utility or municipality can empower its customers to understand and have control over their resource usage, allowing for better management and conservation of valuable resources.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address these challenges, utilities and cities are looking to leverage innovations across a networked platform, such as edge (or distributed) intelligence to build and maintain critical infrastructure that can: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efficiently and effectively operate energy and water systems that are safe, reliable, and resilient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reduce the risk and impact of natural disasters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think for itself, repair itself, and anticipate problems before they occur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deliver enhanced, more personalized services at lower cost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accommodate next-generation services through shared infrastructure between utilities and cities/municipalities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provide actionable insights for asset management.</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Operating Segments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the Itron brand worldwide and manage and report under three operating segments: Device Solutions, Networked Solutions, and Outcomes. The following is a description of each of the three segments: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Device Solutions – </w:t>
      </w:r>
      <w:r>
        <w:rPr>
          <w:rFonts w:ascii="Times New Roman;sans-serif" w:hAnsi="Times New Roman;sans-serif"/>
          <w:b w:val="false"/>
          <w:color w:val="000000"/>
          <w:sz w:val="20"/>
        </w:rPr>
        <w:t>This segment primarily includes hardware products used for measurement, control, or sensing that do not have communications 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Networked Solutions – </w:t>
      </w:r>
      <w:r>
        <w:rPr>
          <w:rFonts w:ascii="Times New Roman;sans-serif" w:hAnsi="Times New Roman;sans-serif"/>
          <w:b w:val="false"/>
          <w:color w:val="000000"/>
          <w:sz w:val="20"/>
        </w:rPr>
        <w:t>This segment primarily includes a combination of communicating devices (e.g., smart meters, modules, endpoints, and 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i/>
          <w:color w:val="000000"/>
          <w:sz w:val="20"/>
        </w:rPr>
        <w:t xml:space="preserve">Outcomes – </w:t>
      </w:r>
      <w:r>
        <w:rPr>
          <w:rFonts w:ascii="Times New Roman;sans-serif" w:hAnsi="Times New Roman;sans-serif"/>
          <w:b w:val="false"/>
          <w:color w:val="000000"/>
          <w:sz w:val="20"/>
        </w:rPr>
        <w:t>This segment primarily includes our value-added, enhanced software and services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NaaS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Bookings and Backlog of Orders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 which will not agree to the total transaction price allocated to the remaining performance obligations disclosed in Item 8: Financial Statements and Supplementary Data, Note 17: Revenues.</w:t>
      </w:r>
    </w:p>
    <w:tbl>
      <w:tblPr>
        <w:tblW w:w="6514" w:type="dxa"/>
        <w:jc w:val="left"/>
        <w:tblInd w:w="0" w:type="dxa"/>
        <w:tblCellMar>
          <w:top w:w="28" w:type="dxa"/>
          <w:left w:w="28" w:type="dxa"/>
          <w:bottom w:w="28" w:type="dxa"/>
          <w:right w:w="28" w:type="dxa"/>
        </w:tblCellMar>
      </w:tblPr>
      <w:tblGrid>
        <w:gridCol w:w="547"/>
        <w:gridCol w:w="482"/>
        <w:gridCol w:w="485"/>
        <w:gridCol w:w="109"/>
        <w:gridCol w:w="109"/>
        <w:gridCol w:w="109"/>
        <w:gridCol w:w="290"/>
        <w:gridCol w:w="823"/>
        <w:gridCol w:w="161"/>
        <w:gridCol w:w="109"/>
        <w:gridCol w:w="109"/>
        <w:gridCol w:w="109"/>
        <w:gridCol w:w="266"/>
        <w:gridCol w:w="756"/>
        <w:gridCol w:w="149"/>
        <w:gridCol w:w="109"/>
        <w:gridCol w:w="109"/>
        <w:gridCol w:w="109"/>
        <w:gridCol w:w="340"/>
        <w:gridCol w:w="966"/>
        <w:gridCol w:w="268"/>
      </w:tblGrid>
      <w:tr>
        <w:trPr/>
        <w:tc>
          <w:tcPr>
            <w:tcW w:w="54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Bookings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Backlog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12-Month Backlog</w:t>
            </w:r>
          </w:p>
        </w:tc>
      </w:tr>
      <w:tr>
        <w:trPr/>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2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3,207 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1,499 </w:t>
            </w:r>
          </w:p>
        </w:tc>
        <w:tc>
          <w:tcPr>
            <w:tcW w:w="2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total backlog, as of December 31, 2021, included $64.7 million of backlog related to the sale of certain business lines to Dresser Utility Solutions (Dresser). We expect approximately $50 million of this backlog will transfer to Dresser at transaction close on February 28, 2022. For more information on the transaction see Item 8: Financial Statements and Supplementary Data, Note 18: Sale of Businesses.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Sales and Distribution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a combination of direct and indirect sales channels in our operating segments. A direct sales force is utilized for large electric, natural gas, and water utilities, with which we have long-established relationships. This direct sales force is focused on solution selling, solving problems and business challenges, and delivering valuable outcomes to our utility and smart city customers. For smaller utilities and municipalities, we typically use an indirect sales channel that extends the reach of Itron's solutions by empowering trusted partners with the right tools, training, and technology to grow their business, deliver results, and help these customers better manage energy and water. These channels consist of distributors, sales representatives, partners, and meter manufacturer representatives.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 single customer represented more than 10% of total revenues for the years ended December 31, 2021, 2020, and 2019. Our 10 largest customers in each of the years ended December 31, 2021, 2020, and 2019, accounted for approximately 25%, 33%, and 31% of total revenues.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Manufacturing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manufacturing and supply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facilities are located throughout the world, an overview of which is presented in Item 2: Properties. While we manufacture and assemble a portion of our products, we outsource the manufacturing of many products to various manufacturing partners and strive to create an efficient and cost-effective structure. This approach allows us to reduce the costs related to our manufacturing overhead and inventory and also allows us to adjust more quickly to changing customer demand. These manufacturing partners assemble our sub-assemblies and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Partners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delivering solutions and systems to our customers, we frequently partner with third-party vendors to provide hardware, software, or services, e.g., meter installation and communication network equipment and infrastructure. Due to the interoperable, open-standards based nature of our platform, we have also cultivated a highly diverse and growing ecosystem of partners and third-party developers who can create complementary solutions for our customers that run on the same network and within the same platform framework.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perform on our contractual obligations with our customers is dependent on these partners meeting their obligations to us. Refer to Item 1A: Risk Factors for further discussion related to third-party vendors and strategic partners.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is focused on both improving existing technology and developing innovative new technology for electricity, natural gas, water, and heat endpoints, sensing and control devices, data collection software, communication technologies, data warehousing, software applications, and the IIoT. We invested approximately $197 million, $194 million, and $202 million in research and development in 2021, 2020 and 2019, which represented 10%, 9% and 8% of total revenues for 2021, 2020 and 2019. Refer to Item 1A: Risk Factors for further discussion related to costs of developing competitive products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Human Capital</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had 6,065 people in our workforce, including 5,635 permanent employees. We have not experienced significant employee work stoppages and consider our employee relations to be good.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equal opportunity employer, and we promote a culture of inclusion and diversity. We monitor our progress through various programs and policies. We offer wages and a range of company-paid benefits we believe are competitive with other companies in our industry. Benefits offered vary depending on the countries where we operate.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breakdown of our employees by region and self-identified gender:</w:t>
      </w:r>
    </w:p>
    <w:tbl>
      <w:tblPr>
        <w:tblW w:w="10205" w:type="dxa"/>
        <w:jc w:val="left"/>
        <w:tblInd w:w="0" w:type="dxa"/>
        <w:tblCellMar>
          <w:top w:w="28" w:type="dxa"/>
          <w:left w:w="28" w:type="dxa"/>
          <w:bottom w:w="28" w:type="dxa"/>
          <w:right w:w="28" w:type="dxa"/>
        </w:tblCellMar>
      </w:tblPr>
      <w:tblGrid>
        <w:gridCol w:w="871"/>
        <w:gridCol w:w="764"/>
        <w:gridCol w:w="775"/>
        <w:gridCol w:w="109"/>
        <w:gridCol w:w="109"/>
        <w:gridCol w:w="109"/>
        <w:gridCol w:w="308"/>
        <w:gridCol w:w="308"/>
        <w:gridCol w:w="181"/>
        <w:gridCol w:w="109"/>
        <w:gridCol w:w="109"/>
        <w:gridCol w:w="109"/>
        <w:gridCol w:w="308"/>
        <w:gridCol w:w="308"/>
        <w:gridCol w:w="246"/>
        <w:gridCol w:w="109"/>
        <w:gridCol w:w="109"/>
        <w:gridCol w:w="109"/>
        <w:gridCol w:w="759"/>
        <w:gridCol w:w="759"/>
        <w:gridCol w:w="761"/>
        <w:gridCol w:w="109"/>
        <w:gridCol w:w="109"/>
        <w:gridCol w:w="109"/>
        <w:gridCol w:w="517"/>
        <w:gridCol w:w="517"/>
        <w:gridCol w:w="1515"/>
      </w:tblGrid>
      <w:tr>
        <w:trPr/>
        <w:tc>
          <w:tcPr>
            <w:tcW w:w="87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515" w:type="dxa"/>
            <w:tcBorders/>
            <w:shd w:fill="auto" w:val="clear"/>
            <w:vAlign w:val="center"/>
          </w:tcPr>
          <w:p>
            <w:pPr>
              <w:pStyle w:val="TableContents"/>
              <w:spacing w:before="0" w:after="283"/>
              <w:rPr>
                <w:sz w:val="4"/>
                <w:szCs w:val="4"/>
              </w:rPr>
            </w:pPr>
            <w:r>
              <w:rPr>
                <w:sz w:val="4"/>
                <w:szCs w:val="4"/>
              </w:rPr>
            </w:r>
          </w:p>
        </w:tc>
      </w:tr>
      <w:tr>
        <w:trPr/>
        <w:tc>
          <w:tcPr>
            <w:tcW w:w="2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6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2021</w:t>
            </w:r>
          </w:p>
        </w:tc>
      </w:tr>
      <w:tr>
        <w:trPr/>
        <w:tc>
          <w:tcPr>
            <w:tcW w:w="24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Employees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 Total Employees</w:t>
            </w:r>
          </w:p>
        </w:tc>
      </w:tr>
      <w:tr>
        <w:trPr/>
        <w:tc>
          <w:tcPr>
            <w:tcW w:w="24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2,576 </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7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 &amp; 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7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1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Total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5,635 </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These numbers do not include contingent workers (430 as of December 31,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Competition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enable utilities and cities to safely, securely, and reliably deliver critical infrastructure services to communities around the world. Our portfolio of smart networks, software, services, meters, and sensors help our customers better manage electricity, gas, water, and city infrastructure resources for the people they serve. Consequently, we operate within a large and complex competitive landscape, and our competitors range from small companies to large, established corporations. Some of our competitors have diversified product portfolios and participate in multiple geographic markets, while others focus on specific regional markets and/or certain types of products, including some low-cost suppliers of devices based in China and India. Our primary competitors include Landis+Gyr; Hubbell (formerly Aclara Inc.); Xylem, Inc. (formerly Sensus); Badger Meter, Inc.; and Mueller Water Products.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competitive advantage is based on our in-depth knowledge of the industries we serve, our capacity to innovate, and our ability to provide complete end-to-end integrated solutions. We also differentiate ourselves with an intelligent IIoT platform that is solution, device, and transport agnostic—a platform that is backwards compatible, able to run a multitude of applications and solutions, is highly secure, fully integrated into our portfolio, highly interoperable, captures relays, and leverages high-resolution data for near real-time decision making. The platform involves an ever-growing, diverse ecosystem of partners and third-party developers who can create and deploy specific point solutions creating greater value for our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leader in the IIoT category; an industry leader in communication modules deployed; a leading industry innovator; a leader in electricity, gas, and water end-to-end solutions; and a global leader in meters under managed services. We continue to serve our established customer relationships and expand upon our track record of delivering reliable, accurate, and long-lived products and services.</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Item 1A: Risk Factors for a discussion of the competitive pressures we face.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Strategic Alliances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Intellectual Property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patents and patent applications cover a range of technologies that relate to standard metering, smart metering solutions and technology, meter data management software, knowledge application solutions, and IIoT.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pStyle w:val="TextBody"/>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Governmental Regulations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our business we are impacted by many governmental regulations, including environmental regulations. We believe that we are materially in compliance with all federal, state, and local governmental laws, rules, and regulations applicable to the operation of our business. There are no known regulations pending that will have a substantial adverse impact on our business, revenue, earnings, or cash flows. However, if new or amended laws or regulations impose significant operational restrictions and compliance requirements upon the Company or its products, the Company's business, capital expenditures, results of operations, financial condition and competitive position could be negatively impacted.</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INFORMATION ABOUT OUR EXECUTIVE OFFICERS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Set forth below are the names, ages, and titles of our executive officers as of February 28, 2022.</w:t>
      </w:r>
    </w:p>
    <w:tbl>
      <w:tblPr>
        <w:tblW w:w="8094" w:type="dxa"/>
        <w:jc w:val="left"/>
        <w:tblInd w:w="0" w:type="dxa"/>
        <w:tblCellMar>
          <w:top w:w="28" w:type="dxa"/>
          <w:left w:w="28" w:type="dxa"/>
          <w:bottom w:w="28" w:type="dxa"/>
          <w:right w:w="28" w:type="dxa"/>
        </w:tblCellMar>
      </w:tblPr>
      <w:tblGrid>
        <w:gridCol w:w="606"/>
        <w:gridCol w:w="533"/>
        <w:gridCol w:w="540"/>
        <w:gridCol w:w="109"/>
        <w:gridCol w:w="109"/>
        <w:gridCol w:w="109"/>
        <w:gridCol w:w="145"/>
        <w:gridCol w:w="145"/>
        <w:gridCol w:w="146"/>
        <w:gridCol w:w="109"/>
        <w:gridCol w:w="109"/>
        <w:gridCol w:w="109"/>
        <w:gridCol w:w="1555"/>
        <w:gridCol w:w="1555"/>
        <w:gridCol w:w="2215"/>
      </w:tblGrid>
      <w:tr>
        <w:trPr/>
        <w:tc>
          <w:tcPr>
            <w:tcW w:w="60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1555"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L. Deitrich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Joan S. Hooper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Michel C. Cadieux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Human Resources</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E. Hlavinka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Corporate Secretary</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Justin K. Patrick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Device Solutions</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Marcolini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Networked Solutions</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L. Reeves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Outcomes</w:t>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Thomas L. Deitrich</w:t>
      </w:r>
      <w:r>
        <w:rPr>
          <w:color w:val="000000"/>
        </w:rPr>
        <w:t xml:space="preserve"> </w:t>
      </w:r>
      <w:r>
        <w:rPr>
          <w:rFonts w:ascii="Times New Roman;sans-serif" w:hAnsi="Times New Roman;sans-serif"/>
          <w:b w:val="false"/>
          <w:color w:val="000000"/>
          <w:sz w:val="20"/>
        </w:rPr>
        <w:t>is President and Chief Executive Officer and a member of our Board of Directors. Mr. Deitrich was appointed to his current position and to the Board of Directors in August 2019. Mr. Deitrich joined Itron in October 2015, serving as Itron's Executive Vice President and Chief Operating Officer until his promotion to CEO.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 Mr. Deitrich is a director of ON Semiconductor Corporation, a NASDAQ listed company.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Joan S. Hooper</w:t>
      </w:r>
      <w:r>
        <w:rPr>
          <w:color w:val="000000"/>
        </w:rPr>
        <w:t xml:space="preserve"> </w:t>
      </w:r>
      <w:r>
        <w:rPr>
          <w:rFonts w:ascii="Times New Roman;sans-serif" w:hAnsi="Times New Roman;sans-serif"/>
          <w:b w:val="false"/>
          <w:color w:val="000000"/>
          <w:sz w:val="20"/>
        </w:rPr>
        <w:t>is Senior Vice President and Chief Financial Officer. Ms. Hooper was appointed to this role in June 2017. Prior to joining Itron, Ms. Hooper 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executive finance positions at Dell, Inc. from 2003 to 2010, including Vice President and Chief Financial Officer for its Global Public and Americas business units, Vice President of Corporate Finance and Chief Accounting Officer.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Michel C. Cadieux</w:t>
      </w:r>
      <w:r>
        <w:rPr>
          <w:color w:val="000000"/>
        </w:rPr>
        <w:t xml:space="preserve"> </w:t>
      </w:r>
      <w:r>
        <w:rPr>
          <w:rFonts w:ascii="Times New Roman;sans-serif" w:hAnsi="Times New Roman;sans-serif"/>
          <w:b w:val="false"/>
          <w:color w:val="000000"/>
          <w:sz w:val="20"/>
        </w:rPr>
        <w:t>is Senior Vice President, Human Resources and has been so since joining Itron in February 2014. From 2008 to 2012, Mr. Cadieux was Senior Vice President of Human Resources and Security at Freescale Semiconductor, Inc. (Freescale). Mr. Cadieux has more than 30 years leading HR organizations in global technology and manufacturing companies including Betz Laboratories, the Hudson Bay Company, ING Bank of Canada, Advanced Micro Devices/ATI, and Freescale.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Sarah E. Hlavinka </w:t>
      </w:r>
      <w:r>
        <w:rPr>
          <w:rFonts w:ascii="Times New Roman;sans-serif" w:hAnsi="Times New Roman;sans-serif"/>
          <w:b w:val="false"/>
          <w:color w:val="000000"/>
          <w:sz w:val="20"/>
        </w:rPr>
        <w:t>is Senior Vice President, General Counsel and Corporate Secretary. Ms. Hlavinka was appointed to this role in August 2018. Prior to joining Itron, Ms. Hlavinka served as Executive Vice President, General Counsel and Secretary at Xerox Corporation from 2017 to 2018. Prior to Xerox Corporation, Ms. Hlavinka was Executive Vice President, General Counsel and Secretary at ABM Industries Incorporated, a leading provider of integrated facility services from 2007 to 2017. Ms. Hlavinka is a director of Quanterix Corporation, a NASDAQ listed company.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Justin K. Patrick</w:t>
      </w:r>
      <w:r>
        <w:rPr>
          <w:color w:val="000000"/>
        </w:rPr>
        <w:t xml:space="preserve"> </w:t>
      </w:r>
      <w:r>
        <w:rPr>
          <w:rFonts w:ascii="Times New Roman;sans-serif" w:hAnsi="Times New Roman;sans-serif"/>
          <w:b w:val="false"/>
          <w:color w:val="000000"/>
          <w:sz w:val="20"/>
        </w:rPr>
        <w:t>is Senior Vice President, Device Solutions, where he is responsible for Itron's strategy to become a leading global provider of 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John F. Marcolini</w:t>
      </w:r>
      <w:r>
        <w:rPr>
          <w:color w:val="000000"/>
        </w:rPr>
        <w:t xml:space="preserve"> </w:t>
      </w:r>
      <w:r>
        <w:rPr>
          <w:rFonts w:ascii="Times New Roman;sans-serif" w:hAnsi="Times New Roman;sans-serif"/>
          <w:b w:val="false"/>
          <w:color w:val="000000"/>
          <w:sz w:val="20"/>
        </w:rPr>
        <w:t>is Senior Vice President, Networked Solutions, where he is responsible for product development, marketing, and overall strategy for Itron's global networking platforms and smart cities strategy and solutions. Mr. Marcolini was appointed to this role in July 2020. Mr. Marcolini joined Itron in January 2018 as part of Itron's acquisition of SSNI as the Vice President of product management, responsible for product strategy and lifecycle management across Itron's smart energy, smart city and IIoT portfolios. He has more than 20 years of product management, business development, and customer delivery experience with deep technical knowledge of networking, radio frequency technologies, and IIoT. Mr. Marcolini has also spent many years working with utility customers to deliver and implement complex product deployments.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color w:val="000000"/>
          <w:sz w:val="20"/>
        </w:rPr>
        <w:t xml:space="preserve">Donald L. Reeves </w:t>
      </w:r>
      <w:r>
        <w:rPr>
          <w:rFonts w:ascii="Times New Roman;sans-serif" w:hAnsi="Times New Roman;sans-serif"/>
          <w:b w:val="false"/>
          <w:color w:val="000000"/>
          <w:sz w:val="20"/>
        </w:rPr>
        <w:t>is Senior Vice President, Outcomes, where he is responsible for Itron's software and services offerings, delivery teams, managed services operations, and customer support. Mr. Reeves was appointed to this role in September 2019. Mr. Reeves joined Itron in January 2018 as part of Itron's acquisition of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Business and Industry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are dependent on the utility industry, which has lengthy and unpredictable sales cycles and has experienced volatility in capital spending, each of which has and could cause our operating results to fluctuate significantly.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climate disruption, and fluctuating interest rates. We have experienced, and may in the future experience, variability in operating results on an annual and a quarterly basis as a result of these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must continually shift and adapt our products and services mix, which requires substantial judgment and investment.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 is characterized by increasing complexity driven by evolving technology, increased industry regulatory pressures, and the emergence of new competitive products, all of which impact the way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to meet estimated market demands. These estimates may prove wrong. Additionally, our complex offerings may contain defects when they are first introduced; their release may be delayed due to unforeseen difficulties during product and service design and development; or they may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evolving product mix could cause us to incur substantial additional costs if we need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operations may be adversely impacted if key vendors, strategic partners, and other third parties fail to perform.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and pandemics, component or material shortages, cost increases, or other similar problems. Further, to minimize their inventory risk, our manufacturers might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If we receive shipments of products that fail to comply with our technical specifications or that fail to conform to our quality control standards, and we are not able to obtain replacement products in a timely manner, we risk revenue losses from the inability to sell those products, increased administrative and shipping costs, and lower profitability. Additionally, if defects are not discovered until after consumers take delivery of our products, they could lose confidence in the technical attributes of our products, and our business could be harmed. Although arrangements with these partners may contain provisions for warranty expense reimbursement, we may remain responsible to the consumer for warranty service in the event of product defects and could experience an unanticipated product defect or warranty liability. While we rely on partners to adhere to our supplier code of conduct, material violations of the supplier code of conduct could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Delays in the availability of or shortages in raw materials and component parts used in the manufacture of our products, as well as freight, labor, and other ancillary cost increases, could unfavorably impact our revenues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impacted by the availability and prices of raw materials and component parts used in the manufacturing process of our products. Raw materials include purchased castings made of metal or alloys (such as brass, which uses copper as its main component, aluminum, stainless steel and cast iron), plastic resins, glass, and other electronic components, such as microprocessors and semiconductors. There are multiple sources for these raw materials and components, but we sometimes rely on single suppliers for certain of these materials. Our inability to obtain adequate supplies of raw materials and component parts at favorable prices could have a material adverse effect on our business, financial condition, or results of operations, including reduced revenue, lower profit margins, and delays in deliveries to customers, which could result in damages or penalties to be paid under the terms of certain of our customer contracts. Since we do not control the production of these raw materials and component parts, there may be delays caused by an interruption in the production or transportation of these materials for reasons that are beyond our control. World commodity markets, inflation, tariffs or embargoes may also affect the availability or prices of raw materials or component parts. Recently, inflation in our raw materials and component costs, freight charges, and labor costs have increased above historical levels, due to, among other things, the continuing impacts of the pandemic and uncertain economic environment. Certain customer arrangements comprising our backlog may include previously committed pricing, and we may or may not be able to fully recover increased costs through pricing actions with these customers.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been and will continue to be affected by the ongoing COVID-19 pandemic, and such effects will continue to have an adverse effect on our business operations, results of operations, cash flows,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disruptions to our business from the ongoing COVID-19 pandemic, and the full impact of the COVID-19 pandemic on all aspects of our business and geographic markets is highly uncertain and cannot be predicted with confidence. This includes how it may impact our customers, employees, vendors, strategic partners, managed services, and manufacturing operations. The COVID-19 pandemic has created significant volatility, uncertainty, and economic disruption, which may materially and adversely affect our business operations, cash flows, and financial condition.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impact of the virus on third parties on which we rely, such as our suppliers, contract manufacturers, distributors, and strategic partners, cannot be fully known or controlled by us. As a result, we have and will likely continue to experience difficulties sourcing components, sub-assemblies, outsourced finished goods, and other products and services. In particular, our ability to obtain adequate supply of semiconductor components has impacted our ability to service recovering customer demand.</w:t>
      </w:r>
      <w:r>
        <w:rPr>
          <w:color w:val="000000"/>
        </w:rPr>
        <w:t xml:space="preserve"> </w:t>
      </w:r>
      <w:r>
        <w:rPr>
          <w:rFonts w:ascii="Times New Roman;sans-serif" w:hAnsi="Times New Roman;sans-serif"/>
          <w:b w:val="false"/>
          <w:color w:val="000000"/>
          <w:sz w:val="20"/>
        </w:rPr>
        <w:t xml:space="preserve">While we believe the current imbalance in supply and demand is temporal, the timeline to recovery is uncertain. Efforts are ongoing with suppliers to increase supply, including the approval of alternate sources. The impact of the COVID-19 pandemic on our customers and demand for our products is also uncertain. Due to resulting financial constraints, illness within their organizations, quarantine and travel restrictions placed upon our customers' employees, as well as individual actions our customers may take in response to the spread of COVID-19, our customers may have difficulty in making timely payments to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or may have an inability or unwillingness to purchase our products and services. Also, certain of our projects require regulatory approvals, and our customers may experience delays in regulatory approvals. Any of these effects may materially and adversely affect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continue to take measures, both voluntary and as a result of government directives and guidance, to mitigate the effects of the COVID-19 pandemic on us and others. These measures include, among others, restrictions on our employees' access to our physical work locations and the purchase of personal protective equipment. Additionally, we may implement the temporary closure or reduction in operations of certain of our facilities, either voluntarily or through imposed lockdowns, which is disruptive to our operations. We have also implemented measures to allow certain employees to work remotely, which may place a burden on our IT systems and may expose us to increased vulnerability to cyber-attack and other cyber-disruption. Many of these measures may result in incremental costs to us, and such costs may not be recoverable or adequately covered by our insurance. Further, any focus by our management on mitigating COVID-19 effects has required, and will continue to require, a large investment of time and resources, which may delay other value-add initiatives.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company with global operations, we are subject to numerous government jurisdictions at all levels that are addressing COVID-19 differently. The guidance and directives provided by these governmental authorities is difficult to predict, may be unclear in their application, and are unknown in duration. This includes uncertainty in governmental authorities' assessments of our business as "essential". If governmental authorities were to reverse their designation of our business as "essential", it could have a material effect on our results of operations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full extent to which the COVID-19 pandemic impacts us depends on numerous evolving factors and future developments that we are not able to predict at this time, including: medical advancements to treat or stop the virus including the effectiveness, widespread availability and application of any vaccine; governmental, business, and other actions (which could include limitations on our operations to provide products or services); the duration and severity of the outbreak, including resurgence, reinfections, or mutation of the virus, and the related limitations on our ability to conduct business; or the length of time and velocity at which we will return to more normalized operations. The impact of COVID-19 may also include possible impairment or other charges and may exacerbate other risks discussed herein, any of which could have a material effect on us. This situation is changing rapidly and additional impacts may arise that we are not aware of currently.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face competition which may result in a loss of market share or price erosion of our products and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These competitors may sell products and services at lower prices in order to gain or grow market share, be able to respond more quickly to new or emerging technologies and changes in customer requirements and may have made or make strategic acquisitions or establish cooperative relationships among themselves or with third parties that enhance their ability to address the needs of our prospective customers.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our products and services may experience price erosion if low-cost providers expand their presence in our markets, improve their quality, or form alliances or cooperative relationships with our competitors or if our products and services become commoditized. For example, some utilities may purchase meters separately from the communication devices. The specifications for such meters may require interchangeability, which could lead to further commoditization of the meter, driving prices lower and reducing margins. Pricing pressure is also driven by other events outside our control, to include movement away from manually read meters, government programs, and new construction. Should we fail to compete successfully with current or future competitors, or to adequately manage pricing pressure, we could experience material adverse effects on our business, financial condition, results of operations, and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If we cannot continue to invest in developing competitive products and services, we will not be able to compete effectively.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will depend, in part, on our ability to continue to develop, design and manufacture competitive products and services, enhance and sustain our existing products and services, keep pace with technological advances and changing customer requirements, gain international market acceptance, and manage other factors in the markets in which we sell our products and services. Product and service development will require continued investment to maintain our competitive position, and the periods in which we incur significant research and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New products often require certifications or regulatory approvals before the products can be used, and we cannot be certain that our new products will be approved in a timely manner, or at all. Finally, we may not achieve market acceptance of our new products and services.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maintain a high level of customer satisfaction, demand for our products and services could suffer.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success depends on our ability to understand and address our customers' requirements and concerns. This includes our ability to effectively articulate and demonstrate to customers how our products and services meet their needs and to deliver our products timely as committed, with a sufficient level of quality. In addition, we continue to work toward easing general concerns about the safety and perceived health risks of using radio frequency communications, as well as privacy concerns of monitoring home appliance energy usage, which have had some adverse publicity in the past. If we are unable to overcome these real and perceived risks, we could face customer dissatisfaction, dilution of our brand, decreased overall demand for our services, and loss of revenue. In addition, our inability to meet customer performance, safety, and service expectations may damage our reputation and could consequently limit our ability to retain existing customers and attract new customers, which would adversely affect our ability to generate revenue and unfavorably impact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defects could disrupt our operations and result in harm to our reputation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other third-party vendors, or regulatory entities; result in the loss of business to competitors; or result in litigation. We may incur additional warranty expenses in the future with respect to new or established products, which could materially and adversely affect our operations and financial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interruptions could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worldwide operations could be subject to hurricanes, tornadoes, earthquakes, floods, fires, extreme weather conditions, medical epidemics or pandemics, geopolitical instability, or other natural or man-made disasters or business interruptions. The occurrence of any of these business disruptions could seriously harm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 impairment could result in significant changes that would adversely impact our future operating results.</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inventory, intangible assets, long-lived assets, and goodwill that are susceptible to valuation adjustments as a result of changes in various factors or conditions, which could impact our results of operations and financial condition. Factors that could trigger an impairment of such assets include the following: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reduction in the net realizable value of inventory, which becomes obsolete or exceeds anticipated demand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underperformance relative to projected future operating results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the manner or use of the acquired assets or the strategy for our overall business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unfavorable industry or economic trends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decline in our stock price for a sustained period or decline in our market capitalization below net book value.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Failure to attract and retain key personnel who are critical to the success of our business could negatively impact our ability to operate or grow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accounting principles and guidance could result in unfavorable accounting charges or effects.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prepare our consolidated financial statements in accordance with U.S. generally accepted accounting principles (GAAP). These principles are subject to interpretation by the Securities and Exchange Commission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Corporate Structure and Organization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indebtedness could restrict our operational flexibility and prevent us from raising additional capital or meeting our obligations under our debt instruments.</w:t>
      </w:r>
    </w:p>
    <w:p>
      <w:pPr>
        <w:pStyle w:val="TextBody"/>
        <w:spacing w:before="0" w:after="0"/>
        <w:jc w:val="both"/>
        <w:rPr/>
      </w:pPr>
      <w:r>
        <w:rPr/>
      </w:r>
    </w:p>
    <w:p>
      <w:pPr>
        <w:pStyle w:val="TextBody"/>
        <w:spacing w:lineRule="auto" w:line="288"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our total outstanding indebtedness was $460.0 million as described under Liquidity and Capital Resources. This indebtedness could have important consequences to us, including: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increasing our vulnerability to general economic and industry conditions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requiring a substantial portion of our cash flow used in operations to be dedicated to the payment of principal and interest on our indebtedness, therefore reducing our liquidity and our ability to use our cash flow to fund our operations, capital expenditures and future business opportunities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requiring us to meet specified financial ratios, a failure of which may result in restrictions on us and our subsidiaries to take certain actions or result in the declaration of an event of default, which if not cured or waived, may permit acceleration of required payments against such indebtedness and result in cross defaults under our other indebtedness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exposing us to the risk of increased market interest rates, and corresponding increased interest expense, as unhedged borrowings under the 2018 credit facility as amended (2018 credit facility) would be at variable rates of interest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limiting our ability to obtain additional financing for working capital, capital expenditures, debt service requirements, acquisitions, and general corporate or other purposes.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2018 credit facility places restrictions on our ability, and the ability of many of our subsidiaries, dependent on meeting specified financial ratios, to, among other things:</w:t>
      </w:r>
    </w:p>
    <w:tbl>
      <w:tblPr>
        <w:tblW w:w="8845" w:type="dxa"/>
        <w:jc w:val="left"/>
        <w:tblInd w:w="0" w:type="dxa"/>
        <w:tblCellMar>
          <w:top w:w="28" w:type="dxa"/>
          <w:left w:w="28" w:type="dxa"/>
          <w:bottom w:w="28" w:type="dxa"/>
          <w:right w:w="28" w:type="dxa"/>
        </w:tblCellMar>
      </w:tblPr>
      <w:tblGrid>
        <w:gridCol w:w="1115"/>
        <w:gridCol w:w="977"/>
        <w:gridCol w:w="982"/>
        <w:gridCol w:w="109"/>
        <w:gridCol w:w="109"/>
        <w:gridCol w:w="109"/>
        <w:gridCol w:w="1592"/>
        <w:gridCol w:w="1592"/>
        <w:gridCol w:w="2260"/>
      </w:tblGrid>
      <w:tr>
        <w:trPr/>
        <w:tc>
          <w:tcPr>
            <w:tcW w:w="1115"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1592"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incur more debt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pay dividends, make distributions, and repurchase capital stock</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make certain investments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create liens</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execute transactions with affiliates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execute sale lease-back transactions</w:t>
            </w:r>
          </w:p>
        </w:tc>
      </w:tr>
      <w:tr>
        <w:trPr/>
        <w:tc>
          <w:tcPr>
            <w:tcW w:w="307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merge or consolidate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
            <w:tcBorders/>
            <w:shd w:fill="auto" w:val="clear"/>
            <w:tcMar>
              <w:top w:w="0" w:type="dxa"/>
              <w:left w:w="0" w:type="dxa"/>
              <w:bottom w:w="0" w:type="dxa"/>
              <w:right w:w="0" w:type="dxa"/>
            </w:tcMar>
            <w:vAlign w:val="center"/>
          </w:tcPr>
          <w:p>
            <w:pPr>
              <w:pStyle w:val="TableContents"/>
              <w:spacing w:lineRule="auto" w:line="199" w:before="0" w:after="0"/>
              <w:jc w:val="left"/>
              <w:rPr>
                <w:color w:val="000000"/>
              </w:rPr>
            </w:pPr>
            <w:r>
              <w:rPr>
                <w:color w:val="000000"/>
              </w:rPr>
              <w:t xml:space="preserve">• </w:t>
            </w:r>
            <w:r>
              <w:rPr>
                <w:rFonts w:ascii="Times New Roman;sans-serif" w:hAnsi="Times New Roman;sans-serif"/>
                <w:b w:val="false"/>
                <w:color w:val="000000"/>
                <w:sz w:val="20"/>
              </w:rPr>
              <w:t>transfer or sell assets</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on and/or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system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meet our debt service obligations or to fund our other liquidity needs, we will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is available, any refinancing of our indebtedness could be at higher interest rates and may require us to comply with more onerous covenants that could further restrict our business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debt instruments contain certain restrictions, these restrictions are subject to a number of qualifications and exceptions, including that certain trade payables do not constitute indebtedness. Additional indebtedness incurred in compliance with these restrictions could be substantial. To the extent we incur additional indebtedness or other obligations, the risks described above and others described herein may increase.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convertible note hedge and warrant transactions may affect the value our common stock.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Convertible Notes, we entered into convertible note hedge transactions with certain financial institutions, which we refer to as the "hedge counterparties". We also entered into warrant transactions with the hedge counterparties pursuant to which we sold warrants for the purchase of our common stock. The convertible note hedge transactions are generally to reduce the potential dilution upon any conversion of Convertible Notes and/or offset any cash payments we are required to make in excess of the principal amount of converted notes, as the case may be. The warrant transactions would separately have a dilutive effect to the extent that the market price per share of our common stock exceeds the strike price of any warrants unless, subject to the terms of the warrant transactions, we elect to cash settle the warrants.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hedge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Convertible Notes (and are likely to do so during any observation period related to a conversion of Convertible Notes or following any repurchase of Convertible Notes by us in connection with any fundamental change repurchase date or otherwise). This activity could also cause or avoid an increase or a decrease in the market price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effect, if any, of these transactions and activities on the market price of our common stock or the Convertible Notes will depend in part on market conditions and cannot be ascertained at this time. Any of these activities could adversely affect the value of our common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sales of our stock in the public market, or the issuance of stock upon conversion of the Convertible Notes, could cause our stock price to decline.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effect, if any, that market sales of shares of our common stock or the availability of shares for sale will have on the prevailing trading price of our common stock from time to time. Sales of a substantial number of shares of our common stock could cause the price of our common stock to decline. In addition, a substantial number of shares of our common stock will be reserved for issuance upon conversion of the Convertible Notes. We may in the future also issue shares of common stock for financings, acquisitions or equity incentives. If we issue additional shares of common stock in the future, such issuances would have a dilutive effect on the economic interest of our common stock.</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Our strategy includes acquisitions, divestitures, and investments, which we may not be able to execute or integrate successfully.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pursuing our business strategy, we may conduct discussions, evaluate companies, and enter into agreements regarding possible acquisitions, divestitures, or equity investments. We have completed acquisitions and may make investments in the future, both within and outside of the United States. We may also, if appropriate opportunities present themselves, make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un-indemnified pre-closing liabilities that we may be responsible for; incurrence of significant expenses to meet an acquiree's customer contractual commitments; lack of market acceptance of new services and technologies;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or investment. Impairment of an investment, goodwill, or an intangible asset may result if these risks were to materialize. For investments in entities that are not wholly owned by Itron, such as joint ventures, a loss of control as defined by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customer contracts are complex and contain provisions that could cause us to incur penalties, be liable for damages, and/or incur unanticipated expenses with respect to the functionality, deployment, operation, and availability of our products and services.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and require us to deliver standby letters of credit or bonds as a guarantee to the customer for our future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Additionally, if we were to determine that products and/or services to be delivered under a specific component of a customer contract would result in a loss due to expected revenues estimated to be less than expected costs, we could be required to recognize a reduction of revenue in the period we made such determination, and such reduction could be material to our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are subject to international business uncertainties, obstacles to the repatriation of earnings, and foreign currency fluctuations.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or adverse tax burdens.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also subject to foreign currency exchange rates fluctuations, particularly with respect to the euro, Canadian dollar, Indonesian rupiah, Pound sterling, and various other currencies. Change in the value of currencies of the countries in which we do business relative to the value of the U.S. dollar, or euro, could affect our ability to sell products competitively and control our cost structure, which could have an adverse effect on our business, financial condition, and results of operations. Additionally, we are subject to foreign exchange translation risk due to changes in the value of foreign currencies in relation to our reporting currency, the U.S. dollar. The translation risk is primarily concentrated in the exchange rate between the U.S. dollar and the euro. As the U.S. dollar fluctuates against other currencies in which we transact business, revenue and income can be impacted, include revenue decreases due to unfavorable foreign currency impacts. Strengthening of the U.S. dollar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relative to the euro and the currencies of the other countries in which we do business, could materially and adversely affect our ability to compete in international markets and our sales growth in future periods.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risks related to our international operations include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not achieve the anticipated savings and benefits from current or any future restructuring projects and such activities could cause us to incur additional charges in our efforts to improve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implemented multiple restructuring projects to adjust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or matters involving third-party service providers, our failure to retain key employees, changes in governmental policies or regulatory matters, adverse market conditions, or failure to meet targeted improvements could change the timing or reduce the overall savings realized from the restructuring project.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successful implementation and execution of our restructuring projects are critical to achieving our expected cost savings as well as effectively competing in the marketplace and positioning us for future growth. If our restructuring projects are not executed successfully, it could have a material adverse effect on our competitive position, business, financial condition, cash flow,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If we fail to maintain an effective system of internal controls, we may not be able to accurately report our financial results, prevent fraud, or maintain investor confidence.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won't experience deficiencies in the design, implementation, and maintenance of adequate controls over our financial processes and reporting in the future, especially for acquisition targets that may not have been required to comply with Section 404 of the Sarbanes-Oxley Act prior to the date of 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encounter strikes or other labor disruptions that could adversely affect our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not realize the expected benefits from strategic alliances, which could adversely affect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several strategic alliances with large,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are exposed to counterparty default risks with our financial institutions and insurance providers.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one or more of the depository institutions in which we maintain significant cash balances were to fail, our ability to access these funds might be temporarily or permanently limited, and we could face material liquidity problems and financial losses.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lenders of our 2018 credit facility consist of several participating financial institutions. Our revolving line of credit allows us to provide letters of credit in support of our obligations for customer contracts and provides additional liquidity. If our lenders were unable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Technology and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adequately protect our intellectual property, we may need to expend significant resources to enforce our rights or suffer competitive injury.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believe our patents and other intellectual property have significant value, it is uncertain that this intellectual property or any intellectual property acquired or developed by us in the future will provide meaningful competitive advantages. There can be no assurance our patents or pending applications will not be challenged, invalidated, or circumvented by competitors or that rights granted thereunder will provide meaningful proprietary protection. Moreover, competitors may infringe on our patents or successfully avoid them through design innovation. To combat infringement or unauthorized use of our intellectual property, we may initiate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may face losses associated with alleged unauthorized use of third-party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diversion of management resources, whether or not the claim is valid, could have a material adverse effect on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If we are unable to protect our information technology infrastructure and network against data corruption, cyber-based attacks or network security incidents caused by unauthorized access, we could be exposed to an increase risk of customer liability and reputational damage.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various information technology systems to capture, process, store, and report data and interact with customers, vendors, and employees. Despite taking steps to secure all information and transactions, our information technology systems, and those of our third-party providers, may be subject to corruption from cyber-attacks, or other network security incidents. Any unauthorized access to data could result in misappropriation of the data or disruption of operations. In addition, hardware, operating system software, software libraries, and applications that we procure from third parties may contain defects in design or manufacturing that could interfere with the operation of the systems. Misuse of internal applications; theft of intellectual property, trade secrets, or other corporate assets; and inappropriate disclosure of confidential or personal information could stem from such incidents.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an increasing number of our products and services connect to and are part of the IIoT, the Internet, telecommunications networks,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before they take effect. Unauthorized access, remnant data exposure, computer viruses, denial of service attacks, accidents, employee error or malfeasance, intentional misconduct by computer "hackers", and other disruptions can occur. This can lead to gaps in infrastructure, hardware and software vulnerabilities, and security controls. The exposed or unprotected data can (i) interfere with the delivery of services to our customers, (ii) impede our customers' ability to do business, or (iii) compromise the security of systems and data, which exposes information to unauthorized third parties. Like many companies, we are the target of cyber-attacks of varying degrees of severity. Although such cyber-attacks have not had a material adverse effect on our operating results, there can be no assurance of a similar result in future security incidents.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Security incidents that occur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such operational disruption and/or misappropriation of information could result in lost sales, unfavorable publicity, product recalls or business delays and could have a material adverse effect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rely on information technology systems that may fail to operate effectively, require upgrades and replacements or experience breaches.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and Market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variable rate indebtedness could subject us to interest rate risk, which could cause our debt service obligations to increase significantly.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2018 credit facility bears,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relative to the value of related debt and have previously entered into derivative instruments to manage such risk, these instruments could be ineffective at mitigating all or a part of our risk, including changes to the applicable margin under our 2018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The alteration or discontinuation of LIBOR may adversely affect our borrowing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interest rate derivatives and a portion of our indebtedness bear interest at variable interest rates, primarily based on LIBOR, which is subject to regulatory guidance and/or reform that could cause interest rates under our current or future debt agreements to perform differently than in the past or cause other unanticipated consequences. In July 2017, the Chief Executive of the U.K. Financial Conduct Authority (FCA), which regulates LIBOR, announced that the FCA will no longer persuade or compel banks to submit rates for the calculation of LIBOR after 2021. However, on November 30, 2020, the ICE Benchmark Administration Limited announced its plan to extend the date that most U.S. LIBOR values would cease being computed from December 31, 2021 to June 30, 2023. Such announcement indicates that the continuation of LIBOR on the current basis cannot and will not be guaranteed, and the timing of such discontinuation, modifications or other reforms to LIBOR is uncertain. At this time, it is not possible to reliably predict the effect any discontinuance, modification or other reforms to LIBOR or any other reference rate, or the establishment of alternative reference rates will have on the Company. However, the discontinuation of LIBOR as a reference rate may require the 2018 credit facility, and any other debt referencing LIBOR to be amended or modified to utilize an alternative reference rate, require an adjustment to the applicable margin and/or require adjustments to other terms or covenants, any of which may negatively impact borrowing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We have pension benefit obligations, which could have a material impact on our earnings, liabilities, and shareholders' equity and could have significant adverse impacts in future periods.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for our international employees, primarily in Germany, France, Indonesia, India, and Italy. Our general funding policy for these qualified pension plans is to contribute amounts sufficient to satisfy regulatory funding standards of the respective countries for each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Legal and Regulatory Risks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tax laws, valuation allowances, and unanticipated tax liabilities could adversely affect our effective income tax rate and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these matters to determine the adequacy of our tax provision, which is subject to significant judgment.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guidance under the Base Erosion and Profit Shifting (BEPS) initiatives aim to minimize perceived tax abuses and modernize global tax policy. The Anti-Tax Avoidance Directives (ATAD), issued by the Council of the European Union, provide further recommendations for legislative changes under these tax policies. These BEPS recommendations and ATAD measures are being implemented through legislative changes in countries throughout the world. The OECD has also proceeded with the advancement under Action 1 ("Addressing the Tax Challenges of the Digital Economy") of the 'BEPS 2.0 initiative', which proposes further fundamental changes to the international tax system. This project includes a framework for providing taxing rights to jurisdictions based on the location of the consumer regardless of current physical presence of a company. A second component would implement a global minimum tax of 15%. On October 8, 2021, the G20/OECD Inclusive Framework on BEPS published a statement on the components of global tax reform agreed to by most member countries. The key components would allocate a portion of profits of the largest businesses amongst their markets, curtail new digital services taxes, and introduce a new global minimum tax of 15%. On December 20, 2021, the OECD released model rules to guide countries on implementing and calculating the 15% global minimum tax, and on December 22, 2021, the EU issued a directive proposing that EU countries enact the minimum tax by January 2023. These components do not result in any financial impact until enacted. The Company is monitoring developments and additional details as they are released to determine the impacts these new components will have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 significant number of our products are affected by the availability and regulation of radio spectrum and could be affected by interference with the radio spectrum that we use.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significant number of our products use radio spectrum, which are subject to regulation by the U.S. Federal Communications Commission (FCC).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may not cause harmful interference to licensed users and must be designed to accept interference from licensed radio devices. In the United States, our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smart metering solutions are typically Part 15 devices that transmit information to (and receive information from, if applicable) handheld, mobile, or fixed network systems pursuant to these rules.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to meet frequency requirements and other regulatory specifications. In some countries, limitations on frequency availability or the cost of making necessary modifications may preclude us from selling our products in those jurisdictions. In addition, new consumer products may create interference with the performance of our products, which could lead to claims against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environmental regulations, violations of such regulations, or future environmental liabilities could cause us to incur significant costs and could adversely affect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international sales and operations are subject to complex laws relating to foreign corrupt practices and anti-bribery laws, among many others, and a violation of, or change in, these laws could adversely affect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 Foreign Corrupt Practices Act requires U.S. companies to comply with an extensive legal framework to prevent bribery of foreign officials. The laws are complex and require that we closely monitor local practices of our overseas offices. The U.S.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the United Kingdom. The costs for complying with these and similar laws may be significant and could require significant management time and focus. Any violation of these or similar laws, intentional or unintentional, could result in fines and/or criminal penalties and have a material adverse effect on our business, financial condition, or results of operations. Further, we operate in some parts of the world that have experienced governmental corruption, and, in certain circumstances, local customs and practice might not be consistent with the requirements of anti-corruption laws. We remain subject to the risk that our employees, third party partners, or agents will engage in business practices that are prohibited by our policies and violate such laws and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Regulations related to "conflict minerals" may force us to incur additional expenses, may result in damage to our business reputation, and may adversely impact our ability to conduct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regarding disclosure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such metals originated from the Democratic Republic of Congo or adjoining countries and required due diligence efforts. We may not be able to sufficiently verify the origins for all minerals used in our products, and our reputation may suffer if we determine that our products contain conflict minerals that are not determined to be conflict free or if we are unable to sufficiently verify the origins for all conflict minerals used in our products. At times, our customers also request or require that we confirm whether our products contain conflict-free minerals, and this may result in challenges in timely satisfying such customers' requests, if at all. There are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Item 1B:Unresolved Staff Comments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300" w:after="283"/>
        <w:ind w:left="0" w:right="0" w:hanging="720"/>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own our headquarters facility, which is located in Liberty Lake, Washington.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lists our major manufacturing facilities by region and location:</w:t>
      </w:r>
    </w:p>
    <w:tbl>
      <w:tblPr>
        <w:tblW w:w="6523" w:type="dxa"/>
        <w:jc w:val="left"/>
        <w:tblInd w:w="0" w:type="dxa"/>
        <w:tblCellMar>
          <w:top w:w="28" w:type="dxa"/>
          <w:left w:w="28" w:type="dxa"/>
          <w:bottom w:w="28" w:type="dxa"/>
          <w:right w:w="28" w:type="dxa"/>
        </w:tblCellMar>
      </w:tblPr>
      <w:tblGrid>
        <w:gridCol w:w="1028"/>
        <w:gridCol w:w="901"/>
        <w:gridCol w:w="920"/>
        <w:gridCol w:w="729"/>
        <w:gridCol w:w="729"/>
        <w:gridCol w:w="732"/>
        <w:gridCol w:w="434"/>
        <w:gridCol w:w="434"/>
        <w:gridCol w:w="616"/>
      </w:tblGrid>
      <w:tr>
        <w:trPr/>
        <w:tc>
          <w:tcPr>
            <w:tcW w:w="102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Region</w:t>
            </w:r>
          </w:p>
        </w:tc>
        <w:tc>
          <w:tcPr>
            <w:tcW w:w="21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c>
          <w:tcPr>
            <w:tcW w:w="14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Square Footage</w:t>
            </w:r>
          </w:p>
        </w:tc>
      </w:tr>
      <w:tr>
        <w:trPr/>
        <w:tc>
          <w:tcPr>
            <w:tcW w:w="28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North America</w:t>
            </w:r>
          </w:p>
        </w:tc>
        <w:tc>
          <w:tcPr>
            <w:tcW w:w="21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Oconee, SC (O)</w:t>
              <w:br/>
              <w:t>Waseca, MN (L)</w:t>
            </w:r>
          </w:p>
        </w:tc>
        <w:tc>
          <w:tcPr>
            <w:tcW w:w="14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325,840</w:t>
              <w:br/>
              <w:t>110,000</w:t>
            </w:r>
          </w:p>
        </w:tc>
      </w:tr>
      <w:tr>
        <w:trPr/>
        <w:tc>
          <w:tcPr>
            <w:tcW w:w="284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Europe, Middle East, and Africa</w:t>
            </w:r>
          </w:p>
        </w:tc>
        <w:tc>
          <w:tcPr>
            <w:tcW w:w="219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Chasseneuil, France (O)</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Macon, France (O)</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Massy, France (L)</w:t>
            </w:r>
          </w:p>
          <w:p>
            <w:pPr>
              <w:pStyle w:val="TableContents"/>
              <w:spacing w:lineRule="auto" w:line="240" w:before="0" w:after="0"/>
              <w:jc w:val="center"/>
              <w:rPr/>
            </w:pPr>
            <w:r>
              <w:rPr>
                <w:rFonts w:ascii="Times New Roman;sans-serif" w:hAnsi="Times New Roman;sans-serif"/>
                <w:b w:val="false"/>
                <w:color w:val="000000"/>
                <w:sz w:val="20"/>
              </w:rPr>
              <w:t>Karlsruhe, Germany</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(O)</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Oldenburg, Germany (L)</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Asti, Italy (O)</w:t>
            </w:r>
          </w:p>
        </w:tc>
        <w:tc>
          <w:tcPr>
            <w:tcW w:w="148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160,027</w:t>
              <w:br/>
              <w:t>203,513</w:t>
              <w:br/>
              <w:t>64,357</w:t>
              <w:br/>
              <w:t>163,209</w:t>
              <w:br/>
              <w:t>90,212</w:t>
              <w:br/>
              <w:t>55,834</w:t>
            </w:r>
          </w:p>
        </w:tc>
      </w:tr>
      <w:tr>
        <w:trPr/>
        <w:tc>
          <w:tcPr>
            <w:tcW w:w="284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Asia/Pacific</w:t>
            </w:r>
          </w:p>
        </w:tc>
        <w:tc>
          <w:tcPr>
            <w:tcW w:w="219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Bekasi, Indonesia (O)</w:t>
            </w:r>
          </w:p>
        </w:tc>
        <w:tc>
          <w:tcPr>
            <w:tcW w:w="148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113,222</w:t>
            </w:r>
          </w:p>
        </w:tc>
      </w:tr>
    </w:tbl>
    <w:p>
      <w:pPr>
        <w:pStyle w:val="TextBody"/>
        <w:spacing w:lineRule="auto" w:line="288" w:before="60" w:after="283"/>
        <w:ind w:left="0" w:right="0" w:hanging="360"/>
        <w:jc w:val="both"/>
        <w:rPr/>
      </w:pPr>
      <w:r>
        <w:rPr>
          <w:rFonts w:ascii="Times New Roman;sans-serif" w:hAnsi="Times New Roman;sans-serif"/>
          <w:b w:val="false"/>
          <w:color w:val="000000"/>
          <w:sz w:val="13"/>
        </w:rPr>
        <w:t>(1)    </w:t>
      </w:r>
      <w:r>
        <w:rPr>
          <w:rFonts w:ascii="Times New Roman;sans-serif" w:hAnsi="Times New Roman;sans-serif"/>
          <w:b w:val="false"/>
          <w:color w:val="000000"/>
          <w:sz w:val="18"/>
        </w:rPr>
        <w:t>The Karlsruhe, Germany facility is included in the sale of certain business lines to Dresser, which closed on February 28, 2022. See Note 18: Sale of Businesses for more details.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 - Manufacturing facility is owned</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 - Manufacturing facility is leased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properties are in good condition, and we believe our current facilities are sufficient to support our operations. Our major manufacturing facilities are owned, while smaller factories are typically leased.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our manufacturing facilities, we have numerous sales offices, research and development facilities, and distribution centers, which are located throughout the world.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 (SEC) regulations require us to disclose certain information about proceedings arising under federal, state or local environmental provisions if we reasonably believe that such proceedings may result in monetary sanctions above a stated threshold. Pursuant to the SEC regulations, Itron uses a threshold of $1 million or more for purposes of determining whether disclosure of any such environmental proceedings is required.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2007-2008, Itron acquired an industrial site located at 1310 Emerald Road, Greenwood, South Carolina. Previous site owners used various chlorinated solvents and potential contaminants at the site. In 2013, Itron entered into a voluntary cleanup contract with the South Carolina Department of Health and Environmental Control (DHEC). Itron completed that process in 2019. In October 2021, DHEC sent Itron and three other potentially responsible parties (PRPs) a proposed site remediation plan with an estimated cost of $3.7 million. Itron objected to the proposed plan at a public hearing on November 4, 2021, and again in a letter to DHEC dated January 13, 2022. Given that the contamination arose from activities prior to Itron's ownership of the property and past remediation efforts, Itron has disputed its responsibility for any alleged contamination and suggested alternative proposals. Itron will continue to seek a reasonable resolution with DHEC and the other PRPs.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Information for Common Stock</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is traded on the NASDAQ Global Select Market under the symbol ITRI.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Performance Graph</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graph compares the five-year cumulative total return to shareholders on our common stock with the five-year cumulative total return of our peer group of companies used for the year ended December 31, 2021 and the NASDAQ Composite Index.</w:t>
      </w:r>
    </w:p>
    <w:p>
      <w:pPr>
        <w:pStyle w:val="TextBody"/>
        <w:spacing w:before="180" w:after="283"/>
        <w:jc w:val="center"/>
        <w:rPr/>
      </w:pPr>
      <w:r>
        <w:rPr/>
        <w:drawing>
          <wp:inline distT="0" distB="63500" distL="0" distR="0">
            <wp:extent cx="6667500" cy="476250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667500" cy="4762500"/>
                    </a:xfrm>
                    <a:prstGeom prst="rect">
                      <a:avLst/>
                    </a:prstGeom>
                  </pic:spPr>
                </pic:pic>
              </a:graphicData>
            </a:graphic>
          </wp:inline>
        </w:drawing>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$100 invested on December 31, 2016, in stock or index, including reinvestment of dividends.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Fiscal years ending December 31.</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above presentation assumes $100 invested on December 31, 2016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year, we reassess our peer group to identify global companies that are either direct competitors or have similar industry and business operating characteristics. Our 2021 peer group includes the following publicly traded companies: Badger Meter, Inc., Landis+Gyr, Mueller Water Products, and Xylem, Inc. (formerly Sensus).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Issuer Repurchase of Equity Securities</w:t>
      </w:r>
    </w:p>
    <w:tbl>
      <w:tblPr>
        <w:tblW w:w="10205" w:type="dxa"/>
        <w:jc w:val="left"/>
        <w:tblInd w:w="0" w:type="dxa"/>
        <w:tblCellMar>
          <w:top w:w="28" w:type="dxa"/>
          <w:left w:w="28" w:type="dxa"/>
          <w:bottom w:w="28" w:type="dxa"/>
          <w:right w:w="28" w:type="dxa"/>
        </w:tblCellMar>
      </w:tblPr>
      <w:tblGrid>
        <w:gridCol w:w="640"/>
        <w:gridCol w:w="442"/>
        <w:gridCol w:w="448"/>
        <w:gridCol w:w="109"/>
        <w:gridCol w:w="109"/>
        <w:gridCol w:w="109"/>
        <w:gridCol w:w="462"/>
        <w:gridCol w:w="368"/>
        <w:gridCol w:w="369"/>
        <w:gridCol w:w="109"/>
        <w:gridCol w:w="109"/>
        <w:gridCol w:w="109"/>
        <w:gridCol w:w="325"/>
        <w:gridCol w:w="675"/>
        <w:gridCol w:w="183"/>
        <w:gridCol w:w="109"/>
        <w:gridCol w:w="109"/>
        <w:gridCol w:w="109"/>
        <w:gridCol w:w="855"/>
        <w:gridCol w:w="805"/>
        <w:gridCol w:w="807"/>
        <w:gridCol w:w="109"/>
        <w:gridCol w:w="109"/>
        <w:gridCol w:w="109"/>
        <w:gridCol w:w="650"/>
        <w:gridCol w:w="1348"/>
        <w:gridCol w:w="520"/>
      </w:tblGrid>
      <w:tr>
        <w:trPr/>
        <w:tc>
          <w:tcPr>
            <w:tcW w:w="640"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r>
      <w:tr>
        <w:trPr/>
        <w:tc>
          <w:tcPr>
            <w:tcW w:w="15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Total Number of </w:t>
            </w:r>
          </w:p>
          <w:p>
            <w:pPr>
              <w:pStyle w:val="TableContents"/>
              <w:spacing w:lineRule="auto" w:line="240" w:before="0" w:after="0"/>
              <w:jc w:val="center"/>
              <w:rPr/>
            </w:pPr>
            <w:r>
              <w:rPr>
                <w:rFonts w:ascii="Times New Roman;sans-serif" w:hAnsi="Times New Roman;sans-serif"/>
                <w:b/>
                <w:color w:val="000000"/>
                <w:sz w:val="18"/>
              </w:rPr>
              <w:t xml:space="preserve">Shares Purchased </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xml:space="preserve">Average Price Paid per Share </w:t>
            </w:r>
            <w:r>
              <w:rPr>
                <w:rFonts w:ascii="Times New Roman;sans-serif" w:hAnsi="Times New Roman;sans-serif"/>
                <w:b/>
                <w:color w:val="000000"/>
                <w:sz w:val="12"/>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Dollar Value of Shares that May Yet Be Purchased Under the Plans or Programs</w:t>
            </w:r>
          </w:p>
        </w:tc>
      </w:tr>
      <w:tr>
        <w:trPr/>
        <w:tc>
          <w:tcPr>
            <w:tcW w:w="15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 2021 through October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8"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 2021 through November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66.19 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20,100 </w:t>
            </w:r>
          </w:p>
        </w:tc>
        <w:tc>
          <w:tcPr>
            <w:tcW w:w="8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98,670 </w:t>
            </w:r>
          </w:p>
        </w:tc>
        <w:tc>
          <w:tcPr>
            <w:tcW w:w="5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1, 2021 through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105,214 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105,214 </w:t>
            </w:r>
          </w:p>
        </w:tc>
        <w:tc>
          <w:tcPr>
            <w:tcW w:w="8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91,974 </w:t>
            </w:r>
          </w:p>
        </w:tc>
        <w:tc>
          <w:tcPr>
            <w:tcW w:w="5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125,314 </w:t>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125,314 </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18"/>
        </w:rPr>
        <w:t xml:space="preserve">Effective November 1, 2021, Itron's Board of Directors authorized a new share repurchase program of up to $100 million of Itron's common stock over an 18-month period. Repurchases are made in the open market or in privately negotiated transactions and in accordance with applicable securities laws. </w:t>
      </w:r>
    </w:p>
    <w:p>
      <w:pPr>
        <w:pStyle w:val="TextBody"/>
        <w:spacing w:lineRule="auto" w:line="288" w:before="0" w:after="0"/>
        <w:jc w:val="both"/>
        <w:rPr/>
      </w:pPr>
      <w:r>
        <w:rPr>
          <w:rFonts w:ascii="Times New Roman;sans-serif" w:hAnsi="Times New Roman;sans-serif"/>
          <w:b w:val="false"/>
          <w:color w:val="000000"/>
          <w:sz w:val="12"/>
        </w:rPr>
        <w:t>(2)    </w:t>
      </w:r>
      <w:r>
        <w:rPr>
          <w:rFonts w:ascii="Times New Roman;sans-serif" w:hAnsi="Times New Roman;sans-serif"/>
          <w:b w:val="false"/>
          <w:color w:val="000000"/>
          <w:sz w:val="18"/>
        </w:rPr>
        <w:t>Excludes commissions.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December 31, 2021, we repurchased 279,968 shares of our common stock under the stock repurchase program effective November 1, 2021. The average price paid per share was $60.60 (excluding commissions) for a total cost of $17.0 million.</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February 23, 2022, there were 154 holders of record of our common stock.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the inception of the Company, we have not declared or paid cash dividends. We intend to retain future earnings for the development of our business and do not anticipate paying cash dividends in the foreseeable future.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[Reserved] </w:t>
      </w:r>
    </w:p>
    <w:p>
      <w:pPr>
        <w:pStyle w:val="TextBody"/>
        <w:spacing w:before="0" w:after="1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compares the change in the consolidated financial statements for fiscal years 2021 and 2020 and should be read in conjunction with Item 8: Financial Statements and Supplementary Data. For comparisons of fiscal years 2020 and 2019, see our Management's Discussion and Analysis of Financial Condition and Results of Operations in Part II, Item 7 of our 2020 Annual Report on Form 10-K, filed with the Securities and Exchange Commission (SEC) on February 24, 2021, and incorporated herein by reference.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objective of Management's Discussion and Analysis is to provide our assessment of the financial condition and results of operations, including an evaluation of our liquidity and capital resources along with material events occurring during the year. The discussion and analysis focuses on material events and uncertainties known to management that are reasonably likely to cause reported financial information not to be necessarily indicative of future operating results or of future financial condition. In addition, we address matters that are reasonably likely, based on management's assessment, to have a material impact on future operations. We expect the analysis will enhance a reader's understanding of our financial condition, cash flows, and other changes in financial condition and results of operations. </w:t>
      </w:r>
    </w:p>
    <w:p>
      <w:pPr>
        <w:pStyle w:val="TextBody"/>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technology and service company, and we are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under the Itron brand worldwide and manage and report under three operating segments: Device Solutions, Networked Solutions, and Outcomes. The product and operating definitions of the three segments are as follows: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Device Solutions – </w:t>
      </w:r>
      <w:r>
        <w:rPr>
          <w:rFonts w:ascii="Times New Roman;sans-serif" w:hAnsi="Times New Roman;sans-serif"/>
          <w:b w:val="false"/>
          <w:color w:val="000000"/>
          <w:sz w:val="20"/>
        </w:rPr>
        <w:t>This segment primarily includes hardware products used for measurement, control, or sensing that do not have communications 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Networked Solutions – </w:t>
      </w:r>
      <w:r>
        <w:rPr>
          <w:rFonts w:ascii="Times New Roman;sans-serif" w:hAnsi="Times New Roman;sans-serif"/>
          <w:b w:val="false"/>
          <w:color w:val="000000"/>
          <w:sz w:val="20"/>
        </w:rPr>
        <w:t>This segment primarily includes a combination of communicating devices (e.g., smart meters, modules, endpoints, and 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Outcomes – </w:t>
      </w:r>
      <w:r>
        <w:rPr>
          <w:rFonts w:ascii="Times New Roman;sans-serif" w:hAnsi="Times New Roman;sans-serif"/>
          <w:b w:val="false"/>
          <w:color w:val="000000"/>
          <w:sz w:val="20"/>
        </w:rPr>
        <w:t xml:space="preserve">This segment primarily includes our value-added, enhanced software and services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(NaaS) and Platform-as-a-Service (PaaS); forecasting software and services; our Distributed Energy Management suite of products and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pStyle w:val="TextBody"/>
        <w:spacing w:before="0" w:after="0"/>
        <w:rPr/>
      </w:pPr>
      <w:r>
        <w:rPr/>
      </w:r>
    </w:p>
    <w:p>
      <w:pPr>
        <w:pStyle w:val="TextBody"/>
        <w:spacing w:lineRule="auto" w:line="288" w:before="0" w:after="0"/>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adjusted EBITDA margin, constant currency, and free cash flow.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Refer to the </w:t>
      </w:r>
      <w:r>
        <w:rPr>
          <w:rFonts w:ascii="Times New Roman;sans-serif" w:hAnsi="Times New Roman;sans-serif"/>
          <w:b w:val="false"/>
          <w:i/>
          <w:color w:val="000000"/>
          <w:sz w:val="20"/>
        </w:rPr>
        <w:t>Non-GAAP Measures</w:t>
      </w:r>
      <w:r>
        <w:rPr>
          <w:color w:val="000000"/>
        </w:rPr>
        <w:t xml:space="preserve"> </w:t>
      </w:r>
      <w:r>
        <w:rPr>
          <w:rFonts w:ascii="Times New Roman;sans-serif" w:hAnsi="Times New Roman;sans-serif"/>
          <w:b w:val="false"/>
          <w:color w:val="000000"/>
          <w:sz w:val="20"/>
        </w:rPr>
        <w:t>section below on pages 43-46 for information about these non-GAAP measures and the detailed reconciliation of items that impacted free cash flow, non-GAAP operating expense, non-GAAP operating income, non-GAAP net income, adjusted EBITDA, and non-GAAP diluted EPS in the presented periods.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Total Company Highlights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222222"/>
          <w:sz w:val="20"/>
        </w:rPr>
      </w:pPr>
      <w:r>
        <w:rPr>
          <w:rFonts w:ascii="Times New Roman;sans-serif" w:hAnsi="Times New Roman;sans-serif"/>
          <w:b w:val="false"/>
          <w:i/>
          <w:color w:val="222222"/>
          <w:sz w:val="20"/>
        </w:rPr>
        <w:t>Highlights and significant developments for the year ended December 31, 2021 compared with the year ended December 31, 2020</w:t>
      </w:r>
    </w:p>
    <w:p>
      <w:pPr>
        <w:pStyle w:val="TextBody"/>
        <w:spacing w:before="0" w:after="0"/>
        <w:jc w:val="both"/>
        <w:rPr/>
      </w:pPr>
      <w:r>
        <w:rPr/>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 xml:space="preserve">Revenues were $2.0 billion compared with $2.2 billion last year, a decrease of </w:t>
      </w:r>
      <w:r>
        <w:rPr>
          <w:rFonts w:ascii="Times New Roman;sans-serif" w:hAnsi="Times New Roman;sans-serif"/>
          <w:b w:val="false"/>
          <w:color w:val="000000"/>
          <w:sz w:val="20"/>
        </w:rPr>
        <w:t>$191.8 million</w:t>
      </w:r>
      <w:r>
        <w:rPr>
          <w:rFonts w:ascii="Times New Roman;sans-serif" w:hAnsi="Times New Roman;sans-serif"/>
          <w:b w:val="false"/>
          <w:color w:val="222222"/>
          <w:sz w:val="20"/>
        </w:rPr>
        <w:t>, or 9%</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Gross margin was 28.9% compared with 27.7% last year</w:t>
      </w:r>
    </w:p>
    <w:p>
      <w:pPr>
        <w:pStyle w:val="TextBody"/>
        <w:spacing w:lineRule="auto" w:line="288" w:before="0" w:after="60"/>
        <w:ind w:left="0" w:right="0" w:hanging="180"/>
        <w:jc w:val="both"/>
        <w:rPr/>
      </w:pPr>
      <w:r>
        <w:rPr>
          <w:color w:val="000000"/>
          <w:highlight w:val="white"/>
        </w:rPr>
        <w:t>•</w:t>
      </w:r>
      <w:r>
        <w:rPr>
          <w:rFonts w:ascii="Times New Roman;sans-serif" w:hAnsi="Times New Roman;sans-serif"/>
          <w:b w:val="false"/>
          <w:color w:val="222222"/>
          <w:sz w:val="20"/>
        </w:rPr>
        <w:t>Operating expenses increased $39.9 million, or 7%, compared with 2020, and includes the impact of 2021 restructuring projects and variable compensation</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000000"/>
          <w:sz w:val="20"/>
        </w:rPr>
        <w:t>Net loss attributable to Itron, Inc. was $81.3 million compared with net loss attributable to Itron, Inc. of $58.0 million in 2020</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000000"/>
          <w:sz w:val="20"/>
        </w:rPr>
        <w:t>GAAP loss per share was $1.83 compared with loss per share of $1.44 in 2020</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222222"/>
          <w:sz w:val="20"/>
        </w:rPr>
        <w:t xml:space="preserve">Non-GAAP net income attributable to Itron, Inc. was $78.1 million compared with $75.3 million in </w:t>
      </w:r>
      <w:r>
        <w:rPr>
          <w:rFonts w:ascii="Times New Roman;sans-serif" w:hAnsi="Times New Roman;sans-serif"/>
          <w:b w:val="false"/>
          <w:color w:val="000000"/>
          <w:sz w:val="20"/>
        </w:rPr>
        <w:t>2020</w:t>
      </w:r>
    </w:p>
    <w:p>
      <w:pPr>
        <w:pStyle w:val="TextBody"/>
        <w:spacing w:lineRule="auto" w:line="288" w:before="0" w:after="60"/>
        <w:ind w:left="0" w:right="0" w:hanging="180"/>
        <w:jc w:val="both"/>
        <w:rPr/>
      </w:pPr>
      <w:r>
        <w:rPr>
          <w:color w:val="000000"/>
        </w:rPr>
        <w:t>•</w:t>
      </w:r>
      <w:r>
        <w:rPr>
          <w:rFonts w:ascii="Times New Roman;sans-serif" w:hAnsi="Times New Roman;sans-serif"/>
          <w:b w:val="false"/>
          <w:color w:val="000000"/>
          <w:sz w:val="20"/>
        </w:rPr>
        <w:t>Non-GAAP diluted EPS was $1.75 compared with $1.85 in 2020</w:t>
      </w:r>
    </w:p>
    <w:p>
      <w:pPr>
        <w:pStyle w:val="TextBody"/>
        <w:spacing w:lineRule="auto" w:line="288" w:before="0" w:after="60"/>
        <w:ind w:left="0" w:right="0" w:hanging="180"/>
        <w:jc w:val="both"/>
        <w:rPr/>
      </w:pPr>
      <w:r>
        <w:rPr>
          <w:color w:val="222222"/>
        </w:rPr>
        <w:t>•</w:t>
      </w:r>
      <w:r>
        <w:rPr>
          <w:rFonts w:ascii="Times New Roman;sans-serif" w:hAnsi="Times New Roman;sans-serif"/>
          <w:b w:val="false"/>
          <w:color w:val="000000"/>
          <w:sz w:val="20"/>
        </w:rPr>
        <w:t>Adjusted EBITDA decreased $63.2 million, or 35%, to $115.2 million compared with adjusted EBITDA of $178.4 million in 2020</w:t>
      </w:r>
    </w:p>
    <w:p>
      <w:pPr>
        <w:pStyle w:val="TextBody"/>
        <w:spacing w:lineRule="auto" w:line="288" w:before="0" w:after="60"/>
        <w:ind w:left="0" w:right="0" w:hanging="180"/>
        <w:jc w:val="both"/>
        <w:rPr/>
      </w:pPr>
      <w:r>
        <w:rPr>
          <w:color w:val="000000"/>
        </w:rPr>
        <w:t>•</w:t>
      </w:r>
      <w:r>
        <w:rPr>
          <w:rFonts w:ascii="Times New Roman;sans-serif" w:hAnsi="Times New Roman;sans-serif"/>
          <w:b w:val="false"/>
          <w:color w:val="000000"/>
          <w:sz w:val="20"/>
        </w:rPr>
        <w:t>Total backlog was $4.0 billion, and twelve-month backlog was $1.5 billion at December 31, 2021, compared with $3.3 billion and $1.2 billion at December 31, 2020.</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Activity</w:t>
      </w:r>
    </w:p>
    <w:p>
      <w:pPr>
        <w:pStyle w:val="TextBody"/>
        <w:spacing w:lineRule="auto" w:line="288" w:before="0" w:after="0"/>
        <w:jc w:val="both"/>
        <w:rPr/>
      </w:pPr>
      <w:r>
        <w:rPr>
          <w:rFonts w:ascii="Times New Roman;sans-serif" w:hAnsi="Times New Roman;sans-serif"/>
          <w:b w:val="false"/>
          <w:color w:val="000000"/>
          <w:sz w:val="20"/>
        </w:rPr>
        <w:t>On March 12, 2021, we closed the sale of 4,472,222 shares of our common stock in a public offering, resulting in net proceeds to us of $389.4 million, after deducting underwriters' discounts, and we closed the sale of the Convertible Notes (the Convertible Notes) in a private placement to qualified institutional buyers, resulting in net proceeds to us of $448.5 million after deducting initial purchasers' discounts of the offering. Concurrently with the issuance of the Convertible Notes, we entered into the Convertible Note Hedge Transactions (the Convertible Note Hedge Transactions), and Warrant Transactions (Warrant Transactions). For further description of these transactions, refer to Item 8: Financial Statements and Supplementary Data, Note 6:</w:t>
      </w:r>
      <w:r>
        <w:rPr>
          <w:color w:val="000000"/>
        </w:rPr>
        <w:t xml:space="preserve"> </w:t>
      </w:r>
      <w:r>
        <w:rPr>
          <w:rFonts w:ascii="Times New Roman;sans-serif" w:hAnsi="Times New Roman;sans-serif"/>
          <w:b w:val="false"/>
          <w:color w:val="000000"/>
          <w:sz w:val="20"/>
        </w:rPr>
        <w:t>Debt and Note 7: Derivative Financial Instruments.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 Amendment and Repayment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2021, we entered into a third amendment to our credit facility that was initially entered on January 5, 2018 (together with the amendment, the 2018 credit facility). The third amendment modified provisions to permit cash settlement upon the conversion of the Convertible Notes, the Convertible Note Hedge Transactions, and Warrant Transactions and also to adjust certain settlement provisions for convertible indebtedness. On August 12, 2021, we repaid the remaining balance of $31.1 million on the U.S. dollar term loan (the term loan). At December 31, 2021, there were no outstanding loan balances under the 2018 Credit Facility. See Item 8: Financial Statements and Supplementary Data, Note 7: Derivative Financial Instruments, for further details of the Convertible Note Hedge Transactions and Warrant Transactions.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Notes Redemption</w:t>
      </w:r>
    </w:p>
    <w:p>
      <w:pPr>
        <w:pStyle w:val="TextBody"/>
        <w:spacing w:lineRule="auto" w:line="288" w:before="0" w:after="0"/>
        <w:jc w:val="both"/>
        <w:rPr/>
      </w:pPr>
      <w:r>
        <w:rPr>
          <w:rFonts w:ascii="Times New Roman;sans-serif" w:hAnsi="Times New Roman;sans-serif"/>
          <w:b w:val="false"/>
          <w:color w:val="000000"/>
          <w:sz w:val="20"/>
        </w:rPr>
        <w:t>In December 2017 and January 2018, we issued $300 million and $100 million, of aggregate principal amount of 5.00% senior notes maturing January 15, 2026 (Senior Notes). On March 9, 2021, we submitted a Notice of Redemption to the trustee to redeem all outstanding Senior Notes at a redemption price of 102.50%, in accordance with the indenture governing the Senior Notes, totaling $410.0 million. As of April 8, 2021 the Senior Notes were fully discharged, and no principal or unpaid interest remains outstanding. The 2.5%, or $10.0 million, early redemption premium and write off of $11.1 million prepaid debt fees were recognized upon redemption in the second quarter of 2021. See Item 8: Financial Statements and Supplementary Data, Note 6:</w:t>
      </w:r>
      <w:r>
        <w:rPr>
          <w:color w:val="000000"/>
        </w:rPr>
        <w:t xml:space="preserve"> </w:t>
      </w:r>
      <w:r>
        <w:rPr>
          <w:rFonts w:ascii="Times New Roman;sans-serif" w:hAnsi="Times New Roman;sans-serif"/>
          <w:b w:val="false"/>
          <w:color w:val="000000"/>
          <w:sz w:val="20"/>
        </w:rPr>
        <w:t>Debt, for further details of the redemption.</w:t>
      </w:r>
    </w:p>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Reserve on Receivables from Sale of Business</w:t>
      </w:r>
    </w:p>
    <w:p>
      <w:pPr>
        <w:pStyle w:val="TextBody"/>
        <w:spacing w:lineRule="auto" w:line="288" w:before="0" w:after="0"/>
        <w:jc w:val="both"/>
        <w:rPr/>
      </w:pPr>
      <w:r>
        <w:rPr>
          <w:rFonts w:ascii="Times New Roman;sans-serif" w:hAnsi="Times New Roman;sans-serif"/>
          <w:b w:val="false"/>
          <w:color w:val="000000"/>
          <w:sz w:val="20"/>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total sales price of $35.0 million included deferred payments of $21.1 million for working capital, which was to be paid in full by December 31, 2020, as evidenced by a promissory note, and the remainder in cash ($4.5 million) and other deferred consideration. 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Based on Accell's failure to make timely payments, continued requests to defer payments significantly beyond the original maturity of the working capital note, and the negative impact of the COVID-19 pandemic on the Latin American markets, we determined to fully reserve the working capital and other deferred receivables, recognizing a loss on sale of business of $26.8 million for the year ended December 31, 2021. See Item 8: Financial Statements and Supplementary Data, Note 18:</w:t>
      </w:r>
      <w:r>
        <w:rPr>
          <w:color w:val="000000"/>
        </w:rPr>
        <w:t xml:space="preserve"> </w:t>
      </w:r>
      <w:r>
        <w:rPr>
          <w:rFonts w:ascii="Times New Roman;sans-serif" w:hAnsi="Times New Roman;sans-serif"/>
          <w:b w:val="false"/>
          <w:color w:val="000000"/>
          <w:sz w:val="20"/>
        </w:rPr>
        <w:t>Sale of Businesses, for more details.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Acquisition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12, 2021, Itron, through its subsidiary Itron Management Services Ireland, Limited, completed the acquisition of 100% of the shares of SELC Group Limited (SELC), a private limited company incorporated in Ireland since 2014, from Sensus Metering Systems (LUXCO3) S.ár.l. SELC was previously a technology supplier to Itron. 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 The purchase was funded through cash on hand and included $2.1 million in intangible assets and $5.4 million in goodwill. See Item 8: Financial Statements and Supplementary Data, Note 4: Intangible Assets and Liabilities and Note 5: Goodwill, for further details.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 Plan</w:t>
      </w:r>
    </w:p>
    <w:p>
      <w:pPr>
        <w:pStyle w:val="TextBody"/>
        <w:spacing w:lineRule="auto" w:line="288" w:before="0" w:after="0"/>
        <w:jc w:val="both"/>
        <w:rPr/>
      </w:pPr>
      <w:r>
        <w:rPr>
          <w:rFonts w:ascii="Times New Roman;sans-serif" w:hAnsi="Times New Roman;sans-serif"/>
          <w:b w:val="false"/>
          <w:color w:val="000000"/>
          <w:sz w:val="20"/>
        </w:rPr>
        <w:t xml:space="preserve">On October 29, 2021, our Board of Directors approved a restructuring plan (the 2021 Projects), which in conjunction with the </w:t>
      </w:r>
      <w:r>
        <w:rPr>
          <w:rFonts w:ascii="Times New Roman;sans-serif" w:hAnsi="Times New Roman;sans-serif"/>
          <w:b w:val="false"/>
          <w:color w:val="000000"/>
          <w:sz w:val="20"/>
          <w:highlight w:val="white"/>
        </w:rPr>
        <w:t xml:space="preserve">announcement of the sale of certain of our Gas device manufacturing operations (refer to </w:t>
      </w:r>
      <w:r>
        <w:rPr>
          <w:rFonts w:ascii="Times New Roman;sans-serif" w:hAnsi="Times New Roman;sans-serif"/>
          <w:b w:val="false"/>
          <w:color w:val="000000"/>
          <w:sz w:val="20"/>
        </w:rPr>
        <w:t>Item 8: Financial Statements and Supplementary Data,</w:t>
      </w:r>
      <w:r>
        <w:rPr>
          <w:color w:val="000000"/>
          <w:highlight w:val="white"/>
        </w:rPr>
        <w:t xml:space="preserve"> </w:t>
      </w:r>
      <w:r>
        <w:rPr>
          <w:rFonts w:ascii="Times New Roman;sans-serif" w:hAnsi="Times New Roman;sans-serif"/>
          <w:b w:val="false"/>
          <w:color w:val="000000"/>
          <w:sz w:val="20"/>
          <w:highlight w:val="white"/>
        </w:rPr>
        <w:t xml:space="preserve">Note 18: Sale of Businesses), includes activities to drive reductions in certain locations and functional support areas. These projects are to be substantially complete by the end of 2024. Itron recognized pre-tax restructuring charges of </w:t>
      </w:r>
      <w:r>
        <w:rPr>
          <w:rFonts w:ascii="Times New Roman;sans-serif" w:hAnsi="Times New Roman;sans-serif"/>
          <w:b w:val="false"/>
          <w:color w:val="000000"/>
          <w:sz w:val="20"/>
        </w:rPr>
        <w:t>$60.7 million</w:t>
      </w:r>
      <w:r>
        <w:rPr>
          <w:rFonts w:ascii="Times New Roman;sans-serif" w:hAnsi="Times New Roman;sans-serif"/>
          <w:b w:val="false"/>
          <w:color w:val="000000"/>
          <w:sz w:val="20"/>
          <w:highlight w:val="white"/>
        </w:rPr>
        <w:t xml:space="preserve">. Of the total charge, approximately $55 million will result in cash expenditures, and the remainder to non-cash impairment charges. Once the 2021 Projects are substantially completed, Itron estimates $15 million to $20 million in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Approval of Share Repurchase Program</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December 31, 2021, we repurchased 125,314 shares at an average share price of $64.05 (excluding commissions) for a total of $8.0 million. Subsequent to December 31, 2021, we repurchased 279,968 shares of our common stock under the 2021 Stock Repurchase Program. The average price paid per share was $60.60 (excluding commissions) for total of $17.0 million.</w:t>
      </w:r>
    </w:p>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Business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 2021, Itron entered into a definitive securities and asset purchase agreement to sell certain of its Gas device manufacturing and business operations in Europe and North America to Dresser Utility Solutions (Dresser). The sale includes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sale of these assets and operations is part of Itron's continued strategy to improve profitability and focus on growing its higher value businesses throughout the world.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fourth quarter of 2021, we reclassified the assets and liabilities of this asset group as held for sale. Based on the sales price and the carrying value of the assets including the foreign currency translation losses accumulated since the acquisition of the German subsidiary in 2007, we recognized a pre-tax loss of $34.4 million (classified within Loss on sale of business within the Consolidated Statements of Operations) as of December 31, 2021. The base sale price of this divestiture was $75 million, with adjustments for (1) pension liabilities assumed by Dresser for the active employees and (2) the final working capital balance, which will be determined as of the close date, and, if the balance is outside the targeted amount, the difference will be settled shortly thereafter. Cash proceeds from the sale were estimated at a net $53.9 million ($63.7 million less $9.8 million in cash held for sale) at December 31, 2021. The transaction closed on February 28, 2022, and the final sales price and loss on sale will be determined and recognized during the second quarter of 2022, based on the 90-day working capital validation process.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Impact of COVID-19 and Supply Chain Challenges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future results.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originally forecasted 2021 revenue pushed to future periods. For more information on risks associated with the COVID-19 pandemic, please see our risk in Part I, Item 1A, Risk Factors.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pandemic remains a rapidly evolving situation with varying impacts on the locations in which we do business. Changes in the mix of earnings or losses from our different geographical operations, as well as any future enactment of tax legislation and other factors, may result in more volatile quarterly and annual effective tax rates. The detrimental impacts to financial results may be partially offset by financial assistance from the U.S. or the municipalities in which we operate, including employer payroll tax credits for wages paid to employees who are unable to work during the COVID-19 pandemic.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benefits, including options to defer payroll tax payments and additional deductions, resulted in reduced cash payments in 2020 but increased cash outlays during 2021.</w:t>
      </w:r>
    </w:p>
    <w:p>
      <w:pPr>
        <w:pStyle w:val="TextBody"/>
        <w:spacing w:before="0" w:after="0"/>
        <w:jc w:val="both"/>
        <w:rPr/>
      </w:pPr>
      <w:r>
        <w:rPr/>
      </w:r>
    </w:p>
    <w:p>
      <w:pPr>
        <w:pStyle w:val="TextBody"/>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Total Company GAAP and Non-GAAP Highlights and Endpoints Under Management</w:t>
      </w:r>
    </w:p>
    <w:tbl>
      <w:tblPr>
        <w:tblW w:w="8282" w:type="dxa"/>
        <w:jc w:val="left"/>
        <w:tblInd w:w="0" w:type="dxa"/>
        <w:tblCellMar>
          <w:top w:w="28" w:type="dxa"/>
          <w:left w:w="28" w:type="dxa"/>
          <w:bottom w:w="28" w:type="dxa"/>
          <w:right w:w="28" w:type="dxa"/>
        </w:tblCellMar>
      </w:tblPr>
      <w:tblGrid>
        <w:gridCol w:w="1292"/>
        <w:gridCol w:w="1137"/>
        <w:gridCol w:w="1141"/>
        <w:gridCol w:w="196"/>
        <w:gridCol w:w="871"/>
        <w:gridCol w:w="256"/>
        <w:gridCol w:w="109"/>
        <w:gridCol w:w="109"/>
        <w:gridCol w:w="109"/>
        <w:gridCol w:w="310"/>
        <w:gridCol w:w="310"/>
        <w:gridCol w:w="311"/>
        <w:gridCol w:w="109"/>
        <w:gridCol w:w="109"/>
        <w:gridCol w:w="109"/>
        <w:gridCol w:w="196"/>
        <w:gridCol w:w="871"/>
        <w:gridCol w:w="256"/>
        <w:gridCol w:w="109"/>
        <w:gridCol w:w="109"/>
        <w:gridCol w:w="109"/>
        <w:gridCol w:w="154"/>
      </w:tblGrid>
      <w:tr>
        <w:trPr/>
        <w:tc>
          <w:tcPr>
            <w:tcW w:w="1292"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margin and per share data</w:t>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w:t>
            </w:r>
          </w:p>
        </w:tc>
        <w:tc>
          <w:tcPr>
            <w:tcW w:w="13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1,678,195 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1,889,173 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303,377 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284,177 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2,173,350 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573,169 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602,167 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652,468 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612,562 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(79,299)</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(44,511)</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45,512 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Itron, Inc.</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(57,955)</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u w:val="single"/>
              </w:rPr>
              <w:t>Non-GAAP</w:t>
            </w:r>
            <w:r>
              <w:rPr>
                <w:rFonts w:ascii="Times New Roman;sans-serif" w:hAnsi="Times New Roman;sans-serif"/>
                <w:b/>
                <w:color w:val="000000"/>
                <w:sz w:val="12"/>
              </w:rPr>
              <w:t>(1)</w:t>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497,604 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470,028 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75,565 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75,253 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115,211 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178,399 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GAAP Margins and EPS</w:t>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gross margin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gross margin</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margin</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 Basic</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 Diluted</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u w:val="single"/>
              </w:rPr>
              <w:t xml:space="preserve">Non-GAAP EPS </w:t>
            </w:r>
            <w:r>
              <w:rPr>
                <w:rFonts w:ascii="Times New Roman;sans-serif" w:hAnsi="Times New Roman;sans-serif"/>
                <w:b/>
                <w:color w:val="000000"/>
                <w:sz w:val="12"/>
              </w:rPr>
              <w:t>(1)</w:t>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70"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These measures exclude certain expenses that we do not believe are indicative of our core operating results. See pages 43-46 for information about these non-GAAP measures and reconciliations to the most comparable GAAP measures.</w:t>
      </w:r>
    </w:p>
    <w:p>
      <w:pPr>
        <w:pStyle w:val="TextBody"/>
        <w:spacing w:before="0" w:after="0"/>
        <w:ind w:left="0" w:right="0" w:firstLine="225"/>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of an Endpoint Under Management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"endpoint under management" is a unique endpoint, or data from that endpoint, which Itron manages via our networked platform or a third party's platform that is connected to one or multiple types of endpoints. Itron's management of an endpoint occurs when on behalf of our client, we manage one or more of the physical endpoints, operating system, data, application, data analytics, and/or outcome deriving from this unique endpoint. Itron has the ability to monitor and/or manage endpoints or the data from the endpoints via NaaS, Software-as-a-Service (SaaS), and/or a licensed offering at a remote location designated by our client. Our offerings typically, but not exclusively, provide an Itron product or Itron certified partner product to our clients that has the capability of one-way communication or two-way communication of data that may include remote product configuration and upgradability. Examples of these offerings include our Temetra, OpenWay®, OpenWay® Riva and Gen X.</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metric primarily includes Itron or third-party endpoints deployed within the electricity, water, and gas utility industries, as well as within cities and municipalities around the globe. Endpoints under management also include smart communication modules and network interface cards (NICs) within Itron's platforms. At times, these NICs are communicating modules that were sold separately from an Itron product directly to our customers or to third party manufacturers for use in endpoints such as electric, water, and gas meters; streetlights and other types of IIoT sensors and actuators; sensors and other capabilities that the end customer would like Itron to connect and manage on their behalf.</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"endpoint under management" metric only accounts for the specific, unique endpoint itself, though that endpoint may have multiple applications, services, outcomes, and higher margin recurring offerings associated with it. This metric does not reflect the multi-application value that can be derived from the individual endpoint itself. Additionally, this metric excludes those endpoints that are non-communicating, non-Itron system hardware component sales or licensed applications that Itron does not manage the unit or the data from that unit directly.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the one-time sale of the platform and endpoints are primarily delivered via our Networked Solutions segment, our enhanced solutions, on-going monitoring, maintenance, software, analytics, and distributed intelligent applications are predominantly recognized in our Outcomes segment. We would anticipate the opportunity to increase our penetration of Outcomes applications, software, and managed applications will increase as our endpoints under management increases. Management believes using the endpoints under management metric enhances insight to the strategic and operational direction of our Networked Solutions and Outcomes segments to serve clients for years after their one-time installation of an endpoint.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endpoints under management is as follows:</w:t>
      </w:r>
    </w:p>
    <w:tbl>
      <w:tblPr>
        <w:tblW w:w="5523" w:type="dxa"/>
        <w:jc w:val="left"/>
        <w:tblInd w:w="0" w:type="dxa"/>
        <w:tblCellMar>
          <w:top w:w="28" w:type="dxa"/>
          <w:left w:w="28" w:type="dxa"/>
          <w:bottom w:w="28" w:type="dxa"/>
          <w:right w:w="28" w:type="dxa"/>
        </w:tblCellMar>
      </w:tblPr>
      <w:tblGrid>
        <w:gridCol w:w="804"/>
        <w:gridCol w:w="706"/>
        <w:gridCol w:w="710"/>
        <w:gridCol w:w="323"/>
        <w:gridCol w:w="323"/>
        <w:gridCol w:w="156"/>
        <w:gridCol w:w="140"/>
        <w:gridCol w:w="140"/>
        <w:gridCol w:w="140"/>
        <w:gridCol w:w="323"/>
        <w:gridCol w:w="323"/>
        <w:gridCol w:w="156"/>
        <w:gridCol w:w="140"/>
        <w:gridCol w:w="140"/>
        <w:gridCol w:w="140"/>
        <w:gridCol w:w="323"/>
        <w:gridCol w:w="323"/>
        <w:gridCol w:w="213"/>
      </w:tblGrid>
      <w:tr>
        <w:trPr/>
        <w:tc>
          <w:tcPr>
            <w:tcW w:w="804"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2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Units in thousands</w:t>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Endpoints under management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Revenues and Gross Margin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revenues and gross profit were as follows:</w:t>
      </w:r>
    </w:p>
    <w:tbl>
      <w:tblPr>
        <w:tblW w:w="10205" w:type="dxa"/>
        <w:jc w:val="left"/>
        <w:tblInd w:w="0" w:type="dxa"/>
        <w:tblCellMar>
          <w:top w:w="28" w:type="dxa"/>
          <w:left w:w="28" w:type="dxa"/>
          <w:bottom w:w="28" w:type="dxa"/>
          <w:right w:w="28" w:type="dxa"/>
        </w:tblCellMar>
      </w:tblPr>
      <w:tblGrid>
        <w:gridCol w:w="381"/>
        <w:gridCol w:w="334"/>
        <w:gridCol w:w="337"/>
        <w:gridCol w:w="196"/>
        <w:gridCol w:w="871"/>
        <w:gridCol w:w="109"/>
        <w:gridCol w:w="109"/>
        <w:gridCol w:w="109"/>
        <w:gridCol w:w="109"/>
        <w:gridCol w:w="196"/>
        <w:gridCol w:w="871"/>
        <w:gridCol w:w="109"/>
        <w:gridCol w:w="109"/>
        <w:gridCol w:w="109"/>
        <w:gridCol w:w="109"/>
        <w:gridCol w:w="551"/>
        <w:gridCol w:w="1819"/>
        <w:gridCol w:w="306"/>
        <w:gridCol w:w="109"/>
        <w:gridCol w:w="109"/>
        <w:gridCol w:w="109"/>
        <w:gridCol w:w="297"/>
        <w:gridCol w:w="1200"/>
        <w:gridCol w:w="164"/>
        <w:gridCol w:w="109"/>
        <w:gridCol w:w="109"/>
        <w:gridCol w:w="109"/>
        <w:gridCol w:w="199"/>
        <w:gridCol w:w="795"/>
        <w:gridCol w:w="162"/>
      </w:tblGrid>
      <w:tr>
        <w:trPr/>
        <w:tc>
          <w:tcPr>
            <w:tcW w:w="381"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32,020 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(223,798)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(191,778)</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(28,998)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47" w:type="dxa"/>
            <w:gridSpan w:val="15"/>
            <w:tcBorders/>
            <w:shd w:fill="auto" w:val="clea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44" w:type="dxa"/>
            <w:gridSpan w:val="9"/>
            <w:tcBorders/>
            <w:shd w:fill="auto" w:val="clea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r>
        <w:trPr/>
        <w:tc>
          <w:tcPr>
            <w:tcW w:w="1052"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225"/>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decreased $191.8 million in 2021 compared with 2020. We have been unfavorably impacted by COVID-19 related global component constraints, which limited our ability to fulfill customer demand. Product revenues decreased $211.0 million in 2021 and service revenues increased $19.2 million in 2021 as compared with 2020. Device Solutions decreased by $48.9 million; Networked Solutions decreased by $156.8 million; and Outcomes increased by $13.9 million when compared with the same period last year. Changes in currency exchange rates favorably impacted revenues by $32.0 million in 2021, primarily in Device Solutions.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 single customer represented more than 10% of total revenues for the years ended December 31, 2021 and 2020. Our 10 largest customers accounted for 25% of total revenues in 2021 and 33% of total revenues in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was 28.9% for 2021, compared with 27.7% in 2020. We were favorably impacted by product and solution mix and improved operating efficiencies in 2021 compared with 2020. Product sales gross margin increased to 26.6% in 2021 from 25.4% in 2020. Gross margin on service revenues decreased to 41.6% from 42.8% in 2020.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Operating Segment Results section below for further detail on total company revenues and gross margin.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actual results of and effects of changes in foreign currency exchange rates on operating expenses were as follows:</w:t>
      </w:r>
    </w:p>
    <w:tbl>
      <w:tblPr>
        <w:tblW w:w="10205" w:type="dxa"/>
        <w:jc w:val="left"/>
        <w:tblInd w:w="0" w:type="dxa"/>
        <w:tblCellMar>
          <w:top w:w="28" w:type="dxa"/>
          <w:left w:w="28" w:type="dxa"/>
          <w:bottom w:w="28" w:type="dxa"/>
          <w:right w:w="28" w:type="dxa"/>
        </w:tblCellMar>
      </w:tblPr>
      <w:tblGrid>
        <w:gridCol w:w="646"/>
        <w:gridCol w:w="561"/>
        <w:gridCol w:w="503"/>
        <w:gridCol w:w="196"/>
        <w:gridCol w:w="736"/>
        <w:gridCol w:w="109"/>
        <w:gridCol w:w="109"/>
        <w:gridCol w:w="109"/>
        <w:gridCol w:w="109"/>
        <w:gridCol w:w="196"/>
        <w:gridCol w:w="736"/>
        <w:gridCol w:w="109"/>
        <w:gridCol w:w="109"/>
        <w:gridCol w:w="109"/>
        <w:gridCol w:w="109"/>
        <w:gridCol w:w="511"/>
        <w:gridCol w:w="1685"/>
        <w:gridCol w:w="284"/>
        <w:gridCol w:w="109"/>
        <w:gridCol w:w="109"/>
        <w:gridCol w:w="109"/>
        <w:gridCol w:w="316"/>
        <w:gridCol w:w="1043"/>
        <w:gridCol w:w="176"/>
        <w:gridCol w:w="109"/>
        <w:gridCol w:w="109"/>
        <w:gridCol w:w="109"/>
        <w:gridCol w:w="214"/>
        <w:gridCol w:w="705"/>
        <w:gridCol w:w="171"/>
      </w:tblGrid>
      <w:tr>
        <w:trPr/>
        <w:tc>
          <w:tcPr>
            <w:tcW w:w="646"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1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Company</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general and administrative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23,600 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(8,910)</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17,610 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11,838 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28,068 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39,906 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1417" w:type="dxa"/>
            <w:gridSpan w:val="6"/>
            <w:tcBorders/>
            <w:shd w:fill="auto" w:val="clea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59" w:type="dxa"/>
            <w:gridSpan w:val="15"/>
            <w:tcBorders/>
            <w:shd w:fill="auto" w:val="clea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52" w:type="dxa"/>
            <w:gridSpan w:val="9"/>
            <w:tcBorders/>
            <w:shd w:fill="auto" w:val="clea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$39.9 million for the year ended December 31, 2021 as compared with the same period in 2020. This was primarily due to higher variable compensation of $23.1 million in 2021 (classified within sales, general and administrative expenses and research and development expenses), as well as $17.6 million in restructuring related to the 2021 Projects. The loss on the sale of business of $64.3 million in 2021 includes the impairment resulting from the sale of certain of our Gas device manufacturing and business operations in Europe and North America to Dresser and an increase to the loss related to the 2020 Latin America divestiture. The loss on the sale of our Latin America business in 2020 was $59.8 million. The increases were partially offset by a decrease of $8.9 million in amortization of intangible assets. See Item 8: Financial Statements and Supplementary Data, Note 18: Sale of Businesses and Note 13: Restructuring for more details.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other income (expense):</w:t>
      </w:r>
    </w:p>
    <w:tbl>
      <w:tblPr>
        <w:tblW w:w="6607" w:type="dxa"/>
        <w:jc w:val="left"/>
        <w:tblInd w:w="0" w:type="dxa"/>
        <w:tblCellMar>
          <w:top w:w="28" w:type="dxa"/>
          <w:left w:w="28" w:type="dxa"/>
          <w:bottom w:w="28" w:type="dxa"/>
          <w:right w:w="28" w:type="dxa"/>
        </w:tblCellMar>
      </w:tblPr>
      <w:tblGrid>
        <w:gridCol w:w="902"/>
        <w:gridCol w:w="790"/>
        <w:gridCol w:w="797"/>
        <w:gridCol w:w="196"/>
        <w:gridCol w:w="721"/>
        <w:gridCol w:w="109"/>
        <w:gridCol w:w="109"/>
        <w:gridCol w:w="109"/>
        <w:gridCol w:w="109"/>
        <w:gridCol w:w="310"/>
        <w:gridCol w:w="310"/>
        <w:gridCol w:w="311"/>
        <w:gridCol w:w="109"/>
        <w:gridCol w:w="109"/>
        <w:gridCol w:w="109"/>
        <w:gridCol w:w="196"/>
        <w:gridCol w:w="721"/>
        <w:gridCol w:w="109"/>
        <w:gridCol w:w="109"/>
        <w:gridCol w:w="109"/>
        <w:gridCol w:w="109"/>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prepaid debt fees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expense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for the year ended December 31, 2021 was a net expense of $44.5 million compared with $46.2 million in 2020.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other income (expense), net, for the year ended December 31, 2021 as compared with the same period in 2020 was primarily the result of lower interest costs of $14.6 million for the senior notes, $9.7 million for the term loan, and $4.7 million for the revolving credit. The decrease was offset by a $14.1 million increase related to a write-off of prepaid debt fees in 2021 associated with the repayment of senior notes and the term loan as well as increased amortization of prepaid debt fees, and a $11.7 million increase related to the 2021 extinguishment of debt that is included in other income (expense).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 Provision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(benefit) provision was $(45.5) million and $0.2 million for the years ended December 31, 2021 and 2020. Our tax rate for the year ended December 31, 2021 differed from the U.S. federal statutory tax rate of 21% due primarily to a tax benefit of $34.4 million related largely to the release of a valuation allowance on U.S. foreign tax credit deferred tax assets that were utilized in the current year. The 2021 tax benefit reflects the impact of certain transfers of business activities and assets that result in a prospective shift of income from international operations to the U.S. Other rate drivers include losses in jurisdictions for which no benefit is recognized because of valuation allowances on deferred tax assets, the level of profit or losses in domestic and international jurisdictions, a benefit related to excess stock-based compensation, and uncertain tax positions.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discussion related to income taxes, see Item 8: Financial Statements and Supplementary Data, Note 11: Income Taxes.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Segment Results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For a description of our operating segments, refer to Part I, Item 1:</w:t>
      </w:r>
      <w:r>
        <w:rPr>
          <w:color w:val="000000"/>
        </w:rPr>
        <w:t xml:space="preserve"> </w:t>
      </w:r>
      <w:r>
        <w:rPr>
          <w:rFonts w:ascii="Times New Roman;sans-serif" w:hAnsi="Times New Roman;sans-serif"/>
          <w:b w:val="false"/>
          <w:color w:val="000000"/>
          <w:sz w:val="20"/>
        </w:rPr>
        <w:t>Business, Our Operating Segments included in this Annual Report on Form 10-K. The following tables and discussion highlight significant changes in trends or components of each operating segment:</w:t>
      </w:r>
    </w:p>
    <w:tbl>
      <w:tblPr>
        <w:tblW w:w="9786" w:type="dxa"/>
        <w:jc w:val="left"/>
        <w:tblInd w:w="0" w:type="dxa"/>
        <w:tblCellMar>
          <w:top w:w="28" w:type="dxa"/>
          <w:left w:w="28" w:type="dxa"/>
          <w:bottom w:w="28" w:type="dxa"/>
          <w:right w:w="28" w:type="dxa"/>
        </w:tblCellMar>
      </w:tblPr>
      <w:tblGrid>
        <w:gridCol w:w="1516"/>
        <w:gridCol w:w="1330"/>
        <w:gridCol w:w="1339"/>
        <w:gridCol w:w="196"/>
        <w:gridCol w:w="871"/>
        <w:gridCol w:w="109"/>
        <w:gridCol w:w="109"/>
        <w:gridCol w:w="109"/>
        <w:gridCol w:w="109"/>
        <w:gridCol w:w="310"/>
        <w:gridCol w:w="310"/>
        <w:gridCol w:w="311"/>
        <w:gridCol w:w="109"/>
        <w:gridCol w:w="109"/>
        <w:gridCol w:w="109"/>
        <w:gridCol w:w="196"/>
        <w:gridCol w:w="871"/>
        <w:gridCol w:w="109"/>
        <w:gridCol w:w="109"/>
        <w:gridCol w:w="109"/>
        <w:gridCol w:w="109"/>
        <w:gridCol w:w="284"/>
        <w:gridCol w:w="284"/>
        <w:gridCol w:w="288"/>
        <w:gridCol w:w="109"/>
        <w:gridCol w:w="109"/>
        <w:gridCol w:w="109"/>
        <w:gridCol w:w="154"/>
      </w:tblGrid>
      <w:tr>
        <w:trPr/>
        <w:tc>
          <w:tcPr>
            <w:tcW w:w="1516"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revenues</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Gross</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Gross</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Profit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Gross</w:t>
              <w:br/>
              <w:t>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gross profit and margin</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 and margin</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27.7%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operating expenses</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20"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481" w:type="dxa"/>
            <w:gridSpan w:val="4"/>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5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1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Operating</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Income</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Operating</w:t>
            </w:r>
          </w:p>
          <w:p>
            <w:pPr>
              <w:pStyle w:val="TableContents"/>
              <w:spacing w:lineRule="auto" w:line="240" w:before="0" w:after="0"/>
              <w:jc w:val="center"/>
              <w:rPr>
                <w:rFonts w:ascii="Times New Roman;sans-serif" w:hAnsi="Times New Roman;sans-serif"/>
                <w:b/>
                <w:i/>
                <w:color w:val="000000"/>
                <w:sz w:val="18"/>
              </w:rPr>
            </w:pPr>
            <w:r>
              <w:rPr>
                <w:rFonts w:ascii="Times New Roman;sans-serif" w:hAnsi="Times New Roman;sans-serif"/>
                <w:b/>
                <w:i/>
                <w:color w:val="000000"/>
                <w:sz w:val="18"/>
              </w:rPr>
              <w:t>Margin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Income</w:t>
              <w:br/>
              <w:t>(Loss)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Operating</w:t>
              <w:br/>
              <w:t>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Segment operating income (loss) and operating margin</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income (loss) and operating margin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i/>
          <w:color w:val="000000"/>
          <w:sz w:val="20"/>
        </w:rPr>
        <w:t>Device Solutions: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Device Solutions segment financial results were as follows:</w:t>
      </w:r>
    </w:p>
    <w:tbl>
      <w:tblPr>
        <w:tblW w:w="10205" w:type="dxa"/>
        <w:jc w:val="left"/>
        <w:tblInd w:w="0" w:type="dxa"/>
        <w:tblCellMar>
          <w:top w:w="28" w:type="dxa"/>
          <w:left w:w="28" w:type="dxa"/>
          <w:bottom w:w="28" w:type="dxa"/>
          <w:right w:w="28" w:type="dxa"/>
        </w:tblCellMar>
      </w:tblPr>
      <w:tblGrid>
        <w:gridCol w:w="522"/>
        <w:gridCol w:w="458"/>
        <w:gridCol w:w="461"/>
        <w:gridCol w:w="196"/>
        <w:gridCol w:w="736"/>
        <w:gridCol w:w="109"/>
        <w:gridCol w:w="109"/>
        <w:gridCol w:w="109"/>
        <w:gridCol w:w="109"/>
        <w:gridCol w:w="196"/>
        <w:gridCol w:w="736"/>
        <w:gridCol w:w="109"/>
        <w:gridCol w:w="109"/>
        <w:gridCol w:w="109"/>
        <w:gridCol w:w="109"/>
        <w:gridCol w:w="547"/>
        <w:gridCol w:w="1805"/>
        <w:gridCol w:w="304"/>
        <w:gridCol w:w="109"/>
        <w:gridCol w:w="109"/>
        <w:gridCol w:w="109"/>
        <w:gridCol w:w="313"/>
        <w:gridCol w:w="1122"/>
        <w:gridCol w:w="174"/>
        <w:gridCol w:w="109"/>
        <w:gridCol w:w="109"/>
        <w:gridCol w:w="109"/>
        <w:gridCol w:w="207"/>
        <w:gridCol w:w="734"/>
        <w:gridCol w:w="168"/>
      </w:tblGrid>
      <w:tr>
        <w:trPr/>
        <w:tc>
          <w:tcPr>
            <w:tcW w:w="522"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80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Device Solutions Segment</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21,085 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(69,976)</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(48,891)</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30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10,089 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616 </w:t>
            </w:r>
          </w:p>
        </w:tc>
        <w:tc>
          <w:tcPr>
            <w:tcW w:w="30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(4,568)</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028" w:type="dxa"/>
            <w:gridSpan w:val="15"/>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45" w:type="dxa"/>
            <w:gridSpan w:val="9"/>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27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decreased by $48.9 million in 2021, or 7%, compared with 2020. The decrease was mainly due to component shortages resulting in unfulfilled customer demand. The decrease was partially offset by $21.1 million due to the effect of changes in foreign currency. </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was 15.4% in 2021 compared with 12.5% in 2020. The 290 basis point increase was primarily due to favorable product mix and lower manufacturing inefficiencies.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$4.0 million, or 9%. The decrease was primarily a result of a $5.0 million decrease in research and development costs, offset by a $1.0 million increase in marketing costs.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Networked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Networked Solutions segment financial results were as follows:</w:t>
      </w:r>
    </w:p>
    <w:tbl>
      <w:tblPr>
        <w:tblW w:w="10205" w:type="dxa"/>
        <w:jc w:val="left"/>
        <w:tblInd w:w="0" w:type="dxa"/>
        <w:tblCellMar>
          <w:top w:w="28" w:type="dxa"/>
          <w:left w:w="28" w:type="dxa"/>
          <w:bottom w:w="28" w:type="dxa"/>
          <w:right w:w="28" w:type="dxa"/>
        </w:tblCellMar>
      </w:tblPr>
      <w:tblGrid>
        <w:gridCol w:w="571"/>
        <w:gridCol w:w="470"/>
        <w:gridCol w:w="473"/>
        <w:gridCol w:w="196"/>
        <w:gridCol w:w="871"/>
        <w:gridCol w:w="109"/>
        <w:gridCol w:w="109"/>
        <w:gridCol w:w="109"/>
        <w:gridCol w:w="109"/>
        <w:gridCol w:w="196"/>
        <w:gridCol w:w="871"/>
        <w:gridCol w:w="109"/>
        <w:gridCol w:w="109"/>
        <w:gridCol w:w="109"/>
        <w:gridCol w:w="109"/>
        <w:gridCol w:w="530"/>
        <w:gridCol w:w="1504"/>
        <w:gridCol w:w="294"/>
        <w:gridCol w:w="109"/>
        <w:gridCol w:w="109"/>
        <w:gridCol w:w="109"/>
        <w:gridCol w:w="279"/>
        <w:gridCol w:w="1123"/>
        <w:gridCol w:w="155"/>
        <w:gridCol w:w="109"/>
        <w:gridCol w:w="109"/>
        <w:gridCol w:w="109"/>
        <w:gridCol w:w="198"/>
        <w:gridCol w:w="787"/>
        <w:gridCol w:w="161"/>
      </w:tblGrid>
      <w:tr>
        <w:trPr/>
        <w:tc>
          <w:tcPr>
            <w:tcW w:w="571"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50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1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Networked Solutions Segment</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0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(163,937)</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(156,771)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(54,273)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685" w:type="dxa"/>
            <w:gridSpan w:val="15"/>
            <w:tcBorders/>
            <w:shd w:fill="auto" w:val="clea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30" w:type="dxa"/>
            <w:gridSpan w:val="9"/>
            <w:tcBorders/>
            <w:shd w:fill="auto" w:val="clea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r>
        <w:trPr/>
        <w:tc>
          <w:tcPr>
            <w:tcW w:w="15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decreased by $156.8 million, or 13%, in 2021 compared with 2020. The change was primarily due to global component shortages, which limited our ability to ship all our customer demand. Lower product revenue of $174.2 million was partially offset by higher maintenance service revenue of $17.4 million.</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margin was 34.7% in 2021 compared with 34.6% in 2020. The increase of 10 basis points was primarily due to favorable product mix, partially offset by inefficiencies related to component shortages.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decreased by $0.6 million in 2021 compared with 2020. The decrease was primarily driven by reduced investment in research and development.</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Outcomes: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effects of changes in foreign currency exchange rates and the constant currency changes in certain Outcomes segment financial results were as follows:</w:t>
      </w:r>
    </w:p>
    <w:tbl>
      <w:tblPr>
        <w:tblW w:w="10205" w:type="dxa"/>
        <w:jc w:val="left"/>
        <w:tblInd w:w="0" w:type="dxa"/>
        <w:tblCellMar>
          <w:top w:w="28" w:type="dxa"/>
          <w:left w:w="28" w:type="dxa"/>
          <w:bottom w:w="28" w:type="dxa"/>
          <w:right w:w="28" w:type="dxa"/>
        </w:tblCellMar>
      </w:tblPr>
      <w:tblGrid>
        <w:gridCol w:w="445"/>
        <w:gridCol w:w="391"/>
        <w:gridCol w:w="394"/>
        <w:gridCol w:w="196"/>
        <w:gridCol w:w="736"/>
        <w:gridCol w:w="109"/>
        <w:gridCol w:w="109"/>
        <w:gridCol w:w="109"/>
        <w:gridCol w:w="109"/>
        <w:gridCol w:w="196"/>
        <w:gridCol w:w="736"/>
        <w:gridCol w:w="109"/>
        <w:gridCol w:w="109"/>
        <w:gridCol w:w="109"/>
        <w:gridCol w:w="109"/>
        <w:gridCol w:w="637"/>
        <w:gridCol w:w="1809"/>
        <w:gridCol w:w="354"/>
        <w:gridCol w:w="109"/>
        <w:gridCol w:w="109"/>
        <w:gridCol w:w="109"/>
        <w:gridCol w:w="344"/>
        <w:gridCol w:w="1137"/>
        <w:gridCol w:w="191"/>
        <w:gridCol w:w="109"/>
        <w:gridCol w:w="109"/>
        <w:gridCol w:w="109"/>
        <w:gridCol w:w="218"/>
        <w:gridCol w:w="719"/>
        <w:gridCol w:w="176"/>
      </w:tblGrid>
      <w:tr>
        <w:trPr/>
        <w:tc>
          <w:tcPr>
            <w:tcW w:w="4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Changes in Foreign Currency Exchange Rates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Constant Currency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Change</w:t>
            </w:r>
          </w:p>
        </w:tc>
      </w:tr>
      <w:tr>
        <w:trPr/>
        <w:tc>
          <w:tcPr>
            <w:tcW w:w="12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2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Outcomes Segment</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3,769 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10,115 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3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11,346 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12,779 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9,707 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39" w:type="dxa"/>
            <w:gridSpan w:val="15"/>
            <w:tcBorders/>
            <w:shd w:fill="auto" w:val="clea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12" w:type="dxa"/>
            <w:gridSpan w:val="9"/>
            <w:tcBorders/>
            <w:shd w:fill="auto" w:val="clea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r>
        <w:trPr/>
        <w:tc>
          <w:tcPr>
            <w:tcW w:w="123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8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increased $13.9 million, or 6%, in 2021 compared with 2020. This increase was driven by increased software license sales and managed and professional services.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increased to 39.0% in 2021 compared with 35.8% for last year. The 320 basis point increase was driven by favorable solutions mix and increased cost efficiencies. </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increased $9.8 million, or 28%, in 2021. This increase was primarily related to increased research and development investment of $7.6 million and higher product marketing expenses of $2.2 million.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Corporate unallocated: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expenses not directly associated with an operating segment are classified as Corporate unallocated. These expenses increased $34.7 million in 2021 as compared with 2020. This was primarily the result of increases in sales, general and administrative expenses and research and development expenses of $21.5 million driven by higher variable compensation in 2021, and an increase of $17.6 million in restructuring expense due to the 2021 Projects. A loss on sale of business in 2021 of $64.3 million includes the impairment resulting from the sale of certain of our Gas device manufacturing and business operations in Europe and North America to Dresser and an increase to the loss related to the 2020 Latin America divestiture. The Latin America divestiture was a $59.8 million loss on sale of business in 2020. Amortization of intangible assets decreased $8.9 million as compared with 2020. See Item 8: Financial Statements and Supplementary Data, Note 18: Sale of Businesses and Note 13: Restructuring for more details.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Condition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Cash Flow Information:</w:t>
      </w:r>
    </w:p>
    <w:tbl>
      <w:tblPr>
        <w:tblW w:w="7721" w:type="dxa"/>
        <w:jc w:val="left"/>
        <w:tblInd w:w="0" w:type="dxa"/>
        <w:tblCellMar>
          <w:top w:w="28" w:type="dxa"/>
          <w:left w:w="28" w:type="dxa"/>
          <w:bottom w:w="28" w:type="dxa"/>
          <w:right w:w="28" w:type="dxa"/>
        </w:tblCellMar>
      </w:tblPr>
      <w:tblGrid>
        <w:gridCol w:w="1412"/>
        <w:gridCol w:w="1237"/>
        <w:gridCol w:w="1250"/>
        <w:gridCol w:w="196"/>
        <w:gridCol w:w="736"/>
        <w:gridCol w:w="109"/>
        <w:gridCol w:w="109"/>
        <w:gridCol w:w="109"/>
        <w:gridCol w:w="109"/>
        <w:gridCol w:w="196"/>
        <w:gridCol w:w="736"/>
        <w:gridCol w:w="109"/>
        <w:gridCol w:w="109"/>
        <w:gridCol w:w="109"/>
        <w:gridCol w:w="109"/>
        <w:gridCol w:w="196"/>
        <w:gridCol w:w="736"/>
        <w:gridCol w:w="154"/>
      </w:tblGrid>
      <w:tr>
        <w:trPr/>
        <w:tc>
          <w:tcPr>
            <w:tcW w:w="1412"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Cash classified within assets held for 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(decrease) in cash and cash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December 31, 2021 was $162.6 million compared with $206.9 million at December 31, 2020. The $44.4 million decrease in cash and cash equivalents in the 2021 period was primarily the result of net repayment of debt and acquisitions of property, plant, and equipment, partially offset by cash flows from operating activities.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in 2021 was $45.3 million higher than in 2020. This increase was primarily due to lower variable compensation payouts and lower interest payments, which was partially offset by a greater net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2021 was $6.2 million lower than in 2020. This decrease in use of cash was primarily related to $11.5 million less purchase of property, plant, and equipment, offset by net cash used for business acquisition.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2021 was $152.9 million, compared with net cash used in 2020 of $11.6 million. In March 2021, we received $389.4 million from issuance of common stock related to the equity offering, after deducting underwriters' discounts of the offering, purchased $84.1 million of the convertible note hedge contracts, and proceeds of $45.3 million from the sale of warrants. Also in March 2021, we closed the sale of the Convertible Notes with gross proceeds of $460 million, which was used to pay off the outstanding term loan balance. In April 2021, we repaid the senior notes totaling $410 million (including $10 million early repayment premium) with proceeds from the equity offering and cash on hand. In 2021, we had net repayments of debt of $486.1 million, cash payments for prepaid debt fees were $12.0 million, and repurchased $8.0 million of our stock. In 2020, we paid down our debt of $14.1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Cash classified within assets held for sale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classified within assets held for sale was $9.8 million as of December 31, 2021, which is related to the sale of assets to Dresser, which closed on February 28,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 of exchange rates on 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exchange rates on the cash balances of currencies held in foreign denominations resulted in a decrease of $1.6 million in 2021 and an increase of $0.1 million in 2020. Our foreign currency exposure relates to non-U.S. dollar denominated balances in our international subsidiary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Free cash flow (Non-GAAP)</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tbl>
      <w:tblPr>
        <w:tblW w:w="6091" w:type="dxa"/>
        <w:jc w:val="left"/>
        <w:tblInd w:w="0" w:type="dxa"/>
        <w:tblCellMar>
          <w:top w:w="28" w:type="dxa"/>
          <w:left w:w="28" w:type="dxa"/>
          <w:bottom w:w="28" w:type="dxa"/>
          <w:right w:w="28" w:type="dxa"/>
        </w:tblCellMar>
      </w:tblPr>
      <w:tblGrid>
        <w:gridCol w:w="1239"/>
        <w:gridCol w:w="1085"/>
        <w:gridCol w:w="1095"/>
        <w:gridCol w:w="196"/>
        <w:gridCol w:w="736"/>
        <w:gridCol w:w="109"/>
        <w:gridCol w:w="109"/>
        <w:gridCol w:w="109"/>
        <w:gridCol w:w="109"/>
        <w:gridCol w:w="196"/>
        <w:gridCol w:w="736"/>
        <w:gridCol w:w="109"/>
        <w:gridCol w:w="109"/>
        <w:gridCol w:w="154"/>
      </w:tblGrid>
      <w:tr>
        <w:trPr/>
        <w:tc>
          <w:tcPr>
            <w:tcW w:w="1239"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increased due to higher operating cash flow and lower spending for property, plant, and equipment. See the cash flow discussion of operating activities above.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are cash flows from operations, borrowings, and the sale of our common stock. Cash flows may fluctuate and are sensitive to many factors including changes in working capital and the timing and magnitude of capital expenditures and payments of debt. Working capital, which represents current assets less current liabilities, continues to be in a net favorable position. We expect existing cash, cash flows from operations, and access to capital markets to continue to be sufficient to fund our operating activities and cash commitments, such as debt maturities, and material capital expenditures, for at least the next 12 months and thereafter for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Offering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2021, we closed the sale of 4,472,222 shares of our common stock in a public offering, resulting in net proceeds to us of $389.4 million, after deducting underwriters' discounts of the offering, and we closed the sale of the Convertible Notes in a private placement to qualified institutional buyers, resulting in net proceeds to us of $448.5 million after deducting initial purchasers' discounts of the offering. Concurrently with the issuance of the Convertible Notes, we entered into the Convertible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 Hedge Transactions and Warrant Transactions. For further description of these transactions, refer to Item 8: Financial Statements and Supplementary Data, Note 6: Debt and Note 7: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Borrowings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At December 31, 2021, no amount was outstanding under the 2018 credit facility revolver, and $64.4 million was utilized by outstanding standby letters of credit, resulting in $435.6 million available for additional borrowings or standby letters of credit under the revolver. At December 31, 2021, $235.6 million was available for additional standby letters of credit under the letter of credit sub-facility and no amounts were outstanding under the swingline sub-facility. Amounts borrowed under the revolver may be repaid and reborrowed until the revolver's maturity on October 18, 2024, at which time all outstanding loans together with all accrued and unpaid interest must be repaid.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we closed the sale of $460 million in Convertible Notes in a private placement to qualified institutional buyers. The Convertible Notes do not bear regular interest, and the principal amount does not accrete. The Convertible Notes will mature on March 15, 2026, unless earlier repurchased, redeemed, or converted in accordance with their terms.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description of our borrowings, refer to Item 8: Financial Statements and Supplementary Data, Note 6: Debt. See Item 8: Financial Statements and Supplementary Data, Note 7: Derivative Financial Instruments. for further details of the Convertible Note Hedge Transactions and Warrant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2020, our Board of Directors approved a restructuring plan (the 2020 Projects). The 2020 Projects include activities that continue our efforts to optimize its global supply chain and manufacturing operations, sales and marketing organizations, and other overhead. These projects are scheduled to be substantially complete by the end of 2022, with an estimated $17 million in cash payments remaining as of December 31, 2021.</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On October 29, 2021, our Board of Directors approved a restructuring plan (the 2021 Projects), which in conjunction with the </w:t>
      </w:r>
      <w:r>
        <w:rPr>
          <w:rFonts w:ascii="Times New Roman;sans-serif" w:hAnsi="Times New Roman;sans-serif"/>
          <w:b w:val="false"/>
          <w:color w:val="000000"/>
          <w:sz w:val="20"/>
          <w:highlight w:val="white"/>
        </w:rPr>
        <w:t>announcement of the sale of certain of our Gas device manufacturing operations</w:t>
      </w:r>
      <w:r>
        <w:rPr>
          <w:rFonts w:ascii="Times New Roman;sans-serif" w:hAnsi="Times New Roman;sans-serif"/>
          <w:b w:val="false"/>
          <w:color w:val="000000"/>
          <w:sz w:val="20"/>
        </w:rPr>
        <w:t xml:space="preserve">, </w:t>
      </w:r>
      <w:r>
        <w:rPr>
          <w:rFonts w:ascii="Times New Roman;sans-serif" w:hAnsi="Times New Roman;sans-serif"/>
          <w:b w:val="false"/>
          <w:color w:val="000000"/>
          <w:sz w:val="20"/>
          <w:highlight w:val="white"/>
        </w:rPr>
        <w:t xml:space="preserve">(refer to </w:t>
      </w:r>
      <w:r>
        <w:rPr>
          <w:rFonts w:ascii="Times New Roman;sans-serif" w:hAnsi="Times New Roman;sans-serif"/>
          <w:b w:val="false"/>
          <w:color w:val="000000"/>
          <w:sz w:val="20"/>
        </w:rPr>
        <w:t>Item 8: Financial Statements and Supplementary Data,</w:t>
      </w:r>
      <w:r>
        <w:rPr>
          <w:color w:val="000000"/>
          <w:highlight w:val="white"/>
        </w:rPr>
        <w:t xml:space="preserve"> </w:t>
      </w:r>
      <w:r>
        <w:rPr>
          <w:rFonts w:ascii="Times New Roman;sans-serif" w:hAnsi="Times New Roman;sans-serif"/>
          <w:b w:val="false"/>
          <w:color w:val="000000"/>
          <w:sz w:val="20"/>
          <w:highlight w:val="white"/>
        </w:rPr>
        <w:t>Note 18: Sale of Businesses),</w:t>
      </w:r>
      <w:r>
        <w:rPr>
          <w:color w:val="000000"/>
        </w:rPr>
        <w:t xml:space="preserve"> </w:t>
      </w:r>
      <w:r>
        <w:rPr>
          <w:rFonts w:ascii="Times New Roman;sans-serif" w:hAnsi="Times New Roman;sans-serif"/>
          <w:b w:val="false"/>
          <w:color w:val="000000"/>
          <w:sz w:val="20"/>
          <w:highlight w:val="white"/>
        </w:rPr>
        <w:t>includes activities to drive reductions in certain locations and functional support areas. These projects are to be substantially complete by the end of 2024. Itron recognized pre-tax restructuring charges of</w:t>
      </w:r>
      <w:r>
        <w:rPr>
          <w:color w:val="000000"/>
        </w:rPr>
        <w:t xml:space="preserve"> </w:t>
      </w:r>
      <w:r>
        <w:rPr>
          <w:rFonts w:ascii="Times New Roman;sans-serif" w:hAnsi="Times New Roman;sans-serif"/>
          <w:b w:val="false"/>
          <w:color w:val="000000"/>
          <w:sz w:val="20"/>
        </w:rPr>
        <w:t xml:space="preserve">$60.7 million. </w:t>
      </w:r>
      <w:r>
        <w:rPr>
          <w:rFonts w:ascii="Times New Roman;sans-serif" w:hAnsi="Times New Roman;sans-serif"/>
          <w:b w:val="false"/>
          <w:color w:val="000000"/>
          <w:sz w:val="20"/>
          <w:highlight w:val="white"/>
        </w:rPr>
        <w:t>Of the total charge, approximately</w:t>
      </w:r>
      <w:r>
        <w:rPr>
          <w:color w:val="000000"/>
        </w:rPr>
        <w:t xml:space="preserve"> </w:t>
      </w:r>
      <w:r>
        <w:rPr>
          <w:rFonts w:ascii="Times New Roman;sans-serif" w:hAnsi="Times New Roman;sans-serif"/>
          <w:b w:val="false"/>
          <w:color w:val="000000"/>
          <w:sz w:val="20"/>
        </w:rPr>
        <w:t xml:space="preserve">$55 million </w:t>
      </w:r>
      <w:r>
        <w:rPr>
          <w:rFonts w:ascii="Times New Roman;sans-serif" w:hAnsi="Times New Roman;sans-serif"/>
          <w:b w:val="false"/>
          <w:color w:val="000000"/>
          <w:sz w:val="20"/>
          <w:highlight w:val="white"/>
        </w:rPr>
        <w:t>will result in cash expenditures, and the remainder to non-cash impairment charges. Once the 2021 Projects are substantially completed, Itron estimates</w:t>
      </w:r>
      <w:r>
        <w:rPr>
          <w:color w:val="000000"/>
        </w:rPr>
        <w:t xml:space="preserve"> </w:t>
      </w:r>
      <w:r>
        <w:rPr>
          <w:rFonts w:ascii="Times New Roman;sans-serif" w:hAnsi="Times New Roman;sans-serif"/>
          <w:b w:val="false"/>
          <w:color w:val="000000"/>
          <w:sz w:val="20"/>
        </w:rPr>
        <w:t xml:space="preserve">$15 million to $20 million </w:t>
      </w:r>
      <w:r>
        <w:rPr>
          <w:rFonts w:ascii="Times New Roman;sans-serif" w:hAnsi="Times New Roman;sans-serif"/>
          <w:b w:val="false"/>
          <w:color w:val="000000"/>
          <w:sz w:val="20"/>
          <w:highlight w:val="white"/>
        </w:rPr>
        <w:t>in annualized savings. 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2021, we paid out a net $29.7 million related to all our restructuring projects. As of December 31, 2021, $85.0 million was accrued for these restructuring projects, of which $29.7 million is expected to be paid within the next 12 months.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details regarding our restructuring activities, refer to Item 8: Financial Statements and Supplementary Data, Note 13: Restructuring.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Reserve of Receivables from Sale of Business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total sales price of $35.0 million included deferred payments of $21.1 million for working capital, which was to be paid in full by December 31, 2020, as evidenced by a promissory note, and the remainder in cash ($4.5 million) and other deferred consideration. In January 2021, we agreed to extend the payment terms on the remaining outstanding working capital balance of $18.4 million. Accell had agreed to make monthly payments, including interest, through September 2022, under which we received full payments for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January through March and partial payments in April and May (totaling $3.8 million including $0.7 million in interest).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consideration in the second quarter of 2021.</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Authorization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 2021, Itron's Board of Directors authorized a share repurchase program of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December 31, 2021, we repurchased 125,314 shares at an average share price of $64.05 (excluding commissions) for a total of $8.0 million. Subsequent to December 31, 2021, we repurchased 279,968 shares of our common stock under the 2021 Stock Repurchase Program. The average price paid per share was $60.60 (excluding commissions) for total of $17.0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contractual obligations and commitments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 are disclosed in Item 8: Financial Statements and Supplementary Data, Note 19: Leases and do not include common area maintenance charges, real estate taxes, and insurance charges for which we are obligated. Amounts due under operating lease liabilities for the next twelve months are $19.2 million and beyond the next twelve months are $62.5 million.</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We regularly enter into standard purchase orders in the ordinary course of business that may obligate us to purchase materials and other items but which may not yet qualify for recognition in our Consolidated Balance Sheets. Purchase orders and other purchase obligations can include open-ended agreements that provide for estimated quantities over an extended delivery period. At December 31, 2021, purchase orders and other purchase obligations were $607.7 million, which includes capital expenditures of $18.2 million. The purchase orders may include durations longer than one year, but these long-term agreements generally contain termination clauses that could require</w:t>
      </w:r>
      <w:r>
        <w:rPr>
          <w:strike/>
          <w:color w:val="000000"/>
        </w:rPr>
        <w:t xml:space="preserve"> </w:t>
      </w:r>
      <w:r>
        <w:rPr>
          <w:rFonts w:ascii="Times New Roman;sans-serif" w:hAnsi="Times New Roman;sans-serif"/>
          <w:b w:val="false"/>
          <w:color w:val="000000"/>
          <w:sz w:val="20"/>
        </w:rPr>
        <w:t>payment if the commitments were canceled, and as such the total above is considered short-term as of December 31, 2021.</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consist of warranty obligations, estimated pension benefit payments, and other obligations. Estimated pension benefit payments include amounts to be paid from our assets for unfunded plans and reflect expected future service. The following table summarizes our known obligations to make future payments pursuant to certain contracts as of December 31, 2021.</w:t>
      </w:r>
    </w:p>
    <w:tbl>
      <w:tblPr>
        <w:tblW w:w="6022" w:type="dxa"/>
        <w:jc w:val="left"/>
        <w:tblInd w:w="0" w:type="dxa"/>
        <w:tblCellMar>
          <w:top w:w="28" w:type="dxa"/>
          <w:left w:w="28" w:type="dxa"/>
          <w:bottom w:w="28" w:type="dxa"/>
          <w:right w:w="28" w:type="dxa"/>
        </w:tblCellMar>
      </w:tblPr>
      <w:tblGrid>
        <w:gridCol w:w="962"/>
        <w:gridCol w:w="842"/>
        <w:gridCol w:w="851"/>
        <w:gridCol w:w="109"/>
        <w:gridCol w:w="109"/>
        <w:gridCol w:w="109"/>
        <w:gridCol w:w="267"/>
        <w:gridCol w:w="914"/>
        <w:gridCol w:w="138"/>
        <w:gridCol w:w="109"/>
        <w:gridCol w:w="109"/>
        <w:gridCol w:w="109"/>
        <w:gridCol w:w="271"/>
        <w:gridCol w:w="926"/>
        <w:gridCol w:w="197"/>
      </w:tblGrid>
      <w:tr>
        <w:trPr/>
        <w:tc>
          <w:tcPr>
            <w:tcW w:w="962"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Next 12 months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Beyond the next</w:t>
              <w:br/>
              <w:t>12 months</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pension benefit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87,863 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period of cash settlement for long-term unrecognized tax benefits, which include accrued interest and penalties, cannot be reasonably estimated with the respective taxing authorities. For further information on defined benefit pension plans, income taxes, warranty obligations, and unearned revenue for extended warranties, see Item 8: Financial Statements and Supplementary Data, Note 8: Defined Benefit Pension Plans, Note 11: Income Taxes, Note 12: Commitments and Contingencies, and Note 17: Revenues.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income tax payments were as follows:</w:t>
      </w:r>
    </w:p>
    <w:tbl>
      <w:tblPr>
        <w:tblW w:w="5042" w:type="dxa"/>
        <w:jc w:val="left"/>
        <w:tblInd w:w="0" w:type="dxa"/>
        <w:tblCellMar>
          <w:top w:w="28" w:type="dxa"/>
          <w:left w:w="28" w:type="dxa"/>
          <w:bottom w:w="28" w:type="dxa"/>
          <w:right w:w="28" w:type="dxa"/>
        </w:tblCellMar>
      </w:tblPr>
      <w:tblGrid>
        <w:gridCol w:w="962"/>
        <w:gridCol w:w="843"/>
        <w:gridCol w:w="850"/>
        <w:gridCol w:w="196"/>
        <w:gridCol w:w="556"/>
        <w:gridCol w:w="109"/>
        <w:gridCol w:w="109"/>
        <w:gridCol w:w="109"/>
        <w:gridCol w:w="109"/>
        <w:gridCol w:w="196"/>
        <w:gridCol w:w="631"/>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 taxes paid (refunded)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taxes paid</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and local income taxes paid</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taxes paid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projections, we expect to pay, net of refunds, approximately $11 million in U.S. federal and state taxes and $6 million in foreign and local income taxes in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there was $56.0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Liquidity Considerations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2021, $26.7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we expect to pay approximately $35 million for variable compensation in cash during the first quarter of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Liquidity Overview</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expected short to mid-term impacts of the COVID-19 pandemic, 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our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utility industries, competitive pressures, our dependence on certain key vendors and components, changes in estimated liabilities for product warranties and/or litigation, duration of the COVID-19 pandemic, future business combinations, capital market fluctuations, international risks, and other factors described under Item 1A: Risk Factors, as well as Item 7A: Quantitative and Qualitative Disclosures About Market Risk.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Contingencies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Refer to Item 8: Financial Statements and Supplementary Data, Note 12:</w:t>
      </w:r>
      <w:r>
        <w:rPr>
          <w:color w:val="000000"/>
          <w:highlight w:val="white"/>
        </w:rPr>
        <w:t xml:space="preserve"> </w:t>
      </w:r>
      <w:r>
        <w:rPr>
          <w:rFonts w:ascii="Times New Roman;sans-serif" w:hAnsi="Times New Roman;sans-serif"/>
          <w:b w:val="false"/>
          <w:color w:val="000000"/>
          <w:sz w:val="20"/>
        </w:rPr>
        <w:t>Commitments and Contingencies.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Critical Accounting Estimates and Policies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business combinations,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revenue arrangements involve multiple performance obligations, consisting of hardware, software, and professional services such as implementation, project management, installation, and consulting services. These arrangements require us to determine the standalone selling price of the promised goods or services underlying each performance obligation and then allocate the total arrangement consideration among the separate performance obligations based on their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If we estimate that the completion of a performance obligation will result in a loss, then the loss is recognized in the period in which the loss becomes evident. We reevaluate the estimated loss through the completion of the performance obligation and adjust the estimated loss for changes in facts and circumstances.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pStyle w:val="TextBody"/>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be modified to add, remove, or change existing performance obligations or change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Defined Benefit Pension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for our international employees, primarily in Germany, France, Indonesia, India, and Italy.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which arise during the period but are not recognized as components of net periodic benefit cost.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91% of our projected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0.50% and 1.25%. The weighted average discount rate used to measure the projected benefit obligation for all of the plans at December 31, 2021 was 1.66%. A change of 25 basis points in the discount rate would change our projected benefit obligation by approximately $5.0 million. The financial and actuarial assumptions used at December 31, 2021 may differ materially from actual results due to changing market and economic conditions and other factors. These differences could result in a significant change in the amount of pension expense recognized in future periods. </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measure and recognize compensation expense for all stock-based compensation based on estimated fair values. The fair value of unrestricted stock awards with no market conditions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 For stock options, the fair value was estimated at the date of grant using the Black-Scholes option-pricing model, which included assumptions for the expected volatility, risk-free interest rate, expected term and dividend yield.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valuing our restricted stock units with a market condition and stock options, significant judgment is required in determining the expected volatility of our common stock and the expected life that individuals will hold their stock options prior to exercising. The volatility for our restricted stock units with a market condition is based on the historical volatility of our own stock and the stock for companies comprising the market index within the market condition. The expected volatility for stock options was based on the historical and implied volatility of our own common stock. The expected life of stock option grants was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Non-GAAP Measures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loss on sale of business, or restructuring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Non-GAAP operating expenses</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operating income</w:t>
      </w:r>
      <w:r>
        <w:rPr>
          <w:color w:val="000000"/>
        </w:rPr>
        <w:t xml:space="preserve"> – </w:t>
      </w:r>
      <w:r>
        <w:rPr>
          <w:rFonts w:ascii="Times New Roman;sans-serif" w:hAnsi="Times New Roman;sans-serif"/>
          <w:b w:val="false"/>
          <w:color w:val="000000"/>
          <w:sz w:val="20"/>
        </w:rPr>
        <w:t>We define non-GAAP operating expenses as operating expenses excluding certain expenses related to the amortization of intangible assets, restructuring, loss on sale of business, corporate transition cost, and acquisition and integration. We define non-GAAP operating income as operating income (loss) excluding the expenses related to the amortization of intangible assets, restructuring, loss on sale of business, corporate transition cost,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Non-GAAP net income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non-GAAP diluted EPS</w:t>
      </w:r>
      <w:r>
        <w:rPr>
          <w:color w:val="000000"/>
        </w:rPr>
        <w:t xml:space="preserve"> – </w:t>
      </w:r>
      <w:r>
        <w:rPr>
          <w:rFonts w:ascii="Times New Roman;sans-serif" w:hAnsi="Times New Roman;sans-serif"/>
          <w:b w:val="false"/>
          <w:color w:val="000000"/>
          <w:sz w:val="20"/>
        </w:rPr>
        <w:t>We define non-GAAP net income as net income (loss) attributable to Itron, Inc. excluding the expenses associated with amortization of intangible assets, amortization of debt placement fees, debt extinguishment, restructuring, loss on sale of business, corporate transition cost,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Adjusted EBITDA</w:t>
      </w:r>
      <w:r>
        <w:rPr>
          <w:color w:val="000000"/>
        </w:rPr>
        <w:t xml:space="preserve"> – </w:t>
      </w:r>
      <w:r>
        <w:rPr>
          <w:rFonts w:ascii="Times New Roman;sans-serif" w:hAnsi="Times New Roman;sans-serif"/>
          <w:b w:val="false"/>
          <w:color w:val="000000"/>
          <w:sz w:val="20"/>
        </w:rPr>
        <w:t>We define adjusted EBITDA as net income (loss) (a) minus interest income, (b) plus interest expense, depreciation and amortization, debt extinguishment, restructuring, loss on sale of business, corporate transition cost,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Free cash flow</w:t>
      </w:r>
      <w:r>
        <w:rPr>
          <w:color w:val="000000"/>
        </w:rPr>
        <w:t xml:space="preserve"> – </w:t>
      </w:r>
      <w:r>
        <w:rPr>
          <w:rFonts w:ascii="Times New Roman;sans-serif" w:hAnsi="Times New Roman;sans-serif"/>
          <w:b w:val="false"/>
          <w:color w:val="000000"/>
          <w:sz w:val="20"/>
        </w:rPr>
        <w:t>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i/>
          <w:color w:val="000000"/>
          <w:sz w:val="20"/>
        </w:rPr>
        <w:t>Constant currency</w:t>
      </w:r>
      <w:r>
        <w:rPr>
          <w:color w:val="000000"/>
        </w:rPr>
        <w:t xml:space="preserve"> – </w:t>
      </w:r>
      <w:r>
        <w:rPr>
          <w:rFonts w:ascii="Times New Roman;sans-serif" w:hAnsi="Times New Roman;sans-serif"/>
          <w:b w:val="false"/>
          <w:color w:val="000000"/>
          <w:sz w:val="20"/>
        </w:rPr>
        <w:t>We refer to the impact of foreign currency exchange rate fluctuations in our discussions of financial results, 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Reconciliations of Non-GAAP Financial Measures to the most Directly Comparable GAAP Financial Measures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reconcile the non-GAAP financial measures of operating expenses, operating income, net income, diluted EPS, adjusted EBITDA, and free cash flow with the most directly comparable GAAP financial measures.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tbl>
      <w:tblPr>
        <w:tblW w:w="8914" w:type="dxa"/>
        <w:jc w:val="center"/>
        <w:tblInd w:w="0" w:type="dxa"/>
        <w:tblCellMar>
          <w:top w:w="28" w:type="dxa"/>
          <w:left w:w="28" w:type="dxa"/>
          <w:bottom w:w="28" w:type="dxa"/>
          <w:right w:w="28" w:type="dxa"/>
        </w:tblCellMar>
      </w:tblPr>
      <w:tblGrid>
        <w:gridCol w:w="463"/>
        <w:gridCol w:w="408"/>
        <w:gridCol w:w="408"/>
        <w:gridCol w:w="430"/>
        <w:gridCol w:w="430"/>
        <w:gridCol w:w="430"/>
        <w:gridCol w:w="1220"/>
        <w:gridCol w:w="1220"/>
        <w:gridCol w:w="1233"/>
        <w:gridCol w:w="196"/>
        <w:gridCol w:w="736"/>
        <w:gridCol w:w="109"/>
        <w:gridCol w:w="109"/>
        <w:gridCol w:w="109"/>
        <w:gridCol w:w="109"/>
        <w:gridCol w:w="196"/>
        <w:gridCol w:w="736"/>
        <w:gridCol w:w="109"/>
        <w:gridCol w:w="109"/>
        <w:gridCol w:w="154"/>
      </w:tblGrid>
      <w:tr>
        <w:trPr/>
        <w:tc>
          <w:tcPr>
            <w:tcW w:w="463"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COMPANY RECONCILIATIONS</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242"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EXPENSES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expenses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transition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67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OPERATING INCOME</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operating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transition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67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NON-GAAP NET INCOME &amp; DILUTED EPS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 attributable to Itron, Inc.</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placement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extinguishment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transition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67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Income tax effect of non-GAAP adjustments </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net income attributable to Itron,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diluted EPS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weighted average common shares outstanding - Diluted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net loss attributable to Itron, Inc.</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extinguishment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transition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integration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2"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FREE CASH FLOW</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property, plant,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Free Cash Flow</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The income tax effect of non-GAAP adjustments is calculated using the statutory tax rates for the relevant jurisdictions if no valuation allowance exists. If a valuation allowance exists, there is no tax impact to the non-GAAP adjustment.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be exposed to interest rate risk through our variable rate debt instruments. On March 17, 2021, we paid a fee of $1.7 million to terminate the interest rate swap since the likelihood of LIBOR-based interest payments were no longer probable of occurring. On August 12, 2021, the U.S. dollar term loan under the credit facility was fully paid. At December 31, 2021, we had no outstanding variable rate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continually monitor and assess our interest rate risk and may institute additional interest rate swaps or other derivative instruments to manage such risk in the future if we were to have variable rate debt outstanding.</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business in a number of countries. Revenues denominated in functional currencies other than the U.S. dollar were 38% of total revenues for the year ended December 31, 2021, compared with 37% for both the years ended December 31, 2020 and 2019. These transactions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2021, a total of 39 contracts were offsetting our exposures from the euro, pound sterling, Indonesian rupiah, Canadian dollar, Australian dollar, and various other currencies, with notional amounts ranging from $102,000 to $76.3 million. Based on a sensitivity analysis as of December 31, 2021, we estimate that, if foreign currency exchange rates average ten percentage points higher in 2022 for these financial instruments, our financial results in 2022 would not be materially impacted.</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future periods, we may use additional derivative contracts to protect against foreign currency exchange rate risks.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shareholders and the Board of Directors of Itron, Inc.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Itron, Inc. and subsidiaries (the "Company") as of December 31, 2021 and 2020, the related consolidated statements of operations, comprehensive income (loss),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 and our report dated February 28, 2022, expressed an unqualified opinion on the Company's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Recognition — Revenue arrangements involving multiple performance obligations consisting of hardware, software, and professional services such as implementation, project management, installation, and consulting services — Refer to Notes 1 and 17 to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the Company's revenue arrangements involve multiple performance obligations consisting of hardware, software, and professional services such as implementation, project management, installation, and consulting services.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whether contract modifications represent new contracts or modification of existing contracts, whether certain performance obligations are distinct, and other considerations that may impact the timing of revenue recognition.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as a critical audit matter.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and (2) the completeness and accuracy of the revenue recognition computations and entries used to recognize revenue included the following, among others:</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are appropriately applied.</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We tested the effectiveness of controls over revenue recognition computations and entries to determine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For a sample of contracts with customers that included existing contracts, new contracts and contract modifications, we: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Evaluated whether the identified accounting conclusions were appropriately reflected in the revenue recognition computations and entries.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Tested the accuracy and completeness of the data used in the computations and entries to record revenue.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Tested mathematical accuracy of revenue recognition computations and entries.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Goodwill — Device Solutions Reporting Unit — Refer to Notes 1 and 5 to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 Description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evaluation of goodwill for impairment involves the comparison of the fair value of its reporting units to their carrying amounts. The Company evaluates goodwill for impairment at least annually, during the fourth quarter. The Company develops its estimate of fair value of the reporting unit using forecast discounted cash flows at the reporting unit level, which requires the Company to make significant estimates and assumptions related to forecasts of future revenues and operating costs. Changes in these assumptions could have a significant impact on either the fair value, the amount of any goodwill impairment charge, or both. The estimated fair value of Device Solutions ("Devices") reporting unit exceeded its carrying value as of the measurement date and, therefore, no impairment was recognized.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goodwill for Devices as a critical audit matter because of the significant estimates and assumptions the Company makes to estimate the fair value of Devices and the sensitivity of Devices' operations to changes in the Company's financial performance. This required a high degree of auditor judgment and an increased extent of effort, including the involvement of our fair value specialists, when performing audit procedures to evaluate the reasonableness of management's estimates and assumptions related to forecasts of future revenues and operating costs.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How the Critical Audit Matter Was Addressed in the Audit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procedures related to the forecasts of revenue and operating costs ("forecasts") for the Devices reporting unit included the following, among others: </w:t>
      </w:r>
    </w:p>
    <w:p>
      <w:pPr>
        <w:pStyle w:val="TextBody"/>
        <w:spacing w:before="0" w:after="0"/>
        <w:jc w:val="both"/>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tested the effectiveness of controls over management's goodwill impairment evaluation, including those over the determination of the fair value of Devices, such as controls related to the Company's forecasts.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inquired of members of the Company's management responsible for the Devices reporting unit to understand and corroborate management's plan to achieve planned forecast revenue growth.</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We evaluated the reasonableness of management's forecasts by comparing the forecasts to (1) historical results, (2) internal communications to management and the Board of Directors, and (3) forecasted information included in analyst and industry reports as well as press releases of the Company and companies in its peer group.</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With the assistance of our fair value specialists, we evaluated the valuation methodology and long-term forecast growth rates, including testing the underlying source information and the mathematical accuracy of the calculations, and developed a range of independent estimates and compared those to selections made by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2016.</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tbl>
      <w:tblPr>
        <w:tblW w:w="9252" w:type="dxa"/>
        <w:jc w:val="center"/>
        <w:tblInd w:w="0" w:type="dxa"/>
        <w:tblCellMar>
          <w:top w:w="28" w:type="dxa"/>
          <w:left w:w="28" w:type="dxa"/>
          <w:bottom w:w="28" w:type="dxa"/>
          <w:right w:w="28" w:type="dxa"/>
        </w:tblCellMar>
      </w:tblPr>
      <w:tblGrid>
        <w:gridCol w:w="1688"/>
        <w:gridCol w:w="1484"/>
        <w:gridCol w:w="1493"/>
        <w:gridCol w:w="211"/>
        <w:gridCol w:w="976"/>
        <w:gridCol w:w="109"/>
        <w:gridCol w:w="109"/>
        <w:gridCol w:w="109"/>
        <w:gridCol w:w="109"/>
        <w:gridCol w:w="211"/>
        <w:gridCol w:w="976"/>
        <w:gridCol w:w="109"/>
        <w:gridCol w:w="109"/>
        <w:gridCol w:w="109"/>
        <w:gridCol w:w="109"/>
        <w:gridCol w:w="211"/>
        <w:gridCol w:w="976"/>
        <w:gridCol w:w="154"/>
      </w:tblGrid>
      <w:tr>
        <w:trPr/>
        <w:tc>
          <w:tcPr>
            <w:tcW w:w="1688"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14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4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 share data</w:t>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46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 of revenues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1,408,615 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 of revenues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general and administrative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business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Itron,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 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common share -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INCOME (LOSS)</w:t>
      </w:r>
    </w:p>
    <w:tbl>
      <w:tblPr>
        <w:tblW w:w="10205" w:type="dxa"/>
        <w:jc w:val="center"/>
        <w:tblInd w:w="0" w:type="dxa"/>
        <w:tblCellMar>
          <w:top w:w="28" w:type="dxa"/>
          <w:left w:w="28" w:type="dxa"/>
          <w:bottom w:w="28" w:type="dxa"/>
          <w:right w:w="28" w:type="dxa"/>
        </w:tblCellMar>
      </w:tblPr>
      <w:tblGrid>
        <w:gridCol w:w="2286"/>
        <w:gridCol w:w="1998"/>
        <w:gridCol w:w="1972"/>
        <w:gridCol w:w="211"/>
        <w:gridCol w:w="783"/>
        <w:gridCol w:w="109"/>
        <w:gridCol w:w="109"/>
        <w:gridCol w:w="109"/>
        <w:gridCol w:w="109"/>
        <w:gridCol w:w="211"/>
        <w:gridCol w:w="783"/>
        <w:gridCol w:w="109"/>
        <w:gridCol w:w="109"/>
        <w:gridCol w:w="109"/>
        <w:gridCol w:w="109"/>
        <w:gridCol w:w="211"/>
        <w:gridCol w:w="721"/>
        <w:gridCol w:w="157"/>
      </w:tblGrid>
      <w:tr>
        <w:trPr/>
        <w:tc>
          <w:tcPr>
            <w:tcW w:w="2286" w:type="dxa"/>
            <w:tcBorders/>
            <w:shd w:fill="auto" w:val="clear"/>
            <w:vAlign w:val="center"/>
          </w:tcPr>
          <w:p>
            <w:pPr>
              <w:pStyle w:val="TableContents"/>
              <w:spacing w:before="0" w:after="283"/>
              <w:rPr>
                <w:sz w:val="4"/>
                <w:szCs w:val="4"/>
              </w:rPr>
            </w:pPr>
            <w:r>
              <w:rPr>
                <w:sz w:val="4"/>
                <w:szCs w:val="4"/>
              </w:rPr>
            </w:r>
          </w:p>
        </w:tc>
        <w:tc>
          <w:tcPr>
            <w:tcW w:w="1998" w:type="dxa"/>
            <w:tcBorders/>
            <w:shd w:fill="auto" w:val="clear"/>
            <w:vAlign w:val="center"/>
          </w:tcPr>
          <w:p>
            <w:pPr>
              <w:pStyle w:val="TableContents"/>
              <w:spacing w:before="0" w:after="283"/>
              <w:rPr>
                <w:sz w:val="4"/>
                <w:szCs w:val="4"/>
              </w:rPr>
            </w:pPr>
            <w:r>
              <w:rPr>
                <w:sz w:val="4"/>
                <w:szCs w:val="4"/>
              </w:rPr>
            </w:r>
          </w:p>
        </w:tc>
        <w:tc>
          <w:tcPr>
            <w:tcW w:w="19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4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62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2019</w:t>
            </w:r>
          </w:p>
        </w:tc>
      </w:tr>
      <w:tr>
        <w:trPr/>
        <w:tc>
          <w:tcPr>
            <w:tcW w:w="62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 reclassified to net income (loss) on sale of business</w:t>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derivative instruments, designated as cash flow hedges</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 adjustment</w:t>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 net of tax</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comprehensive income (loss), net of tax</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 net of tax</w:t>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Itron,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40,639 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tbl>
      <w:tblPr>
        <w:tblW w:w="10205" w:type="dxa"/>
        <w:jc w:val="center"/>
        <w:tblInd w:w="0" w:type="dxa"/>
        <w:tblCellMar>
          <w:top w:w="28" w:type="dxa"/>
          <w:left w:w="28" w:type="dxa"/>
          <w:bottom w:w="28" w:type="dxa"/>
          <w:right w:w="28" w:type="dxa"/>
        </w:tblCellMar>
      </w:tblPr>
      <w:tblGrid>
        <w:gridCol w:w="2472"/>
        <w:gridCol w:w="2069"/>
        <w:gridCol w:w="2080"/>
        <w:gridCol w:w="261"/>
        <w:gridCol w:w="1209"/>
        <w:gridCol w:w="134"/>
        <w:gridCol w:w="109"/>
        <w:gridCol w:w="109"/>
        <w:gridCol w:w="109"/>
        <w:gridCol w:w="259"/>
        <w:gridCol w:w="1201"/>
        <w:gridCol w:w="193"/>
      </w:tblGrid>
      <w:tr>
        <w:trPr/>
        <w:tc>
          <w:tcPr>
            <w:tcW w:w="2472" w:type="dxa"/>
            <w:tcBorders/>
            <w:shd w:fill="auto" w:val="clear"/>
            <w:vAlign w:val="center"/>
          </w:tcPr>
          <w:p>
            <w:pPr>
              <w:pStyle w:val="TableContents"/>
              <w:spacing w:before="0" w:after="283"/>
              <w:rPr>
                <w:sz w:val="4"/>
                <w:szCs w:val="4"/>
              </w:rPr>
            </w:pPr>
            <w:r>
              <w:rPr>
                <w:sz w:val="4"/>
                <w:szCs w:val="4"/>
              </w:rPr>
            </w:r>
          </w:p>
        </w:tc>
        <w:tc>
          <w:tcPr>
            <w:tcW w:w="2069" w:type="dxa"/>
            <w:tcBorders/>
            <w:shd w:fill="auto" w:val="clear"/>
            <w:vAlign w:val="center"/>
          </w:tcPr>
          <w:p>
            <w:pPr>
              <w:pStyle w:val="TableContents"/>
              <w:spacing w:before="0" w:after="283"/>
              <w:rPr>
                <w:sz w:val="4"/>
                <w:szCs w:val="4"/>
              </w:rPr>
            </w:pPr>
            <w:r>
              <w:rPr>
                <w:sz w:val="4"/>
                <w:szCs w:val="4"/>
              </w:rPr>
            </w:r>
          </w:p>
        </w:tc>
        <w:tc>
          <w:tcPr>
            <w:tcW w:w="208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r>
      <w:tr>
        <w:trPr/>
        <w:tc>
          <w:tcPr>
            <w:tcW w:w="66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2020</w:t>
            </w:r>
          </w:p>
        </w:tc>
      </w:tr>
      <w:tr>
        <w:trPr/>
        <w:tc>
          <w:tcPr>
            <w:tcW w:w="6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6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162,579 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206,933 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298,459 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369,828 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165,799 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182,377 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171,124 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749,929 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930,262 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163,184 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207,816 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 net</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76,142 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42,178 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51,656 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132,955 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1,098,975 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1,131,916 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2,393,790 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2,607,023 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6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193,129 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215,639 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72,591 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Wages and benefits payable</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113,532 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payable</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15,804 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debt</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18,359 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warranty</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28,329 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82,816 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112,928 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501,344 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549,899 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450,228 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902,577 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warranty</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 obligation</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87,863 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119,457 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 net</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57,314 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66,823 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obligations</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138,666 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113,012 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7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1,251,031 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1,766,750 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r>
      <w:tr>
        <w:trPr/>
        <w:tc>
          <w:tcPr>
            <w:tcW w:w="6621" w:type="dxa"/>
            <w:gridSpan w:val="3"/>
            <w:tcBorders/>
            <w:shd w:fill="auto" w:val="clear"/>
            <w:vAlign w:val="center"/>
          </w:tcPr>
          <w:p>
            <w:pPr>
              <w:pStyle w:val="TableContents"/>
              <w:spacing w:before="0" w:after="283"/>
              <w:rPr>
                <w:sz w:val="4"/>
                <w:szCs w:val="4"/>
              </w:rPr>
            </w:pPr>
            <w:r>
              <w:rPr>
                <w:sz w:val="4"/>
                <w:szCs w:val="4"/>
              </w:rPr>
            </w:r>
          </w:p>
        </w:tc>
        <w:tc>
          <w:tcPr>
            <w:tcW w:w="16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53" w:type="dxa"/>
            <w:gridSpan w:val="3"/>
            <w:tcBorders/>
            <w:shd w:fill="auto" w:val="cle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6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no par value, 10,000 shares authorized, no shares issued or outstanding</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 75,000 shares authorized, 45,152 and 40,444 shares issued and outstanding</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1,779,775 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1,389,419 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w:t>
            </w:r>
          </w:p>
        </w:tc>
        <w:tc>
          <w:tcPr>
            <w:tcW w:w="1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(148,098)</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(138,526)</w:t>
            </w:r>
          </w:p>
        </w:tc>
        <w:tc>
          <w:tcPr>
            <w:tcW w:w="1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(515,600)</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(434,345)</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Itron, Inc. shareholders' equity</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816,548 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23,725 </w:t>
            </w:r>
          </w:p>
        </w:tc>
        <w:tc>
          <w:tcPr>
            <w:tcW w:w="1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4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1,142,759 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840,273 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2,393,790 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2,607,023 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tbl>
      <w:tblPr>
        <w:tblW w:w="11021" w:type="dxa"/>
        <w:jc w:val="left"/>
        <w:tblInd w:w="0" w:type="dxa"/>
        <w:tblCellMar>
          <w:top w:w="28" w:type="dxa"/>
          <w:left w:w="28" w:type="dxa"/>
          <w:bottom w:w="28" w:type="dxa"/>
          <w:right w:w="28" w:type="dxa"/>
        </w:tblCellMar>
      </w:tblPr>
      <w:tblGrid>
        <w:gridCol w:w="644"/>
        <w:gridCol w:w="263"/>
        <w:gridCol w:w="264"/>
        <w:gridCol w:w="323"/>
        <w:gridCol w:w="323"/>
        <w:gridCol w:w="196"/>
        <w:gridCol w:w="109"/>
        <w:gridCol w:w="109"/>
        <w:gridCol w:w="109"/>
        <w:gridCol w:w="196"/>
        <w:gridCol w:w="871"/>
        <w:gridCol w:w="109"/>
        <w:gridCol w:w="109"/>
        <w:gridCol w:w="109"/>
        <w:gridCol w:w="109"/>
        <w:gridCol w:w="225"/>
        <w:gridCol w:w="864"/>
        <w:gridCol w:w="127"/>
        <w:gridCol w:w="109"/>
        <w:gridCol w:w="109"/>
        <w:gridCol w:w="109"/>
        <w:gridCol w:w="196"/>
        <w:gridCol w:w="751"/>
        <w:gridCol w:w="109"/>
        <w:gridCol w:w="109"/>
        <w:gridCol w:w="109"/>
        <w:gridCol w:w="109"/>
        <w:gridCol w:w="196"/>
        <w:gridCol w:w="871"/>
        <w:gridCol w:w="109"/>
        <w:gridCol w:w="109"/>
        <w:gridCol w:w="109"/>
        <w:gridCol w:w="109"/>
        <w:gridCol w:w="247"/>
        <w:gridCol w:w="815"/>
        <w:gridCol w:w="139"/>
        <w:gridCol w:w="109"/>
        <w:gridCol w:w="109"/>
        <w:gridCol w:w="109"/>
        <w:gridCol w:w="196"/>
        <w:gridCol w:w="871"/>
        <w:gridCol w:w="154"/>
      </w:tblGrid>
      <w:tr>
        <w:trPr/>
        <w:tc>
          <w:tcPr>
            <w:tcW w:w="644"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Itron, Inc. Shareholders'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January 1, 2019</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1,334,364 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(196,305)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(425,396)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21,385 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734,048 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released net of repurchased shares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 program</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2019</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1,357,600 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(204,672)</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(376,390)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776,538 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24,277 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800,815 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released net of repurchased shares for taxes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2020</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(138,526)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2,957 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 net of tax</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(9,572)</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awards released net of repurchased shares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stock-based compensation awards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plan</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issued related to equity offering</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warrants</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convertible note hedge contracts, net of tax</w:t>
            </w:r>
          </w:p>
        </w:tc>
        <w:tc>
          <w:tcPr>
            <w:tcW w:w="8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Registration fee</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 program</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8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at December 31, 2021</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(148,098)</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(515,600)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1,116,077 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26,682 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ITRON,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tbl>
      <w:tblPr>
        <w:tblW w:w="9956" w:type="dxa"/>
        <w:jc w:val="center"/>
        <w:tblInd w:w="0" w:type="dxa"/>
        <w:tblCellMar>
          <w:top w:w="28" w:type="dxa"/>
          <w:left w:w="28" w:type="dxa"/>
          <w:bottom w:w="28" w:type="dxa"/>
          <w:right w:w="28" w:type="dxa"/>
        </w:tblCellMar>
      </w:tblPr>
      <w:tblGrid>
        <w:gridCol w:w="2219"/>
        <w:gridCol w:w="1953"/>
        <w:gridCol w:w="1962"/>
        <w:gridCol w:w="196"/>
        <w:gridCol w:w="736"/>
        <w:gridCol w:w="109"/>
        <w:gridCol w:w="109"/>
        <w:gridCol w:w="109"/>
        <w:gridCol w:w="109"/>
        <w:gridCol w:w="196"/>
        <w:gridCol w:w="736"/>
        <w:gridCol w:w="109"/>
        <w:gridCol w:w="109"/>
        <w:gridCol w:w="109"/>
        <w:gridCol w:w="109"/>
        <w:gridCol w:w="196"/>
        <w:gridCol w:w="736"/>
        <w:gridCol w:w="154"/>
      </w:tblGrid>
      <w:tr>
        <w:trPr/>
        <w:tc>
          <w:tcPr>
            <w:tcW w:w="2219"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1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1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(56,877)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114,400 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26,960 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prepaid debt fees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sale of business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Restructuring, non-cash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adjustments,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 net of acquisitions: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108,256 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(39,467)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other current liabilities, and taxes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Wages and benefits payable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Unearned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Warranty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172,840 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related to the sale of business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Business acquisitions, net of cash and cash equivalents acquired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investing,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borrowings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on debt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(946,094)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(414,063)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common stock offering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warrants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convertible note hedge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debt fees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financing,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(152,887)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Cash classified within assets held for sale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(9,750)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 and cash equivalents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during the period for:</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net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 on purchase of convertible note hedge contracts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ITRON,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DECEMBER 31, 2021 </w:t>
      </w:r>
    </w:p>
    <w:p>
      <w:pPr>
        <w:pStyle w:val="TextBody"/>
        <w:spacing w:before="0" w:after="0"/>
        <w:jc w:val="center"/>
        <w:rPr/>
      </w:pPr>
      <w:r>
        <w:rPr/>
      </w:r>
    </w:p>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In this Annual Report, the terms "we", "us", "our", "Itron", and the "Company" refer to Itron, Inc.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Summary of Significant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 </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Statement Preparation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2021, 2020, and 2019 and the Consolidated Balance Sheets as of December 31, 2021 and 2020 of Itron, Inc. and its subsidiaries, prepared in accordance with U.S. generally accepted accounting principles (GAAP).</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 </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Risks and Uncertainties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had global economic impacts including disrupting customer demand and global supply chains, resulting in market volatility. The extent of the recent pandemic and its ongoing impact on our operations is volatile, but is being monitored closely by our management. During portions of the first half of 2020 certain of our European factories were closed due to government actions and local conditions, and any further closures that may be imposed on us could impact our future results. New variants of the virus may cause previously lifted restrictions to be reinstated, which could result in more disruptions. Incremental costs we have incurred related to COVID-19, such as personal protective equipment, increased cleaning and sanitizing of our facilities, and other such items, have not been material to date. As economies have reopened, global supply chains have struggled to keep pace with rapidly changing demand. The resulting supply constraints have manifested across a variety of areas including mechanical, electrical and logistics portions of the supply chain, which has impacted our ability to ship products in a timely manner. In particular, our ability to obtain adequate supply of semiconductor components has impacted our ability to service recovering customer demand. While we believe the current imbalance in supply and demand is temporal, the timeline to recovery is uncertain. Efforts are ongoing with suppliers to increase supply, including the approval of alternate sources. Recently, inflation in our raw materials and component costs, freight charges, and labor costs have increased above historical levels, due to, among other things, the continuing impacts of the pandemic and uncertain economic environment. We may or may not be able to fully recover these increased costs through pricing actions with our customers. At this time, we have not identified any significant decrease in long-term customer demand for our products and services. However, certain of our customer projects have experienced delay in deliveries, with originally forecasted 2021 revenue pushed to future periods.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Consolidation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several of our consolidated international subsidiaries, we have joint venture partners, who are minority shareholders. Although these entities are not wholly owned by Itron, we consolidate them because we have a greater than 50% ownership interest or because we exercise control over the operations. The noncontrolling interest balance is adjusted each period to reflect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instruments with remaining maturities of three months or less at the date of acquisition to be cash equivalents.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 and Cash Equivalents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that are contractually restricted from operating use are classified as restricted cash and cash equivalents. We have no restricted cash in all periods presented.</w:t>
      </w:r>
    </w:p>
    <w:p>
      <w:pPr>
        <w:pStyle w:val="TextBody"/>
        <w:spacing w:before="0" w:after="0"/>
        <w:ind w:left="0" w:right="0" w:firstLine="225"/>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credit losses representing our estimate of the expected losses in accounts receivable at the date of the balance sheet based on our historical experience of bad debts, our specific review of outstanding receivables, and our review of current and expected economic conditions. Accounts receivable are written-off against the allowance when we believe an account, or a portion thereof, is no longer collectible.</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Instruments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 or impairment losses recognized in conjunction with an announced or completed sale of a business, which are classified within Loss on sale of business.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Prepaid Debt Fees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debt fees for term debt represent the capitalized direct costs incurred related to the issuance of debt and are recognized as a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any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Business Combinations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are measured and recognized at fair value, and amortized over the estimated useful life.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pStyle w:val="TextBody"/>
        <w:spacing w:before="0" w:after="0"/>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and Intangible Assets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ten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goodwill impairment loss in an amount equal to any excess.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loss contingency is recognized if it is probable that an asset has been impaired or a liability has been incurred, and the amount of the loss can be reasonably estimated. We evaluate, among other factors, the degree of probability of an unfavorable outcome </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Bonus and Profit Sharing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various employee bonus and profit sharing plans, which provide award amounts for the achievement of financial and nonfinancial targets. If management determines it is probable that the discretionary targets will be achieved, and the amounts can be reasonably estimated, a compensation accrual is recognized based on the proportional achievement of the financial and nonfinancial targets. </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Restructuring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Defined Benefit Pension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which arise during the period but that are not recognized as components of net periodic benefit cost. If actuarial gains and losses exceed ten percent of the greater of plan assets or plan liabilities, we amortize them over the employees' average future service period.</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Repurchase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Revenues and Service Revenues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revenues include sales from standard and smart meters, systems or software, and any associated implementation and installation revenue. Service revenues include sales from post-sale maintenance support, consulting, outsourcing, and managed services.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225"/>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revenues consist primarily of hardware sales, but may also include the license of software, software implementation services, cloud services and Software-as-a-Service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 </w:t>
      </w:r>
    </w:p>
    <w:p>
      <w:pPr>
        <w:pStyle w:val="TextBody"/>
        <w:spacing w:before="0" w:after="0"/>
        <w:jc w:val="both"/>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contracts are negotiated as a package with a single commercial objective;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amount of consideration to be paid in one contract depends on the price or performance of the other contract;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goods or services promised in the contracts (or some goods or services promised in each of the contracts) are a single performance obligation.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do not accept product returns unless the item is defective as manufactured. We establish provisions for estimated returns and warranties. In addition, we do not typically provide customers with the right to a refund.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 </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Hardware and software licenses (when not combined with professional services) are typically billed when shipped and revenue recognized at a point-in-time. As a result, the timing of revenue recognition and invoicing does not have a significant impact on contract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Hardware and software post-sale maintenance support fees are recognized over time, ratably over the life of the related service contract. Support fees are typically billed on an annual basis, resulting in a contract liability. Shipping and handling costs and incidental expenses billed to customers are recognized as revenue, with the associated cost charged to cost of revenues. We recognize sales, use, and value added taxes billed to our customers on a net basis.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 terms with customers can vary by customer; however, amounts billed are typically payable within 30 to 90 days, depending on the destination country. We do not typically offer financing as part of our contracts with customers.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and Software Development Costs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grant various stock-based compensation awards to our officers, employees, and Board of Directors with service, performance, and market vesting conditions, including restricted stock units, phantom stock units, and unrestricted stock units (awards). Prior to December 31, 2020, stock options were also granted as part of the stock-based compensation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grant date on zero-coupon U.S. government issues with a term equal to the expected term of the award. The expected term is the remaining term of an award based on the period of time between the grant date and the date the award is expected to vest.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unrestricted stock awards is the market close price of our common stock on the date of grant, and the awards are deemed fully vested. We expense stock-based compensation at the date of grant for unrestricted stock awards.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was estimated at the date of grant using the Black-Scholes option-pricing model. Options to purchase our common stock were granted with an exercise price equal to the market close price of the stock on the date the Board of Directors approved the grant. Options generally became exercisable in three equal annual installments beginning one year from the date of grant and expiring 10 years from the date of grant. Expected volatility was based on a combination of the historical volatility of our common stock and the implied volatility of our traded options for the related expected term. We believe this combined approach was reflective of current and historical market conditions and was an appropriate indicator of expected volatility. The risk-free interest rate was the rate available as of the award date on zero-coupon U.S. government issues with a term equal to the expected term of the award. The expected term was the weighted average expected term of an award based on the period of time between the date the award was granted and the estimated date the award will be fully exercised. Factors considered in estimating the expected term included historical experience of similar awards, contractual terms, vesting schedules, and expectations of future employee behavior.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Excess tax benefits and deficiencies resulting from employee share-based payment are recognized as income tax provision or benefit in the Consolidated Statements of Operations, and as an operating activity on the Consolidated Statements of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maintain an Employee Stock Purchase Plan (ESPP) for our employees. Under the terms of the ESPP, employees can deduct up to 10% of eligible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 </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w:t>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Foreign Exchange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$3.2 million, $2.8 million, and $5.5 million were included in other expenses, net, for the years ended December 31, 2021, 2020, and 2019.</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spacing w:lineRule="auto" w:line="288" w:before="0" w:after="0"/>
        <w:jc w:val="both"/>
        <w:rPr/>
      </w:pPr>
      <w:r>
        <w:rPr>
          <w:rFonts w:ascii="Times New Roman;sans-serif" w:hAnsi="Times New Roman;sans-serif"/>
          <w:b w:val="false"/>
          <w:color w:val="000000"/>
          <w:sz w:val="20"/>
        </w:rPr>
        <w:t xml:space="preserve">In December 2019, the Financial Accounting Standards Board (FASB) issued Accounting Standards Update (ASU) 2019-12, </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which modifies certain provisions of Accounting Standards Codification (ASC) 740, to reduce the complexity of accounting for income taxes. ASU 2019-12 was effective for us beginning with our interim financial reports in 2021. The adoption of this standard did not have a material impact on full year 2021 financial results.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March 2020, the FASB issued ASU 2020-04, </w:t>
      </w:r>
      <w:r>
        <w:rPr>
          <w:rFonts w:ascii="Times New Roman;sans-serif" w:hAnsi="Times New Roman;sans-serif"/>
          <w:b w:val="false"/>
          <w:i/>
          <w:color w:val="000000"/>
          <w:sz w:val="20"/>
        </w:rPr>
        <w:t xml:space="preserve">Reference Rate Reform (Topic 848): Facilitation of the Effects of Reference Rate Reform on Financial Reporting, </w:t>
      </w:r>
      <w:r>
        <w:rPr>
          <w:rFonts w:ascii="Times New Roman;sans-serif" w:hAnsi="Times New Roman;sans-serif"/>
          <w:b w:val="false"/>
          <w:color w:val="000000"/>
          <w:sz w:val="20"/>
        </w:rPr>
        <w:t>which provides optional expedients and exceptions for applying GAAP to contracts, hedging relationships, and other transactions affected by reference rate reform. ASU 2020-04 applies to contracts that reference LIBOR or another reference rate expected to be terminated because of reference rate reform. An entity may elect certain optional expedients for hedging relationships that exist as of December 31, 2022 and maintain those optional expedients through the end of the hedging relationship. ASU 2020-04 can be adopted as of March 12, 2020 or thereafter. In January 2021, the FASB issued ASU 2021-01, which further updates the scope of Topic 848. In December 2021, we adopted this standard and amended one agreement to replace the LIBOR reference with the Chicago Mercantile Exchange (CME) Term Secured Overnight Financing Rate (SOFR). We did not execute any transactions in December 2021 nor do we have any balances outstanding under this agreement as of year end. We have not yet modified any of our debt or derivative instrument agreements. During 2022, we will continue to evaluate our contracts and any agreements will be recognized accordingly in our consolidated financial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August 2020, the FASB issued ASU 2020-06, </w:t>
      </w:r>
      <w:r>
        <w:rPr>
          <w:rFonts w:ascii="Times New Roman;sans-serif" w:hAnsi="Times New Roman;sans-serif"/>
          <w:b w:val="false"/>
          <w:i/>
          <w:color w:val="000000"/>
          <w:sz w:val="20"/>
        </w:rPr>
        <w:t xml:space="preserve">Debt - Debt with Conversion and Other Options (Subtopic 470-20) and Derivatives and Hedging - Contracts in Entity's Own Equity (Subtopic 815-40) - Accounting for Convertible Instruments and Contracts in an Entity's Own Equity </w:t>
      </w:r>
      <w:r>
        <w:rPr>
          <w:rFonts w:ascii="Times New Roman;sans-serif" w:hAnsi="Times New Roman;sans-serif"/>
          <w:b w:val="false"/>
          <w:color w:val="000000"/>
          <w:sz w:val="20"/>
        </w:rPr>
        <w:t>(ASU 2020-06)</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This amendment simplifies the accounting for certain financial instruments with characteristics of liabilities and equity, including convertible instruments and contracts on an entity's own equity. We chose to early adopt ASU 2020-06 beginning January 1, 2021, in relation to our convertible debt issued on March 9, 2021. This amendment had no retrospective changes but impacts how our newly issued convertible debt is both recognized and disclosed. ASU 2020-06 also amends the diluted earnings per share calculation for convertible instruments by requiring the use of the if-converted method. The treasury stock method is no longer available.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Standards Not Yet Adopted</w:t>
      </w:r>
    </w:p>
    <w:p>
      <w:pPr>
        <w:pStyle w:val="TextBody"/>
        <w:spacing w:lineRule="auto" w:line="288" w:before="0" w:after="0"/>
        <w:jc w:val="both"/>
        <w:rPr/>
      </w:pPr>
      <w:r>
        <w:rPr>
          <w:rFonts w:ascii="Times New Roman;sans-serif" w:hAnsi="Times New Roman;sans-serif"/>
          <w:b w:val="false"/>
          <w:color w:val="000000"/>
          <w:sz w:val="20"/>
        </w:rPr>
        <w:t xml:space="preserve">In July 2021, the FASB issued ASU 2021-05, </w:t>
      </w:r>
      <w:r>
        <w:rPr>
          <w:rFonts w:ascii="Times New Roman;sans-serif" w:hAnsi="Times New Roman;sans-serif"/>
          <w:b w:val="false"/>
          <w:i/>
          <w:color w:val="000000"/>
          <w:sz w:val="20"/>
        </w:rPr>
        <w:t>Leases (Topic 842): Lessors-Certain Leases with Variable Lease Payments</w:t>
      </w:r>
      <w:r>
        <w:rPr>
          <w:rFonts w:ascii="Times New Roman;sans-serif" w:hAnsi="Times New Roman;sans-serif"/>
          <w:b w:val="false"/>
          <w:color w:val="000000"/>
          <w:sz w:val="20"/>
        </w:rPr>
        <w:t>. The amendments in this update modify the lease classification requirements for lessors to align them with practice under Topic 840, particularly in the area of day-one loss accounting. Lessors should classify and account for a lease with variable lease payments that do not depend on a reference index or a rate as an operating lease if certain criteria are met. The effective date for this amendment is January 1, 2022 and all interim periods thereafter. We have determined under existing leases where we are the lessor, this amendment will not have a material impact on our financial statements.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October 2021, the FASB issued ASU 2021-08 amending </w:t>
      </w:r>
      <w:r>
        <w:rPr>
          <w:rFonts w:ascii="Times New Roman;sans-serif" w:hAnsi="Times New Roman;sans-serif"/>
          <w:b w:val="false"/>
          <w:i/>
          <w:color w:val="000000"/>
          <w:sz w:val="20"/>
        </w:rPr>
        <w:t>Topic 805: Business Combination</w:t>
      </w:r>
      <w:r>
        <w:rPr>
          <w:color w:val="000000"/>
        </w:rPr>
        <w:t xml:space="preserve"> </w:t>
      </w:r>
      <w:r>
        <w:rPr>
          <w:rFonts w:ascii="Times New Roman;sans-serif" w:hAnsi="Times New Roman;sans-serif"/>
          <w:b w:val="false"/>
          <w:color w:val="000000"/>
          <w:sz w:val="20"/>
        </w:rPr>
        <w:t xml:space="preserve">which was necessary due to 2014-09, </w:t>
      </w:r>
      <w:r>
        <w:rPr>
          <w:rFonts w:ascii="Times New Roman;sans-serif" w:hAnsi="Times New Roman;sans-serif"/>
          <w:b w:val="false"/>
          <w:i/>
          <w:color w:val="000000"/>
          <w:sz w:val="20"/>
        </w:rPr>
        <w:t xml:space="preserve">Revenue from Contracts with Customers (Topic 606). </w:t>
      </w:r>
      <w:r>
        <w:rPr>
          <w:rFonts w:ascii="Times New Roman;sans-serif" w:hAnsi="Times New Roman;sans-serif"/>
          <w:b w:val="false"/>
          <w:color w:val="000000"/>
          <w:sz w:val="20"/>
        </w:rPr>
        <w:t>The FASB is issuing this Update to improve the accounting for acquired revenue contracts with customers in a business combination by addressing diversity in practice and inconsistency related to (1) recognition of an acquired contract liability and (2) payment terms and their effect on subsequent revenue recognized by the acquirer. The effective date for this amendment is January 1, 2023 and all interim periods thereafter. These amendments are to be applied prospectively to business combinations occurring on or after the effective date of the amendments. We currently plan to apply the practical expedient as permitted by this ASU for any future acquisitions.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In November 2021, the FASB issued ASU 2021-10 amending </w:t>
      </w:r>
      <w:r>
        <w:rPr>
          <w:rFonts w:ascii="Times New Roman;sans-serif" w:hAnsi="Times New Roman;sans-serif"/>
          <w:b w:val="false"/>
          <w:i/>
          <w:color w:val="000000"/>
          <w:sz w:val="20"/>
        </w:rPr>
        <w:t>Topic 832: Government Assistance</w:t>
      </w:r>
      <w:r>
        <w:rPr>
          <w:rFonts w:ascii="Times New Roman;sans-serif" w:hAnsi="Times New Roman;sans-serif"/>
          <w:b w:val="false"/>
          <w:color w:val="000000"/>
          <w:sz w:val="20"/>
        </w:rPr>
        <w:t>. The FASB issued this Update to increase the transparency of government assistance including the disclosure of (1) the types of assistance, (2) an entity's accounting for the assistance, and (3) the effect of the assistance on an entity's financial statements. The effective date for this amendment is January 1, 2022. We have determined this amendment will not have a material impact on our financial statements.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Earnings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earnings (loss) per share (EPS):</w:t>
      </w:r>
    </w:p>
    <w:tbl>
      <w:tblPr>
        <w:tblW w:w="7781" w:type="dxa"/>
        <w:jc w:val="left"/>
        <w:tblInd w:w="0" w:type="dxa"/>
        <w:tblCellMar>
          <w:top w:w="28" w:type="dxa"/>
          <w:left w:w="28" w:type="dxa"/>
          <w:bottom w:w="28" w:type="dxa"/>
          <w:right w:w="28" w:type="dxa"/>
        </w:tblCellMar>
      </w:tblPr>
      <w:tblGrid>
        <w:gridCol w:w="1477"/>
        <w:gridCol w:w="1299"/>
        <w:gridCol w:w="1303"/>
        <w:gridCol w:w="196"/>
        <w:gridCol w:w="721"/>
        <w:gridCol w:w="109"/>
        <w:gridCol w:w="109"/>
        <w:gridCol w:w="109"/>
        <w:gridCol w:w="109"/>
        <w:gridCol w:w="196"/>
        <w:gridCol w:w="721"/>
        <w:gridCol w:w="109"/>
        <w:gridCol w:w="109"/>
        <w:gridCol w:w="109"/>
        <w:gridCol w:w="109"/>
        <w:gridCol w:w="196"/>
        <w:gridCol w:w="646"/>
        <w:gridCol w:w="154"/>
      </w:tblGrid>
      <w:tr>
        <w:trPr/>
        <w:tc>
          <w:tcPr>
            <w:tcW w:w="147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available to common shareholders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Basic</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stock-based awards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convertible notes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 Diluted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Basic</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per common share - Diluted</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Stock-based Awards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the future compensation cost associated with the stock award. Approximately 0.5 million, 0.7 million, and 0.4 million stock-based awards were excluded from the calculation of diluted EPS for the years ended December 31, 2021, 2020, and 2019, because they were anti-dilutive. These stock-based awards could be dilutive in future periods.</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Convertible Notes and Warrants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our Convertible Notes issued in March 2021, the dilutive effect is calculated using the if-converted method. We are required, pursuant to the indenture governing our Convertible Notes, to settle the principal amount of the Convertible Notes in cash and may elect to settle the remaining conversion obligation (stock price in excess of conversion price) in cash, shares, or a combination thereof. Under the if-converted method, we include the number of shares required to satisfy the remaining conversion obligation, assuming all the Convertible Notes were converted. The average quarterly closing prices of our common stock for the year ended December 31, 2021 were used as the basis for determining the dilutive effect on EPS. The quarterly average closing prices for our common stock did not exceed the conversion price of $126.00, and therefore all associated shares were anti-dilutive.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conjunction with the issuance of the Convertible Notes, we sold warrants to purchase 3.7 million shares of Itron common stock. The warrants have a strike price of $180.00 per share. For calculating the dilutive effect of the warrants, we use the treasury stock method. With this method, we assume exercise of the warrants at the beginning of the period, or at time of issuance if later, and the issuance of common stock upon exercise. Proceeds from the exercise of the warrants are assumed to be used to repurchase shares of our stock at the average market price during the period. The incremental shares, representing the number of shares assumed to be exercised with the warrants less the number of shares repurchased, are included in diluted weighted average common shares outstanding. For periods where the warrants strike price of $180.00 per share is greater than the average share price of Itron stock for the period, the warrants would be anti-dilutive. For the year ended December 31, 2021, the quarterly average closing prices of our common stock did not exceed the warrant strike price, and therefore 3.7 million shares were considered anti-dilutive.</w:t>
      </w:r>
    </w:p>
    <w:p>
      <w:pPr>
        <w:pStyle w:val="TextBody"/>
        <w:spacing w:before="0" w:after="0"/>
        <w:jc w:val="both"/>
        <w:rPr/>
      </w:pPr>
      <w:r>
        <w:rPr/>
      </w:r>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 Hedge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Convertible Notes, we entered into privately negotiated call option contracts on our common stock (the Convertible Note Hedge Transactions) with certain commercial banks (the Counterparties).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Exercise of the Convertible Note Hedge Transactions would reduce the number of shares of our common stock outstanding and therefore would be anti-dilutive.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Certain Balance Sheet Components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accounts receivable from contracts with customers is as follows:</w:t>
      </w:r>
    </w:p>
    <w:tbl>
      <w:tblPr>
        <w:tblW w:w="7706" w:type="dxa"/>
        <w:jc w:val="left"/>
        <w:tblInd w:w="0" w:type="dxa"/>
        <w:tblCellMar>
          <w:top w:w="28" w:type="dxa"/>
          <w:left w:w="28" w:type="dxa"/>
          <w:bottom w:w="28" w:type="dxa"/>
          <w:right w:w="28" w:type="dxa"/>
        </w:tblCellMar>
      </w:tblPr>
      <w:tblGrid>
        <w:gridCol w:w="1538"/>
        <w:gridCol w:w="1351"/>
        <w:gridCol w:w="1355"/>
        <w:gridCol w:w="291"/>
        <w:gridCol w:w="1093"/>
        <w:gridCol w:w="161"/>
        <w:gridCol w:w="109"/>
        <w:gridCol w:w="109"/>
        <w:gridCol w:w="109"/>
        <w:gridCol w:w="287"/>
        <w:gridCol w:w="1078"/>
        <w:gridCol w:w="225"/>
      </w:tblGrid>
      <w:tr>
        <w:trPr/>
        <w:tc>
          <w:tcPr>
            <w:tcW w:w="1538"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net</w:t>
            </w:r>
          </w:p>
        </w:tc>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42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 of allowance of $5,730 and $1,312)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318,269 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Unbilled receivables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Total accounts receivable, net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298,459 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369,828 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972" w:type="dxa"/>
        <w:jc w:val="left"/>
        <w:tblInd w:w="0" w:type="dxa"/>
        <w:tblCellMar>
          <w:top w:w="28" w:type="dxa"/>
          <w:left w:w="28" w:type="dxa"/>
          <w:bottom w:w="28" w:type="dxa"/>
          <w:right w:w="28" w:type="dxa"/>
        </w:tblCellMar>
      </w:tblPr>
      <w:tblGrid>
        <w:gridCol w:w="1337"/>
        <w:gridCol w:w="1173"/>
        <w:gridCol w:w="1180"/>
        <w:gridCol w:w="196"/>
        <w:gridCol w:w="556"/>
        <w:gridCol w:w="109"/>
        <w:gridCol w:w="109"/>
        <w:gridCol w:w="109"/>
        <w:gridCol w:w="109"/>
        <w:gridCol w:w="196"/>
        <w:gridCol w:w="556"/>
        <w:gridCol w:w="109"/>
        <w:gridCol w:w="109"/>
        <w:gridCol w:w="109"/>
        <w:gridCol w:w="109"/>
        <w:gridCol w:w="196"/>
        <w:gridCol w:w="556"/>
        <w:gridCol w:w="154"/>
      </w:tblGrid>
      <w:tr>
        <w:trPr/>
        <w:tc>
          <w:tcPr>
            <w:tcW w:w="1337"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 account activity</w:t>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(release of) doubtful accounts, net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written-off</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4767" w:type="dxa"/>
        <w:jc w:val="left"/>
        <w:tblInd w:w="0" w:type="dxa"/>
        <w:tblCellMar>
          <w:top w:w="28" w:type="dxa"/>
          <w:left w:w="28" w:type="dxa"/>
          <w:bottom w:w="28" w:type="dxa"/>
          <w:right w:w="28" w:type="dxa"/>
        </w:tblCellMar>
      </w:tblPr>
      <w:tblGrid>
        <w:gridCol w:w="472"/>
        <w:gridCol w:w="416"/>
        <w:gridCol w:w="417"/>
        <w:gridCol w:w="291"/>
        <w:gridCol w:w="1093"/>
        <w:gridCol w:w="161"/>
        <w:gridCol w:w="109"/>
        <w:gridCol w:w="109"/>
        <w:gridCol w:w="109"/>
        <w:gridCol w:w="287"/>
        <w:gridCol w:w="1078"/>
        <w:gridCol w:w="225"/>
      </w:tblGrid>
      <w:tr>
        <w:trPr/>
        <w:tc>
          <w:tcPr>
            <w:tcW w:w="472"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tc>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114,058 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60,225 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165,799 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182,377 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tbl>
      <w:tblPr>
        <w:tblW w:w="7632" w:type="dxa"/>
        <w:jc w:val="left"/>
        <w:tblInd w:w="0" w:type="dxa"/>
        <w:tblCellMar>
          <w:top w:w="28" w:type="dxa"/>
          <w:left w:w="28" w:type="dxa"/>
          <w:bottom w:w="28" w:type="dxa"/>
          <w:right w:w="28" w:type="dxa"/>
        </w:tblCellMar>
      </w:tblPr>
      <w:tblGrid>
        <w:gridCol w:w="1511"/>
        <w:gridCol w:w="1328"/>
        <w:gridCol w:w="1331"/>
        <w:gridCol w:w="291"/>
        <w:gridCol w:w="1093"/>
        <w:gridCol w:w="161"/>
        <w:gridCol w:w="109"/>
        <w:gridCol w:w="109"/>
        <w:gridCol w:w="109"/>
        <w:gridCol w:w="287"/>
        <w:gridCol w:w="1078"/>
        <w:gridCol w:w="225"/>
      </w:tblGrid>
      <w:tr>
        <w:trPr/>
        <w:tc>
          <w:tcPr>
            <w:tcW w:w="1511" w:type="dxa"/>
            <w:tcBorders/>
            <w:shd w:fill="auto" w:val="clear"/>
            <w:vAlign w:val="center"/>
          </w:tcPr>
          <w:p>
            <w:pPr>
              <w:pStyle w:val="TableContents"/>
              <w:spacing w:before="0" w:after="283"/>
              <w:rPr>
                <w:sz w:val="4"/>
                <w:szCs w:val="4"/>
              </w:rPr>
            </w:pPr>
            <w:r>
              <w:rPr>
                <w:sz w:val="4"/>
                <w:szCs w:val="4"/>
              </w:rPr>
            </w:r>
          </w:p>
        </w:tc>
        <w:tc>
          <w:tcPr>
            <w:tcW w:w="1328"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Property, plant, and equipment, net</w:t>
            </w:r>
          </w:p>
        </w:tc>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41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334,050 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111,540 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115,776 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Buildings, furniture, and improvements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131,764 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155,676 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 including purchased equipment</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cost</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651,230 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(443,101)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(443,414)</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163,184 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207,816 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5441" w:type="dxa"/>
        <w:jc w:val="left"/>
        <w:tblInd w:w="0" w:type="dxa"/>
        <w:tblCellMar>
          <w:top w:w="28" w:type="dxa"/>
          <w:left w:w="28" w:type="dxa"/>
          <w:bottom w:w="28" w:type="dxa"/>
          <w:right w:w="28" w:type="dxa"/>
        </w:tblCellMar>
      </w:tblPr>
      <w:tblGrid>
        <w:gridCol w:w="684"/>
        <w:gridCol w:w="601"/>
        <w:gridCol w:w="604"/>
        <w:gridCol w:w="196"/>
        <w:gridCol w:w="646"/>
        <w:gridCol w:w="109"/>
        <w:gridCol w:w="109"/>
        <w:gridCol w:w="109"/>
        <w:gridCol w:w="109"/>
        <w:gridCol w:w="196"/>
        <w:gridCol w:w="646"/>
        <w:gridCol w:w="109"/>
        <w:gridCol w:w="109"/>
        <w:gridCol w:w="109"/>
        <w:gridCol w:w="109"/>
        <w:gridCol w:w="196"/>
        <w:gridCol w:w="646"/>
        <w:gridCol w:w="154"/>
      </w:tblGrid>
      <w:tr>
        <w:trPr/>
        <w:tc>
          <w:tcPr>
            <w:tcW w:w="684"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Depreciation expense</w:t>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On November 2, 2021, Itron entered into an agreement to sell certain of its Gas device businesses and operations to Dresser Utility Solutions (Dresser). The asset disposal group, which includes $0.8 million of accounts receivable, $15.4 million of inventories, and $12.0 million of property, plant, and equipment, was classified as held for sale during the fourth quarter of 2021. </w:t>
      </w:r>
      <w:r>
        <w:rPr>
          <w:rFonts w:ascii="Times New Roman;sans-serif" w:hAnsi="Times New Roman;sans-serif"/>
          <w:b w:val="false"/>
          <w:color w:val="000000"/>
          <w:sz w:val="20"/>
        </w:rPr>
        <w:t>Refer to Note 18: Sale of Businesses for additional information on the transaction.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4:    Intangible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 and accumulated amortization (accretion) of our intangible assets and liabilities, other than goodwill, were as follows:</w:t>
      </w:r>
    </w:p>
    <w:tbl>
      <w:tblPr>
        <w:tblW w:w="10205" w:type="dxa"/>
        <w:jc w:val="left"/>
        <w:tblInd w:w="0" w:type="dxa"/>
        <w:tblCellMar>
          <w:top w:w="28" w:type="dxa"/>
          <w:left w:w="28" w:type="dxa"/>
          <w:bottom w:w="28" w:type="dxa"/>
          <w:right w:w="28" w:type="dxa"/>
        </w:tblCellMar>
      </w:tblPr>
      <w:tblGrid>
        <w:gridCol w:w="614"/>
        <w:gridCol w:w="525"/>
        <w:gridCol w:w="388"/>
        <w:gridCol w:w="196"/>
        <w:gridCol w:w="736"/>
        <w:gridCol w:w="109"/>
        <w:gridCol w:w="109"/>
        <w:gridCol w:w="109"/>
        <w:gridCol w:w="109"/>
        <w:gridCol w:w="258"/>
        <w:gridCol w:w="991"/>
        <w:gridCol w:w="144"/>
        <w:gridCol w:w="109"/>
        <w:gridCol w:w="109"/>
        <w:gridCol w:w="109"/>
        <w:gridCol w:w="196"/>
        <w:gridCol w:w="646"/>
        <w:gridCol w:w="109"/>
        <w:gridCol w:w="109"/>
        <w:gridCol w:w="109"/>
        <w:gridCol w:w="109"/>
        <w:gridCol w:w="196"/>
        <w:gridCol w:w="871"/>
        <w:gridCol w:w="109"/>
        <w:gridCol w:w="109"/>
        <w:gridCol w:w="109"/>
        <w:gridCol w:w="109"/>
        <w:gridCol w:w="258"/>
        <w:gridCol w:w="991"/>
        <w:gridCol w:w="144"/>
        <w:gridCol w:w="109"/>
        <w:gridCol w:w="109"/>
        <w:gridCol w:w="109"/>
        <w:gridCol w:w="196"/>
        <w:gridCol w:w="736"/>
        <w:gridCol w:w="157"/>
      </w:tblGrid>
      <w:tr>
        <w:trPr/>
        <w:tc>
          <w:tcPr>
            <w:tcW w:w="614"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 Accretion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5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Core-developed technology</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(491,047)</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(498,113)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26,938 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 and relationships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(261,043)</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(280,497)</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102,748 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and trade names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(72,133)</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(76,912)</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(11,560)</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9" w:type="dxa"/>
            <w:gridSpan w:val="3"/>
            <w:tcBorders/>
            <w:shd w:fill="auto" w:val="cle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(835,893)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(867,082)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Intangible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contracts and relationships</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21,479 </w:t>
            </w:r>
          </w:p>
        </w:tc>
        <w:tc>
          <w:tcPr>
            <w:tcW w:w="14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intangible assets and liabilities activity is as follows:</w:t>
      </w:r>
    </w:p>
    <w:tbl>
      <w:tblPr>
        <w:tblW w:w="6038" w:type="dxa"/>
        <w:jc w:val="left"/>
        <w:tblInd w:w="0" w:type="dxa"/>
        <w:tblCellMar>
          <w:top w:w="28" w:type="dxa"/>
          <w:left w:w="28" w:type="dxa"/>
          <w:bottom w:w="28" w:type="dxa"/>
          <w:right w:w="28" w:type="dxa"/>
        </w:tblCellMar>
      </w:tblPr>
      <w:tblGrid>
        <w:gridCol w:w="1200"/>
        <w:gridCol w:w="1052"/>
        <w:gridCol w:w="1062"/>
        <w:gridCol w:w="196"/>
        <w:gridCol w:w="871"/>
        <w:gridCol w:w="109"/>
        <w:gridCol w:w="109"/>
        <w:gridCol w:w="109"/>
        <w:gridCol w:w="109"/>
        <w:gridCol w:w="196"/>
        <w:gridCol w:w="871"/>
        <w:gridCol w:w="154"/>
      </w:tblGrid>
      <w:tr>
        <w:trPr/>
        <w:tc>
          <w:tcPr>
            <w:tcW w:w="1200"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gross 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acquired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reclassified to held for sale</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disposed in sale of business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gross ending balance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gross beginning balance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liabilities, gross ending balance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Assumed intangible liabilities reflect the present value of the projected cash outflows for an existing contract where remaining costs are expected to exceed projected revenues.</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On October 12, 2021, we completed the acquisition of </w:t>
      </w:r>
      <w:r>
        <w:rPr>
          <w:rFonts w:ascii="Times New Roman;sans-serif" w:hAnsi="Times New Roman;sans-serif"/>
          <w:b w:val="false"/>
          <w:color w:val="000000"/>
          <w:sz w:val="20"/>
        </w:rPr>
        <w:t>100% of the shares of SELC Group Limited (SELC), a private limited company incorporated in Ireland. SELC was previously a technology supplier to Itron. 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 The purchase was funded through cash on hand and resulted in the additions of intangible assets of $2.1 million and goodwill. Refer to Note 5: Goodwill for additional information on goodwill.</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On November 2, 2021, Itron entered into an agreement to sell certain of its Gas device businesses and operations to Dresser. The asset disposal group, which includes $3.4 million of net intangible assets, was classified as held for sale during the fourth quarter of 2021. Refer to </w:t>
      </w:r>
      <w:r>
        <w:rPr>
          <w:rFonts w:ascii="Times New Roman;sans-serif" w:hAnsi="Times New Roman;sans-serif"/>
          <w:b w:val="false"/>
          <w:color w:val="000000"/>
          <w:sz w:val="20"/>
        </w:rPr>
        <w:t>Note 18: Sale of Businesses for additional information on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disposal of intangible assets in 2020 was related to the sale of our Latin America business. The net book value of these assets was $0.8 million at the disposal date. Refer to Note 18: Sale of Businesses for additional information on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future annual amortization (accretion) is as follows:</w:t>
      </w:r>
    </w:p>
    <w:tbl>
      <w:tblPr>
        <w:tblW w:w="9687" w:type="dxa"/>
        <w:jc w:val="left"/>
        <w:tblInd w:w="0" w:type="dxa"/>
        <w:tblCellMar>
          <w:top w:w="28" w:type="dxa"/>
          <w:left w:w="28" w:type="dxa"/>
          <w:bottom w:w="28" w:type="dxa"/>
          <w:right w:w="28" w:type="dxa"/>
        </w:tblCellMar>
      </w:tblPr>
      <w:tblGrid>
        <w:gridCol w:w="1486"/>
        <w:gridCol w:w="1310"/>
        <w:gridCol w:w="1314"/>
        <w:gridCol w:w="232"/>
        <w:gridCol w:w="764"/>
        <w:gridCol w:w="130"/>
        <w:gridCol w:w="109"/>
        <w:gridCol w:w="109"/>
        <w:gridCol w:w="109"/>
        <w:gridCol w:w="222"/>
        <w:gridCol w:w="496"/>
        <w:gridCol w:w="125"/>
        <w:gridCol w:w="109"/>
        <w:gridCol w:w="109"/>
        <w:gridCol w:w="109"/>
        <w:gridCol w:w="580"/>
        <w:gridCol w:w="1915"/>
        <w:gridCol w:w="459"/>
      </w:tblGrid>
      <w:tr>
        <w:trPr/>
        <w:tc>
          <w:tcPr>
            <w:tcW w:w="1486"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91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Accretion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Annual Amortization, net</w:t>
            </w:r>
          </w:p>
        </w:tc>
      </w:tr>
      <w:tr>
        <w:trPr/>
        <w:tc>
          <w:tcPr>
            <w:tcW w:w="41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5577" w:type="dxa"/>
            <w:gridSpan w:val="1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2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26,688 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26,229 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19,285 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15,289 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15,289 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14,499 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14,499 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10,432 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10,432 </w:t>
            </w:r>
          </w:p>
        </w:tc>
        <w:tc>
          <w:tcPr>
            <w:tcW w:w="4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6,336 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 subject to amortization (accretion)</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92,529 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92,070 </w:t>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5457" w:type="dxa"/>
        <w:jc w:val="left"/>
        <w:tblInd w:w="0" w:type="dxa"/>
        <w:tblCellMar>
          <w:top w:w="28" w:type="dxa"/>
          <w:left w:w="28" w:type="dxa"/>
          <w:bottom w:w="28" w:type="dxa"/>
          <w:right w:w="28" w:type="dxa"/>
        </w:tblCellMar>
      </w:tblPr>
      <w:tblGrid>
        <w:gridCol w:w="691"/>
        <w:gridCol w:w="605"/>
        <w:gridCol w:w="609"/>
        <w:gridCol w:w="196"/>
        <w:gridCol w:w="646"/>
        <w:gridCol w:w="109"/>
        <w:gridCol w:w="109"/>
        <w:gridCol w:w="109"/>
        <w:gridCol w:w="109"/>
        <w:gridCol w:w="196"/>
        <w:gridCol w:w="646"/>
        <w:gridCol w:w="109"/>
        <w:gridCol w:w="109"/>
        <w:gridCol w:w="109"/>
        <w:gridCol w:w="109"/>
        <w:gridCol w:w="196"/>
        <w:gridCol w:w="646"/>
        <w:gridCol w:w="154"/>
      </w:tblGrid>
      <w:tr>
        <w:trPr/>
        <w:tc>
          <w:tcPr>
            <w:tcW w:w="69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Amortization Expense</w:t>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9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recognized amortization expense within operating expenses in the Consolidated Statements of Operations. These expenses relate to intangible assets acquired and liabilities assumed as part of business combinations.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Goodwill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changes in the carrying amount of goodwill for the years ended December 31, 2021 and 2020:</w:t>
      </w:r>
    </w:p>
    <w:tbl>
      <w:tblPr>
        <w:tblW w:w="9445" w:type="dxa"/>
        <w:jc w:val="center"/>
        <w:tblInd w:w="0" w:type="dxa"/>
        <w:tblCellMar>
          <w:top w:w="28" w:type="dxa"/>
          <w:left w:w="28" w:type="dxa"/>
          <w:bottom w:w="28" w:type="dxa"/>
          <w:right w:w="28" w:type="dxa"/>
        </w:tblCellMar>
      </w:tblPr>
      <w:tblGrid>
        <w:gridCol w:w="1076"/>
        <w:gridCol w:w="943"/>
        <w:gridCol w:w="951"/>
        <w:gridCol w:w="281"/>
        <w:gridCol w:w="927"/>
        <w:gridCol w:w="156"/>
        <w:gridCol w:w="109"/>
        <w:gridCol w:w="109"/>
        <w:gridCol w:w="109"/>
        <w:gridCol w:w="324"/>
        <w:gridCol w:w="1220"/>
        <w:gridCol w:w="180"/>
        <w:gridCol w:w="109"/>
        <w:gridCol w:w="109"/>
        <w:gridCol w:w="109"/>
        <w:gridCol w:w="196"/>
        <w:gridCol w:w="736"/>
        <w:gridCol w:w="109"/>
        <w:gridCol w:w="109"/>
        <w:gridCol w:w="109"/>
        <w:gridCol w:w="109"/>
        <w:gridCol w:w="219"/>
        <w:gridCol w:w="974"/>
        <w:gridCol w:w="172"/>
      </w:tblGrid>
      <w:tr>
        <w:trPr/>
        <w:tc>
          <w:tcPr>
            <w:tcW w:w="1076"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Device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Networked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Outcomes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Company</w:t>
            </w:r>
          </w:p>
        </w:tc>
      </w:tr>
      <w:tr>
        <w:trPr/>
        <w:tc>
          <w:tcPr>
            <w:tcW w:w="29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January 1, 2020</w:t>
            </w:r>
          </w:p>
        </w:tc>
        <w:tc>
          <w:tcPr>
            <w:tcW w:w="2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908,088 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1,103,907 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allocated to business sold</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25,726 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December 31, 2020</w:t>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933,814 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1,131,916 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reclassified to held for sale</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acquired</w:t>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5,440 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(21,249)</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(25,581)</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70" w:type="dxa"/>
            <w:gridSpan w:val="3"/>
            <w:tcBorders/>
            <w:shd w:fill="auto" w:val="clear"/>
            <w:vAlign w:val="center"/>
          </w:tcPr>
          <w:p>
            <w:pPr>
              <w:pStyle w:val="TableContents"/>
              <w:spacing w:before="0" w:after="283"/>
              <w:rPr>
                <w:sz w:val="4"/>
                <w:szCs w:val="4"/>
              </w:rPr>
            </w:pPr>
            <w:r>
              <w:rPr>
                <w:sz w:val="4"/>
                <w:szCs w:val="4"/>
              </w:rPr>
            </w:r>
          </w:p>
        </w:tc>
        <w:tc>
          <w:tcPr>
            <w:tcW w:w="13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balance at December 31, 2021</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918,005 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1,098,975 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accumulated goodwill impairment losses at December 31, 2021 and 2020 were $676.5 million. The goodwill impairment losses were originally recognized in 2011 and 2013.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12, 2021, we acquired SELC Group Limited (SELC), from Sensus Metering Systems (LUXCO3) S.ár.l. The purchase resulted in the recognition of $5.4 million in goodwill allocated to our Networked Solutions segment. Refer to Note 4: Intangible Assets and Liabilities for additional information on the transaction.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 xml:space="preserve">On November 2, 2021, Itron entered into an agreement to sell certain of its Gas device businesses and operations to Dresser. The asset disposal group, which includes $12.8 million of goodwill, was classified as held for sale during the fourth quarter of 2021. </w:t>
      </w:r>
      <w:r>
        <w:rPr>
          <w:rFonts w:ascii="Times New Roman;sans-serif" w:hAnsi="Times New Roman;sans-serif"/>
          <w:b w:val="false"/>
          <w:color w:val="000000"/>
          <w:sz w:val="20"/>
        </w:rPr>
        <w:t>Refer to Note 18: Sale of Businesses for additional information on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a $3.0 million reduction in Device Solutions goodwill as part of our loss on sale of business in 2020. Refer to Note 18: Sale of Businesses for additional information on the transaction.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we first evaluate the long-lived assets within the reporting unit for impairment and then recognize a goodwill impairment loss in an amount equal to any excess.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 Based on the results of the annual impairment testing for our reporting units performed as of October 1, 2021, no adjustments to the carrying value of goodwill were required.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Debt</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our borrowings were as follows:</w:t>
      </w:r>
    </w:p>
    <w:tbl>
      <w:tblPr>
        <w:tblW w:w="7466" w:type="dxa"/>
        <w:jc w:val="left"/>
        <w:tblInd w:w="0" w:type="dxa"/>
        <w:tblCellMar>
          <w:top w:w="28" w:type="dxa"/>
          <w:left w:w="28" w:type="dxa"/>
          <w:bottom w:w="28" w:type="dxa"/>
          <w:right w:w="28" w:type="dxa"/>
        </w:tblCellMar>
      </w:tblPr>
      <w:tblGrid>
        <w:gridCol w:w="1450"/>
        <w:gridCol w:w="1271"/>
        <w:gridCol w:w="1283"/>
        <w:gridCol w:w="291"/>
        <w:gridCol w:w="1093"/>
        <w:gridCol w:w="161"/>
        <w:gridCol w:w="109"/>
        <w:gridCol w:w="109"/>
        <w:gridCol w:w="109"/>
        <w:gridCol w:w="287"/>
        <w:gridCol w:w="1078"/>
        <w:gridCol w:w="225"/>
      </w:tblGrid>
      <w:tr>
        <w:trPr/>
        <w:tc>
          <w:tcPr>
            <w:tcW w:w="1450"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5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USD denominated term loan</w:t>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536,094 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936,094 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debt</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term loan</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senior notes</w:t>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prepaid debt fees - convertible notes</w:t>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450,228 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902,577 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spacing w:lineRule="auto" w:line="288" w:before="0" w:after="0"/>
        <w:jc w:val="both"/>
        <w:rPr/>
      </w:pPr>
      <w:r>
        <w:rPr>
          <w:rFonts w:ascii="Times New Roman;sans-serif" w:hAnsi="Times New Roman;sans-serif"/>
          <w:b w:val="false"/>
          <w:color w:val="000000"/>
          <w:sz w:val="20"/>
        </w:rPr>
        <w:t>On October 18, 2019</w:t>
      </w:r>
      <w:r>
        <w:rPr>
          <w:rFonts w:ascii="Times New Roman;sans-serif" w:hAnsi="Times New Roman;sans-serif"/>
          <w:b w:val="false"/>
          <w:color w:val="0000FF"/>
          <w:sz w:val="20"/>
        </w:rPr>
        <w:t>,</w:t>
      </w:r>
      <w:r>
        <w:rPr>
          <w:color w:val="000000"/>
        </w:rPr>
        <w:t xml:space="preserve"> </w:t>
      </w:r>
      <w:r>
        <w:rPr>
          <w:rFonts w:ascii="Times New Roman;sans-serif" w:hAnsi="Times New Roman;sans-serif"/>
          <w:b w:val="false"/>
          <w:color w:val="000000"/>
          <w:sz w:val="20"/>
        </w:rPr>
        <w:t xml:space="preserve">we amended our credit facility that was initially entered on January 5, 2018 (as amended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Through the third quarter of 2020, amounts not borrowed under the revolver were subject to a commitment fee, which was paid in arrears on the last day of each fiscal quarter, ranging from 0.15% to 0.25% and drawn amounts were subject to a margin ranging from 1.00% to 1.75%.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2020, we completed a second amendment to our 2018 credit facility. This amendment adjusts the maximum total net leverage ratio thresholds for the period beginning with the fourth quarter of 2020 through the fourth quarter of 2021 to allow for increased operational flexibility. The maximum leverage ratio is increased to 4.75:1 for the fourth quarter of 2020 and the first quarter of 2021 and 4.50:1 for the second quarter through the fourth quarter of 2021. An additional level of pricing was added to the existing pricing grid and is effective throughout the remaining term of the 2018 credit facility. Beginning with the fourth quarter of 2020, the commitment fee ranges from 0.15% to 0.30% and drawn amounts are subject to a margin ranging from 1.00% to 2.00%. Debt fees of approximately $1.4 million were incurred for the amendment, as well as other legal and advisory fees.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2021, we entered into a third amendment to our 2018 credit facility, which modified provisions to permit cash settlement upon the conversion of the Convertible Notes, the Convertible Note Hedge Transactions and Warrant Transactions and also to adjust certain settlement provisions for convertible indebtedness. See Note 7: Derivative Financial Instruments for further details of the Convertible Note Hedge Transactions and Warrant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25, 2022, we entered into a fourth amendment to our 2018 credit facility, which modifies to allow for the addback of non-cash expenses related to restructuring charges incurred during the quarter ended December 31, 2021 and also adjusts the maximum total net leverage ratio thresholds for the period beginning with the first quarter of 2022 through the fourth quarter of 2022 to allow for increased operational flexibility. The maximum leverage ratio is increased to 4.75:1 for the first through third quarters of 2022 and 4.50:1 for the fourth quarter of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2018 credit facility permits us and certain of our foreign subsidiaries to borrow in U.S. dollars, euros, or, with lender approval, other currencies readily convertible into U.S. dollars.</w:t>
      </w:r>
      <w:r>
        <w:rPr>
          <w:color w:val="000000"/>
          <w:highlight w:val="white"/>
        </w:rPr>
        <w:t xml:space="preserve"> </w:t>
      </w:r>
      <w:r>
        <w:rPr>
          <w:rFonts w:ascii="Times New Roman;sans-serif" w:hAnsi="Times New Roman;sans-serif"/>
          <w:b w:val="false"/>
          <w:color w:val="000000"/>
          <w:sz w:val="20"/>
          <w:highlight w:val="white"/>
        </w:rPr>
        <w:t>All obligations under the 2018 credit facility are guaranteed by Itron, Inc. and material U.S. domestic subsidiaries and are secured by a pledge of substantially all of the assets of Itron, Inc. and material U.S. domestic subsidiaries. This includes a pledge of 100% of 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w:t>
      </w:r>
      <w:r>
        <w:rPr>
          <w:color w:val="000000"/>
        </w:rPr>
        <w:t xml:space="preserve"> </w:t>
      </w:r>
      <w:r>
        <w:rPr>
          <w:rFonts w:ascii="Times New Roman;sans-serif" w:hAnsi="Times New Roman;sans-serif"/>
          <w:b w:val="false"/>
          <w:color w:val="000000"/>
          <w:sz w:val="20"/>
        </w:rPr>
        <w:t xml:space="preserve">debt covenants, which contain certain </w:t>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thresholds and place certain restrictions on the incurrence of debt, investments, and the issuance of dividends. We were in compliance with the debt covenants under the 2018 credit facility at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2018 credit facility, we elect applicable market interest rates for both the term loan and any outstanding revolving loans. We also pay an applicable margin, which is based on our total net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 month LIBOR plus 1.00%. On August 12, 2021, the term loan was fully repaid.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At December 31, 2021 there was no amount outstanding under the revolver, and $64.4 million was utilized by outstanding standby letters of credit, resulting in $435.6 million available for additional borrowings or standby letters of credit. At December 31, 2021</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 xml:space="preserve">$235.6 million was available for additional standby letters of credit under the letter of credit sub-facility, and no amounts were outstanding under the swingline sub-facility. </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Notes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2017 and January 2018, we issued $300 million and $100 million, of aggregate principal amount of 5.00% senior notes maturing January 15, 2026 (Senior Notes). The proceeds were used to refinance existing indebtedness related to the acquisition of Silver Spring Networks, Inc., pay related fees and expenses, and for general corporate purposes. Interest on the Senior Notes was payable semi-annually in arrears on January 15 and July 15. The Senior Notes were fully and unconditionally guaranteed, jointly and severally, on a senior unsecured basis by each of our subsidiaries that guarantee the senior credit facilities.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9, 2021, we submitted a Notice of Redemption to the trustee to redeem all outstanding Senior Notes at a redemption price of 102.50%, in accordance with the indenture governing the Senior Notes, totaling $410.0 million. As of April 8, 2021 the Senior Notes were fully discharged, and no principal or unpaid interest remains outstanding. The 2.5%, or $10.0 million, early redemption premium and write off of $11.1 million prepaid debt fees were recognized upon redemption in the second quarter of 2021.</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Convertible Notes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we closed the sale of the Convertible Notes in a private placement to qualified institutional buyers, resulting in net proceeds to us of $448.5 million after deducting initial purchasers' discounts of the offering. The Convertible Notes do not bear regular interest, and the principal amount does not accrete. The Convertible Notes will mature on March 15, 2026, unless earlier repurchased, redeemed, or converted in accordance with their terms. No sinking fund is provided for the Convertible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conversion rate of the Convertible Notes is 7.9365 shares of our common stock per $1,000 principal amount of notes, which is equivalent to an initial conversion price of approximately $126.00 per share. The conversion rate of the Convertible Notes is subject to adjustment upon the occurrence of certain specified events. In addition, upon the occurrence of a make-whole fundamental change (as defined in the indenture governing the Convertible Notes) or upon a notice of redemption, we will, in certain circumstances, increase the conversion rate for a holder that elects to convert its Convertible Notes in connection with such make-whole fundamental change or notice of redemption, as the case may be.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15, 2025, the Convertible Notes are convertible at the option of the holders only under the following circumstances: (1) during any calendar quarter commencing after the calendar quarter ending on June 30, 2021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 (2) during the five business-day period after any five consecutive trading-day period (the measurement period) in which the trading price per $1,000 principal amount of Convertible Notes for each trading day of the measurement period was less than 98% of the product of the last reported sale price of the common stock and the conversion rate on each such trading day; (3) upon the occurrence of specified corporate events; or (4) upon redemption by us. On or after December 15, 2025, until the close of business on the second scheduled trading day immediately preceding March 15, 2026, holders of the Convertible Notes may convert all or a portion of their notes at any time. Upon conversion, we will pay cash up to the aggregate principal amount of Convertible Notes to be converted and pay and/or deliver, as the case may be, cash, shares of common stock or a combination of cash and shares of common stock, at our election, in respect of the remainder, if any, of our conversion obligation in excess of the aggregate principal amount of the Convertible Notes being converted.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March 20, 2024 and prior to December 15, 2025,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 The redemption price of each Convertible Notes to be redeemed will be the principal amount of such note, plus accrued and unpaid special interest, if any. Upon the occurrence of a fundamental change (as defined in the indenture governing the Convertible Notes), subject to a limited exception described in the indenture governing the Convertible Notes, holders may require us to repurchase all or a portion of their notes for cash at a price equal to plus accrued and unpaid special interest to, but not including, the fundamental change repurchase date (as defined in the indenture governing the Convertible Notes).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senior unsecured obligations and rank equally in right of payment with all of our existing and future unsubordinated debt and senior in right of payment to any future debt that is expressly subordinated in right of payment to the Convertible Notes. The Convertible Notes will be effectively subordinated to any of our existing and future secured debt to the extent of the assets securing such indebtedness. The Convertible Notes will be structurally subordinated to all existing debt and any future debt and any other liabilities of our subsidiaries.</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Maturities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required minimum principal payments on our long-term debt in aggregate over the next five years, is as follows:</w:t>
      </w:r>
    </w:p>
    <w:tbl>
      <w:tblPr>
        <w:tblW w:w="4528" w:type="dxa"/>
        <w:jc w:val="left"/>
        <w:tblInd w:w="0" w:type="dxa"/>
        <w:tblCellMar>
          <w:top w:w="28" w:type="dxa"/>
          <w:left w:w="28" w:type="dxa"/>
          <w:bottom w:w="28" w:type="dxa"/>
          <w:right w:w="28" w:type="dxa"/>
        </w:tblCellMar>
      </w:tblPr>
      <w:tblGrid>
        <w:gridCol w:w="902"/>
        <w:gridCol w:w="793"/>
        <w:gridCol w:w="795"/>
        <w:gridCol w:w="109"/>
        <w:gridCol w:w="109"/>
        <w:gridCol w:w="109"/>
        <w:gridCol w:w="308"/>
        <w:gridCol w:w="1159"/>
        <w:gridCol w:w="244"/>
      </w:tblGrid>
      <w:tr>
        <w:trPr/>
        <w:tc>
          <w:tcPr>
            <w:tcW w:w="90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Minimum Payments</w:t>
            </w:r>
          </w:p>
        </w:tc>
      </w:tr>
      <w:tr>
        <w:trPr/>
        <w:tc>
          <w:tcPr>
            <w:tcW w:w="2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minimum payments on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460,000 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Derivative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strategy, we use derivative instruments to hedge certain foreign currency and interest rate exposures. Refer to Note 1: Summary of Significant Accounting Policies, Note 14: Shareholders' Equity and Note 15: Fair Value of Financial Instruments for additional disclosures on our derivative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our derivative instruments are determined using the income approach and significant other observable inputs (and are classified as "Level 2" in the fair value hierarchy).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derivative instruments were as follows:</w:t>
      </w:r>
    </w:p>
    <w:tbl>
      <w:tblPr>
        <w:tblW w:w="8896" w:type="dxa"/>
        <w:jc w:val="left"/>
        <w:tblInd w:w="0" w:type="dxa"/>
        <w:tblCellMar>
          <w:top w:w="28" w:type="dxa"/>
          <w:left w:w="28" w:type="dxa"/>
          <w:bottom w:w="28" w:type="dxa"/>
          <w:right w:w="28" w:type="dxa"/>
        </w:tblCellMar>
      </w:tblPr>
      <w:tblGrid>
        <w:gridCol w:w="966"/>
        <w:gridCol w:w="851"/>
        <w:gridCol w:w="853"/>
        <w:gridCol w:w="159"/>
        <w:gridCol w:w="159"/>
        <w:gridCol w:w="159"/>
        <w:gridCol w:w="923"/>
        <w:gridCol w:w="923"/>
        <w:gridCol w:w="926"/>
        <w:gridCol w:w="109"/>
        <w:gridCol w:w="109"/>
        <w:gridCol w:w="109"/>
        <w:gridCol w:w="307"/>
        <w:gridCol w:w="661"/>
        <w:gridCol w:w="171"/>
        <w:gridCol w:w="109"/>
        <w:gridCol w:w="109"/>
        <w:gridCol w:w="109"/>
        <w:gridCol w:w="256"/>
        <w:gridCol w:w="727"/>
        <w:gridCol w:w="201"/>
      </w:tblGrid>
      <w:tr>
        <w:trPr/>
        <w:tc>
          <w:tcPr>
            <w:tcW w:w="96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Assets</w:t>
            </w:r>
          </w:p>
        </w:tc>
        <w:tc>
          <w:tcPr>
            <w:tcW w:w="47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7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2021</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2020</w:t>
            </w:r>
          </w:p>
        </w:tc>
      </w:tr>
      <w:tr>
        <w:trPr/>
        <w:tc>
          <w:tcPr>
            <w:tcW w:w="59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 under ASC 815-20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5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1511" w:type="dxa"/>
            <w:gridSpan w:val="6"/>
            <w:tcBorders/>
            <w:shd w:fill="auto" w:val="clea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 derivatives</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Liabilities</w:t>
            </w:r>
          </w:p>
        </w:tc>
        <w:tc>
          <w:tcPr>
            <w:tcW w:w="47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77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19"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 under ASC 815-20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contracts</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contracts</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obligations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 currency swap contracts</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19"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 under ASC 815-20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liability derivatives</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477" w:type="dxa"/>
            <w:gridSpan w:val="3"/>
            <w:tcBorders/>
            <w:shd w:fill="auto" w:val="clear"/>
            <w:vAlign w:val="center"/>
          </w:tcPr>
          <w:p>
            <w:pPr>
              <w:pStyle w:val="TableContents"/>
              <w:spacing w:before="0" w:after="283"/>
              <w:rPr>
                <w:sz w:val="4"/>
                <w:szCs w:val="4"/>
              </w:rPr>
            </w:pPr>
            <w:r>
              <w:rPr>
                <w:sz w:val="4"/>
                <w:szCs w:val="4"/>
              </w:rPr>
            </w:r>
          </w:p>
        </w:tc>
        <w:tc>
          <w:tcPr>
            <w:tcW w:w="27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changes in AOCI, net of tax, for our derivative and nonderivative hedging instruments designated as hedging instruments, net of tax, were as follows:</w:t>
      </w:r>
    </w:p>
    <w:tbl>
      <w:tblPr>
        <w:tblW w:w="8156" w:type="dxa"/>
        <w:jc w:val="left"/>
        <w:tblInd w:w="0" w:type="dxa"/>
        <w:tblCellMar>
          <w:top w:w="28" w:type="dxa"/>
          <w:left w:w="28" w:type="dxa"/>
          <w:bottom w:w="28" w:type="dxa"/>
          <w:right w:w="28" w:type="dxa"/>
        </w:tblCellMar>
      </w:tblPr>
      <w:tblGrid>
        <w:gridCol w:w="1586"/>
        <w:gridCol w:w="1390"/>
        <w:gridCol w:w="1403"/>
        <w:gridCol w:w="196"/>
        <w:gridCol w:w="721"/>
        <w:gridCol w:w="109"/>
        <w:gridCol w:w="109"/>
        <w:gridCol w:w="109"/>
        <w:gridCol w:w="109"/>
        <w:gridCol w:w="196"/>
        <w:gridCol w:w="721"/>
        <w:gridCol w:w="109"/>
        <w:gridCol w:w="109"/>
        <w:gridCol w:w="109"/>
        <w:gridCol w:w="109"/>
        <w:gridCol w:w="196"/>
        <w:gridCol w:w="721"/>
        <w:gridCol w:w="154"/>
      </w:tblGrid>
      <w:tr>
        <w:trPr/>
        <w:tc>
          <w:tcPr>
            <w:tcW w:w="1586"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14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3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hedging instruments at January 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derivative instruments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(gains) losses reclassified into net income (loss)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hedging instruments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Reclassification of amounts related to hedging instruments are included in interest expense in the Consolidated Statements of Operations. Included in the net unrealized gain (loss) on hedging instruments at December 31, 2021 and 2020 is a loss of $14.4 million, net of tax, related to our nonderivative net investment hedge, which terminated in 2011. This loss on our net investment hedge will remain in AOCI until earnings are impacted by a sale or liquidation of the associated foreign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effect of netting arrangements on our financial position related to the offsetting of our recognized derivative assets and liabilities under master netting arrangements or similar agreements is as follows:</w:t>
      </w:r>
    </w:p>
    <w:tbl>
      <w:tblPr>
        <w:tblW w:w="10205" w:type="dxa"/>
        <w:jc w:val="left"/>
        <w:tblInd w:w="0" w:type="dxa"/>
        <w:tblCellMar>
          <w:top w:w="28" w:type="dxa"/>
          <w:left w:w="28" w:type="dxa"/>
          <w:bottom w:w="28" w:type="dxa"/>
          <w:right w:w="28" w:type="dxa"/>
        </w:tblCellMar>
      </w:tblPr>
      <w:tblGrid>
        <w:gridCol w:w="595"/>
        <w:gridCol w:w="524"/>
        <w:gridCol w:w="526"/>
        <w:gridCol w:w="1032"/>
        <w:gridCol w:w="1743"/>
        <w:gridCol w:w="574"/>
        <w:gridCol w:w="109"/>
        <w:gridCol w:w="109"/>
        <w:gridCol w:w="109"/>
        <w:gridCol w:w="622"/>
        <w:gridCol w:w="864"/>
        <w:gridCol w:w="231"/>
        <w:gridCol w:w="189"/>
        <w:gridCol w:w="189"/>
        <w:gridCol w:w="189"/>
        <w:gridCol w:w="430"/>
        <w:gridCol w:w="717"/>
        <w:gridCol w:w="191"/>
        <w:gridCol w:w="109"/>
        <w:gridCol w:w="109"/>
        <w:gridCol w:w="109"/>
        <w:gridCol w:w="239"/>
        <w:gridCol w:w="496"/>
        <w:gridCol w:w="200"/>
      </w:tblGrid>
      <w:tr>
        <w:trPr/>
        <w:tc>
          <w:tcPr>
            <w:tcW w:w="595"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74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r>
      <w:tr>
        <w:trPr/>
        <w:tc>
          <w:tcPr>
            <w:tcW w:w="1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Offsetting of Derivative Assets</w:t>
            </w:r>
          </w:p>
        </w:tc>
        <w:tc>
          <w:tcPr>
            <w:tcW w:w="334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Assets Presented in the Consolidated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Consolidated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34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Financial Instruments</w:t>
            </w:r>
          </w:p>
        </w:tc>
        <w:tc>
          <w:tcPr>
            <w:tcW w:w="5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Received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r>
      <w:tr>
        <w:trPr/>
        <w:tc>
          <w:tcPr>
            <w:tcW w:w="16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2021</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2020</w:t>
            </w:r>
          </w:p>
        </w:tc>
        <w:tc>
          <w:tcPr>
            <w:tcW w:w="2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5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32"/>
        <w:gridCol w:w="557"/>
        <w:gridCol w:w="559"/>
        <w:gridCol w:w="898"/>
        <w:gridCol w:w="1933"/>
        <w:gridCol w:w="507"/>
        <w:gridCol w:w="109"/>
        <w:gridCol w:w="109"/>
        <w:gridCol w:w="109"/>
        <w:gridCol w:w="618"/>
        <w:gridCol w:w="841"/>
        <w:gridCol w:w="225"/>
        <w:gridCol w:w="185"/>
        <w:gridCol w:w="185"/>
        <w:gridCol w:w="185"/>
        <w:gridCol w:w="422"/>
        <w:gridCol w:w="692"/>
        <w:gridCol w:w="185"/>
        <w:gridCol w:w="109"/>
        <w:gridCol w:w="109"/>
        <w:gridCol w:w="109"/>
        <w:gridCol w:w="264"/>
        <w:gridCol w:w="445"/>
        <w:gridCol w:w="218"/>
      </w:tblGrid>
      <w:tr>
        <w:trPr/>
        <w:tc>
          <w:tcPr>
            <w:tcW w:w="63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933"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Offsetting of Derivative Liabilities</w:t>
            </w:r>
          </w:p>
        </w:tc>
        <w:tc>
          <w:tcPr>
            <w:tcW w:w="333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 Recognized Liabilities Presented in the Consolidated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Not Offset in the Consolidated Balance Sheets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33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Financial Instruments</w:t>
            </w:r>
          </w:p>
        </w:tc>
        <w:tc>
          <w:tcPr>
            <w:tcW w:w="5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Cash Collateral Pledged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Amount</w:t>
            </w:r>
          </w:p>
        </w:tc>
      </w:tr>
      <w:tr>
        <w:trPr/>
        <w:tc>
          <w:tcPr>
            <w:tcW w:w="174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2021</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2020</w:t>
            </w:r>
          </w:p>
        </w:tc>
        <w:tc>
          <w:tcPr>
            <w:tcW w:w="2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2,636 </w:t>
            </w:r>
          </w:p>
        </w:tc>
        <w:tc>
          <w:tcPr>
            <w:tcW w:w="5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derivative assets and liabilities subject to netting arrangements include foreign exchange forward and interest rate contracts with three counterparties at December 31, 2021 and four counterparties at December 31, 2020. No derivative asset or liability balance with any of our counterparties was individually significant at December 31, 2021 or 2020.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Cash Flow Hedges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our floating rate debt under our current credit facility,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On August 12, 2021, the term loan under the credit facility was fully repaid. At December 31, 2021, we have no LIBOR-based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2015, we entered into one interest rate swap, which was effective from August 31, 2016 and expired on June 23, 2020, to convert $214 million of our LIBOR-based debt from a floating LIBOR interest rate to a fixed interest rate of 1.42% (excluding the applicable margin on the debt). The notional balance amortized to maturity at the same rate as required minimum payments on the outstanding term loan. This cash flow hedge was expected to be highly effective in achieving offsetting cash flows attributable to the hedged risk through the term of the hedge. Consequently, effective changes in the fair value of the interest rate swap were recognized as a component of OCI and recognized in earnings when the hedged item affected earnings. The amounts paid or received on the hedge were recognized as adjustment to interest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2018, we entered into one cross-currency swap, which converted $56.0 million of floating LIBOR-based U.S. dollar-denominated debt into 1.38% fixed rate euro-denominated debt. This cross-currency swap matured on April 30, 2021, and mitigated the risk associated with fluctuations in currency rates impacting cash flows related to U.S. dollar-denominated debt in a euro functional currency entity. Changes in the fair value of the cross-currency swap were recognized as a component of OCI and were recognized in earnings when the hedged item affected earnings. The amounts paid or received on the hedge were recognized as an adjustment to interest expense along with the earnings effect of the hedged item.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2020, we entered into one interest rate swap, which was effective from June 30, 2020 to June 30, 2023, and converted $240 million of our LIBOR-based debt from a floating LIBOR interest rate to a fixed interest rate of 0.617% (excluding the applicable margin). The notional balance amortized to maturity at the same rate of originally required amortizations on our outstanding term loan. Changes in the fair value of the interest rate swap were recognized as a component of OCI and recognized in earnings when the hedged item affected earnings. The amounts paid or received on the hedge were recognized as an adjustments to interest expense along with the earnings effect of the hedged item. On March 17, 2021 following the paydown of the term loan within the 2018 credit facility, we terminated the interest rate swap, and paid a fee of $1.7 million to settle it, since the likelihood of LIBOR-based interest payments was no longer probable of occurring.</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As a result of our forecasted inventory purchases in a non-functional currency, we are exposed to foreign exchange risk. We hedge portions of these purchases. During February 2021, we entered into foreign exchange option contracts for a total notional amount of </w:t>
      </w:r>
      <w:r>
        <w:rPr>
          <w:rFonts w:ascii="Times New Roman;sans-serif" w:hAnsi="Times New Roman;sans-serif"/>
          <w:b w:val="false"/>
          <w:color w:val="000000"/>
          <w:sz w:val="20"/>
          <w:highlight w:val="white"/>
        </w:rPr>
        <w:t>$77 million at a cost of $1.1 million. The contracts matured ratably through the year with final maturity in October 2021. Changes in the fair values of the option</w:t>
      </w:r>
      <w:r>
        <w:rPr>
          <w:color w:val="000000"/>
        </w:rPr>
        <w:t xml:space="preserve"> </w:t>
      </w:r>
      <w:r>
        <w:rPr>
          <w:rFonts w:ascii="Times New Roman;sans-serif" w:hAnsi="Times New Roman;sans-serif"/>
          <w:b w:val="false"/>
          <w:color w:val="000000"/>
          <w:sz w:val="20"/>
        </w:rPr>
        <w:t>contracts are recognized as a component of OCI and are recognized in product cost of revenues when the hedged item affects earnings. As of December 31, 2021, there were no outstanding foreign exchange option 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before-tax effects of our accounting for derivative instruments designated as hedges on AOCI for the year ended December 31, were as follows:</w:t>
      </w:r>
    </w:p>
    <w:tbl>
      <w:tblPr>
        <w:tblW w:w="10205" w:type="dxa"/>
        <w:jc w:val="left"/>
        <w:tblInd w:w="0" w:type="dxa"/>
        <w:tblCellMar>
          <w:top w:w="28" w:type="dxa"/>
          <w:left w:w="28" w:type="dxa"/>
          <w:bottom w:w="28" w:type="dxa"/>
          <w:right w:w="28" w:type="dxa"/>
        </w:tblCellMar>
      </w:tblPr>
      <w:tblGrid>
        <w:gridCol w:w="674"/>
        <w:gridCol w:w="593"/>
        <w:gridCol w:w="595"/>
        <w:gridCol w:w="109"/>
        <w:gridCol w:w="109"/>
        <w:gridCol w:w="109"/>
        <w:gridCol w:w="213"/>
        <w:gridCol w:w="360"/>
        <w:gridCol w:w="118"/>
        <w:gridCol w:w="118"/>
        <w:gridCol w:w="118"/>
        <w:gridCol w:w="118"/>
        <w:gridCol w:w="213"/>
        <w:gridCol w:w="639"/>
        <w:gridCol w:w="118"/>
        <w:gridCol w:w="118"/>
        <w:gridCol w:w="118"/>
        <w:gridCol w:w="118"/>
        <w:gridCol w:w="213"/>
        <w:gridCol w:w="492"/>
        <w:gridCol w:w="118"/>
        <w:gridCol w:w="109"/>
        <w:gridCol w:w="109"/>
        <w:gridCol w:w="109"/>
        <w:gridCol w:w="358"/>
        <w:gridCol w:w="358"/>
        <w:gridCol w:w="363"/>
        <w:gridCol w:w="109"/>
        <w:gridCol w:w="109"/>
        <w:gridCol w:w="109"/>
        <w:gridCol w:w="196"/>
        <w:gridCol w:w="449"/>
        <w:gridCol w:w="109"/>
        <w:gridCol w:w="109"/>
        <w:gridCol w:w="109"/>
        <w:gridCol w:w="109"/>
        <w:gridCol w:w="196"/>
        <w:gridCol w:w="449"/>
        <w:gridCol w:w="109"/>
        <w:gridCol w:w="109"/>
        <w:gridCol w:w="109"/>
        <w:gridCol w:w="109"/>
        <w:gridCol w:w="196"/>
        <w:gridCol w:w="558"/>
        <w:gridCol w:w="175"/>
      </w:tblGrid>
      <w:tr>
        <w:trPr/>
        <w:tc>
          <w:tcPr>
            <w:tcW w:w="674"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186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in ASC 815-20 Cash Flow Hedging Relationships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2" w:type="dxa"/>
            <w:gridSpan w:val="1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OCI on Derivative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Gain (Loss) Reclassified from AOCI into Income</w:t>
            </w:r>
          </w:p>
        </w:tc>
      </w:tr>
      <w:tr>
        <w:trPr/>
        <w:tc>
          <w:tcPr>
            <w:tcW w:w="186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3192" w:type="dxa"/>
            <w:gridSpan w:val="15"/>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9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r>
      <w:tr>
        <w:trPr/>
        <w:tc>
          <w:tcPr>
            <w:tcW w:w="1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86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cap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options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cost of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 currency swap contract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Cross currency swap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Derivatives Not Designated as Hedging Relationships</w:t>
      </w:r>
    </w:p>
    <w:p>
      <w:pPr>
        <w:pStyle w:val="TextBody"/>
        <w:spacing w:lineRule="auto" w:line="288" w:before="0" w:after="0"/>
        <w:jc w:val="both"/>
        <w:rPr/>
      </w:pPr>
      <w:r>
        <w:rPr>
          <w:rFonts w:ascii="Times New Roman;sans-serif" w:hAnsi="Times New Roman;sans-serif"/>
          <w:b w:val="false"/>
          <w:color w:val="000000"/>
          <w:sz w:val="20"/>
        </w:rPr>
        <w:t xml:space="preserve">We are also exposed to foreign exchange risk when we enter into non-functional currency transactions, both intercompany and third-party. At each period-end, non-functional currency monetary assets and liabilities are revalued with the change recognized within other income (expense) in our Consolidated Statements of Operations. We enter into monthly foreign exchange forward contracts, which are not designated for hedge accounting, with the intent to reduce earnings volatility associated with currency exposures. As of December 31, 2021, a total of </w:t>
      </w:r>
      <w:r>
        <w:rPr>
          <w:rFonts w:ascii="Times New Roman;sans-serif" w:hAnsi="Times New Roman;sans-serif"/>
          <w:b w:val="false"/>
          <w:color w:val="000000"/>
          <w:sz w:val="20"/>
          <w:highlight w:val="white"/>
        </w:rPr>
        <w:t>39</w:t>
      </w:r>
      <w:r>
        <w:rPr>
          <w:color w:val="000000"/>
        </w:rPr>
        <w:t xml:space="preserve"> </w:t>
      </w:r>
      <w:r>
        <w:rPr>
          <w:rFonts w:ascii="Times New Roman;sans-serif" w:hAnsi="Times New Roman;sans-serif"/>
          <w:b w:val="false"/>
          <w:color w:val="000000"/>
          <w:sz w:val="20"/>
        </w:rPr>
        <w:t xml:space="preserve">contracts were offsetting our exposures from the euro, pound sterling, Indonesian rupiah, Canadian dollar, Australian dollar, and various other currencies, with notional amounts ranging from </w:t>
      </w:r>
      <w:r>
        <w:rPr>
          <w:rFonts w:ascii="Times New Roman;sans-serif" w:hAnsi="Times New Roman;sans-serif"/>
          <w:b w:val="false"/>
          <w:color w:val="000000"/>
          <w:sz w:val="20"/>
          <w:highlight w:val="white"/>
        </w:rPr>
        <w:t>$102,000 to $76.3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our derivative instruments not designated as hedges on the Consolidated Statements of Operations for the year ended December 31, was as follows:</w:t>
      </w:r>
    </w:p>
    <w:tbl>
      <w:tblPr>
        <w:tblW w:w="10205" w:type="dxa"/>
        <w:jc w:val="left"/>
        <w:tblInd w:w="0" w:type="dxa"/>
        <w:tblCellMar>
          <w:top w:w="28" w:type="dxa"/>
          <w:left w:w="28" w:type="dxa"/>
          <w:bottom w:w="28" w:type="dxa"/>
          <w:right w:w="28" w:type="dxa"/>
        </w:tblCellMar>
      </w:tblPr>
      <w:tblGrid>
        <w:gridCol w:w="1584"/>
        <w:gridCol w:w="1393"/>
        <w:gridCol w:w="1401"/>
        <w:gridCol w:w="109"/>
        <w:gridCol w:w="109"/>
        <w:gridCol w:w="109"/>
        <w:gridCol w:w="586"/>
        <w:gridCol w:w="586"/>
        <w:gridCol w:w="596"/>
        <w:gridCol w:w="109"/>
        <w:gridCol w:w="109"/>
        <w:gridCol w:w="109"/>
        <w:gridCol w:w="196"/>
        <w:gridCol w:w="556"/>
        <w:gridCol w:w="109"/>
        <w:gridCol w:w="109"/>
        <w:gridCol w:w="109"/>
        <w:gridCol w:w="109"/>
        <w:gridCol w:w="196"/>
        <w:gridCol w:w="615"/>
        <w:gridCol w:w="109"/>
        <w:gridCol w:w="109"/>
        <w:gridCol w:w="109"/>
        <w:gridCol w:w="109"/>
        <w:gridCol w:w="196"/>
        <w:gridCol w:w="615"/>
        <w:gridCol w:w="159"/>
      </w:tblGrid>
      <w:tr>
        <w:trPr/>
        <w:tc>
          <w:tcPr>
            <w:tcW w:w="1584" w:type="dxa"/>
            <w:tcBorders/>
            <w:shd w:fill="auto" w:val="clear"/>
            <w:vAlign w:val="center"/>
          </w:tcPr>
          <w:p>
            <w:pPr>
              <w:pStyle w:val="TableContents"/>
              <w:spacing w:before="0" w:after="283"/>
              <w:rPr>
                <w:sz w:val="4"/>
                <w:szCs w:val="4"/>
              </w:rPr>
            </w:pPr>
            <w:r>
              <w:rPr>
                <w:sz w:val="4"/>
                <w:szCs w:val="4"/>
              </w:rPr>
            </w:r>
          </w:p>
        </w:tc>
        <w:tc>
          <w:tcPr>
            <w:tcW w:w="1393"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43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 under ASC 815-20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Gain (Loss) Recognized on Derivatives in </w:t>
              <w:br/>
              <w:t>Other Income (Expense)</w:t>
            </w:r>
          </w:p>
        </w:tc>
      </w:tr>
      <w:tr>
        <w:trPr/>
        <w:tc>
          <w:tcPr>
            <w:tcW w:w="43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3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(2,425)</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continue to monitor and assess our interest rate and foreign exchange risk and may institute additional derivative instruments to manage such risk in the future.</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Convertible Note Hedge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the Convertible Notes and/or offset any cash payments we are required to make in excess of the principal amount of the converted notes, as the case may be, in the event that the market price per share of our common stock, as measured under the terms of the Convertible Note Hedge Transactions, is greater than the strike price of those Convertible Note Hedge Transactions. The Convertible Note Hedge Transactions meet the criteria in ASC 815-40 to be classified within Stockholders' Equity, and therefore the transactions are not revalued after their issuance.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Warrant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concurrently with entering into the Convertible Note Hedge Transactions, we separately entered into privately-negotiated Warrant Transactions (the Warrant Transactions), whereby we sold to the Counterparties warrants to acquire, collectively, subject to anti-dilution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Warrants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therefore the warrants are not revalued after issuance.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Defined Benefit Pension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sponsor both funded and unfunded defined benefit pension plans offering death and disability, retirement, and special termination benefits for certain of our international employees, primarily in Germany, France, Indonesia, India, and Italy. The defined benefit obligation is calculated annually by using the projected unit credit method. The measurement date for the pension plans was December 31, 2021.</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The following tables set forth the components of the changes in benefit obligations and fair value of plan assets</w:t>
      </w:r>
      <w:r>
        <w:rPr>
          <w:rFonts w:ascii="Times New Roman;sans-serif" w:hAnsi="Times New Roman;sans-serif"/>
          <w:b w:val="false"/>
          <w:color w:val="000000"/>
          <w:sz w:val="18"/>
        </w:rPr>
        <w:t>:</w:t>
      </w:r>
    </w:p>
    <w:tbl>
      <w:tblPr>
        <w:tblW w:w="5573" w:type="dxa"/>
        <w:jc w:val="left"/>
        <w:tblInd w:w="0" w:type="dxa"/>
        <w:tblCellMar>
          <w:top w:w="28" w:type="dxa"/>
          <w:left w:w="28" w:type="dxa"/>
          <w:bottom w:w="28" w:type="dxa"/>
          <w:right w:w="28" w:type="dxa"/>
        </w:tblCellMar>
      </w:tblPr>
      <w:tblGrid>
        <w:gridCol w:w="1130"/>
        <w:gridCol w:w="990"/>
        <w:gridCol w:w="999"/>
        <w:gridCol w:w="196"/>
        <w:gridCol w:w="736"/>
        <w:gridCol w:w="109"/>
        <w:gridCol w:w="109"/>
        <w:gridCol w:w="109"/>
        <w:gridCol w:w="109"/>
        <w:gridCol w:w="196"/>
        <w:gridCol w:w="736"/>
        <w:gridCol w:w="154"/>
      </w:tblGrid>
      <w:tr>
        <w:trPr/>
        <w:tc>
          <w:tcPr>
            <w:tcW w:w="113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1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benefit obligation:</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 at January 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(gain)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Benefits paid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 changes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Curtailment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obligation at December 31,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 in plan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plan assets at January 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Actual return on plan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 contributions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Benefits paid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exchange rate changes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for divestiture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plan assets at December 31,</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pension benefit obligation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on the Consolidated Balance Sheets consist of:</w:t>
      </w:r>
    </w:p>
    <w:tbl>
      <w:tblPr>
        <w:tblW w:w="7898" w:type="dxa"/>
        <w:jc w:val="left"/>
        <w:tblInd w:w="0" w:type="dxa"/>
        <w:tblCellMar>
          <w:top w:w="28" w:type="dxa"/>
          <w:left w:w="28" w:type="dxa"/>
          <w:bottom w:w="28" w:type="dxa"/>
          <w:right w:w="28" w:type="dxa"/>
        </w:tblCellMar>
      </w:tblPr>
      <w:tblGrid>
        <w:gridCol w:w="1972"/>
        <w:gridCol w:w="1728"/>
        <w:gridCol w:w="1744"/>
        <w:gridCol w:w="196"/>
        <w:gridCol w:w="736"/>
        <w:gridCol w:w="109"/>
        <w:gridCol w:w="109"/>
        <w:gridCol w:w="109"/>
        <w:gridCol w:w="109"/>
        <w:gridCol w:w="196"/>
        <w:gridCol w:w="736"/>
        <w:gridCol w:w="154"/>
      </w:tblGrid>
      <w:tr>
        <w:trPr/>
        <w:tc>
          <w:tcPr>
            <w:tcW w:w="1972" w:type="dxa"/>
            <w:tcBorders/>
            <w:shd w:fill="auto" w:val="clear"/>
            <w:vAlign w:val="center"/>
          </w:tcPr>
          <w:p>
            <w:pPr>
              <w:pStyle w:val="TableContents"/>
              <w:spacing w:before="0" w:after="283"/>
              <w:rPr>
                <w:sz w:val="4"/>
                <w:szCs w:val="4"/>
              </w:rPr>
            </w:pPr>
            <w:r>
              <w:rPr>
                <w:sz w:val="4"/>
                <w:szCs w:val="4"/>
              </w:rPr>
            </w:r>
          </w:p>
        </w:tc>
        <w:tc>
          <w:tcPr>
            <w:tcW w:w="1728" w:type="dxa"/>
            <w:tcBorders/>
            <w:shd w:fill="auto" w:val="clear"/>
            <w:vAlign w:val="center"/>
          </w:tcPr>
          <w:p>
            <w:pPr>
              <w:pStyle w:val="TableContents"/>
              <w:spacing w:before="0" w:after="283"/>
              <w:rPr>
                <w:sz w:val="4"/>
                <w:szCs w:val="4"/>
              </w:rPr>
            </w:pPr>
            <w:r>
              <w:rPr>
                <w:sz w:val="4"/>
                <w:szCs w:val="4"/>
              </w:rPr>
            </w:r>
          </w:p>
        </w:tc>
        <w:tc>
          <w:tcPr>
            <w:tcW w:w="17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4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pension benefit obligation in wages and benefits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 obligation held for sale within 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portion of pension benefit obligation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 obligation,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highlight w:val="white"/>
        </w:rPr>
        <w:t>On November 2, 2021, Itron entered into an agreement to sell certain of its Gas device businesses and operations to Dresser. The related disposal group was classified as held for sale during the fourth quarter of 2021. Refer to</w:t>
      </w:r>
      <w:r>
        <w:rPr>
          <w:color w:val="000000"/>
        </w:rPr>
        <w:t xml:space="preserve"> </w:t>
      </w:r>
      <w:r>
        <w:rPr>
          <w:rFonts w:ascii="Times New Roman;sans-serif" w:hAnsi="Times New Roman;sans-serif"/>
          <w:b w:val="false"/>
          <w:color w:val="000000"/>
          <w:sz w:val="20"/>
        </w:rPr>
        <w:t>Note 18: Sale of Businesses for additional information on the transaction.</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recognized in OCI (pre-tax) are as follows:</w:t>
      </w:r>
    </w:p>
    <w:tbl>
      <w:tblPr>
        <w:tblW w:w="6087" w:type="dxa"/>
        <w:jc w:val="left"/>
        <w:tblInd w:w="0" w:type="dxa"/>
        <w:tblCellMar>
          <w:top w:w="28" w:type="dxa"/>
          <w:left w:w="28" w:type="dxa"/>
          <w:bottom w:w="28" w:type="dxa"/>
          <w:right w:w="28" w:type="dxa"/>
        </w:tblCellMar>
      </w:tblPr>
      <w:tblGrid>
        <w:gridCol w:w="957"/>
        <w:gridCol w:w="838"/>
        <w:gridCol w:w="845"/>
        <w:gridCol w:w="196"/>
        <w:gridCol w:w="721"/>
        <w:gridCol w:w="109"/>
        <w:gridCol w:w="109"/>
        <w:gridCol w:w="109"/>
        <w:gridCol w:w="109"/>
        <w:gridCol w:w="196"/>
        <w:gridCol w:w="556"/>
        <w:gridCol w:w="109"/>
        <w:gridCol w:w="109"/>
        <w:gridCol w:w="109"/>
        <w:gridCol w:w="109"/>
        <w:gridCol w:w="196"/>
        <w:gridCol w:w="556"/>
        <w:gridCol w:w="154"/>
      </w:tblGrid>
      <w:tr>
        <w:trPr/>
        <w:tc>
          <w:tcPr>
            <w:tcW w:w="957" w:type="dxa"/>
            <w:tcBorders/>
            <w:shd w:fill="auto" w:val="clear"/>
            <w:vAlign w:val="center"/>
          </w:tcPr>
          <w:p>
            <w:pPr>
              <w:pStyle w:val="TableContents"/>
              <w:spacing w:before="0" w:after="283"/>
              <w:rPr>
                <w:sz w:val="4"/>
                <w:szCs w:val="4"/>
              </w:rPr>
            </w:pPr>
            <w:r>
              <w:rPr>
                <w:sz w:val="4"/>
                <w:szCs w:val="4"/>
              </w:rPr>
            </w:r>
          </w:p>
        </w:tc>
        <w:tc>
          <w:tcPr>
            <w:tcW w:w="838"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actuarial (gain)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(gain) loss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Curtailment loss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asset (gain) loss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net actuarial loss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2022 is $1.1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cost for our plans include the following components:</w:t>
      </w:r>
    </w:p>
    <w:tbl>
      <w:tblPr>
        <w:tblW w:w="5861" w:type="dxa"/>
        <w:jc w:val="left"/>
        <w:tblInd w:w="0" w:type="dxa"/>
        <w:tblCellMar>
          <w:top w:w="28" w:type="dxa"/>
          <w:left w:w="28" w:type="dxa"/>
          <w:bottom w:w="28" w:type="dxa"/>
          <w:right w:w="28" w:type="dxa"/>
        </w:tblCellMar>
      </w:tblPr>
      <w:tblGrid>
        <w:gridCol w:w="934"/>
        <w:gridCol w:w="819"/>
        <w:gridCol w:w="826"/>
        <w:gridCol w:w="196"/>
        <w:gridCol w:w="556"/>
        <w:gridCol w:w="109"/>
        <w:gridCol w:w="109"/>
        <w:gridCol w:w="109"/>
        <w:gridCol w:w="109"/>
        <w:gridCol w:w="196"/>
        <w:gridCol w:w="556"/>
        <w:gridCol w:w="109"/>
        <w:gridCol w:w="109"/>
        <w:gridCol w:w="109"/>
        <w:gridCol w:w="109"/>
        <w:gridCol w:w="196"/>
        <w:gridCol w:w="556"/>
        <w:gridCol w:w="154"/>
      </w:tblGrid>
      <w:tr>
        <w:trPr/>
        <w:tc>
          <w:tcPr>
            <w:tcW w:w="934"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prior service costs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net loss</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Curtailment</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79"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benefit cost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 other than the service cost component, are included in total other income (expense) on the Consolidated Statements of Operations.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actuarial weighted average assumptions used in determining the benefit obligations and net periodic benefit cost for our benefit plans are as follows:</w:t>
      </w:r>
    </w:p>
    <w:tbl>
      <w:tblPr>
        <w:tblW w:w="8650" w:type="dxa"/>
        <w:jc w:val="left"/>
        <w:tblInd w:w="0" w:type="dxa"/>
        <w:tblCellMar>
          <w:top w:w="28" w:type="dxa"/>
          <w:left w:w="28" w:type="dxa"/>
          <w:bottom w:w="28" w:type="dxa"/>
          <w:right w:w="28" w:type="dxa"/>
        </w:tblCellMar>
      </w:tblPr>
      <w:tblGrid>
        <w:gridCol w:w="2085"/>
        <w:gridCol w:w="1832"/>
        <w:gridCol w:w="1843"/>
        <w:gridCol w:w="233"/>
        <w:gridCol w:w="233"/>
        <w:gridCol w:w="260"/>
        <w:gridCol w:w="111"/>
        <w:gridCol w:w="111"/>
        <w:gridCol w:w="111"/>
        <w:gridCol w:w="233"/>
        <w:gridCol w:w="233"/>
        <w:gridCol w:w="260"/>
        <w:gridCol w:w="111"/>
        <w:gridCol w:w="111"/>
        <w:gridCol w:w="111"/>
        <w:gridCol w:w="233"/>
        <w:gridCol w:w="233"/>
        <w:gridCol w:w="306"/>
      </w:tblGrid>
      <w:tr>
        <w:trPr/>
        <w:tc>
          <w:tcPr>
            <w:tcW w:w="2085"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57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assumptions used to determine benefit obligations at end of period:</w:t>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annual rate of compensation increase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Actuarial assumptions used to determine net periodic benefit cost for the period:</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rate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rate of return on plan assets</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5.19 </w:t>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annual rate of compensation increase</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determine a discount rate for our plans based on the estimated duration of each plan's liabilities. For euro denominated defined benefit pension plans, which represent 91% of our projected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0.50% and 1.25%.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accumulated benefit obligation for our defined benefit pension plans was $103.4 million and $121.7 million at December 31, 2021 and 2020.</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obligations and fair value of plan assets for plans with projected benefit obligations and accumulated benefit obligations exceeding the fair value of plan assets are as follows:</w:t>
      </w:r>
    </w:p>
    <w:tbl>
      <w:tblPr>
        <w:tblW w:w="4779" w:type="dxa"/>
        <w:jc w:val="left"/>
        <w:tblInd w:w="0" w:type="dxa"/>
        <w:tblCellMar>
          <w:top w:w="28" w:type="dxa"/>
          <w:left w:w="28" w:type="dxa"/>
          <w:bottom w:w="28" w:type="dxa"/>
          <w:right w:w="28" w:type="dxa"/>
        </w:tblCellMar>
      </w:tblPr>
      <w:tblGrid>
        <w:gridCol w:w="842"/>
        <w:gridCol w:w="738"/>
        <w:gridCol w:w="745"/>
        <w:gridCol w:w="196"/>
        <w:gridCol w:w="736"/>
        <w:gridCol w:w="109"/>
        <w:gridCol w:w="109"/>
        <w:gridCol w:w="109"/>
        <w:gridCol w:w="109"/>
        <w:gridCol w:w="196"/>
        <w:gridCol w:w="736"/>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325"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Projected benefit obligation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benefit obligation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plan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our plan investments by asset category are as follows:</w:t>
      </w:r>
    </w:p>
    <w:tbl>
      <w:tblPr>
        <w:tblW w:w="10205" w:type="dxa"/>
        <w:jc w:val="left"/>
        <w:tblInd w:w="0" w:type="dxa"/>
        <w:tblCellMar>
          <w:top w:w="28" w:type="dxa"/>
          <w:left w:w="28" w:type="dxa"/>
          <w:bottom w:w="28" w:type="dxa"/>
          <w:right w:w="28" w:type="dxa"/>
        </w:tblCellMar>
      </w:tblPr>
      <w:tblGrid>
        <w:gridCol w:w="762"/>
        <w:gridCol w:w="668"/>
        <w:gridCol w:w="673"/>
        <w:gridCol w:w="196"/>
        <w:gridCol w:w="646"/>
        <w:gridCol w:w="109"/>
        <w:gridCol w:w="109"/>
        <w:gridCol w:w="109"/>
        <w:gridCol w:w="109"/>
        <w:gridCol w:w="892"/>
        <w:gridCol w:w="2540"/>
        <w:gridCol w:w="500"/>
        <w:gridCol w:w="109"/>
        <w:gridCol w:w="109"/>
        <w:gridCol w:w="109"/>
        <w:gridCol w:w="554"/>
        <w:gridCol w:w="1572"/>
        <w:gridCol w:w="439"/>
      </w:tblGrid>
      <w:tr>
        <w:trPr/>
        <w:tc>
          <w:tcPr>
            <w:tcW w:w="76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572"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Quoted Prices in Active Markets for Identical Assets</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Significant Unobservable Inputs</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103"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10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21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funds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4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fair value of plan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102" w:type="dxa"/>
            <w:gridSpan w:val="15"/>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21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50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funds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4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3"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65" w:type="dxa"/>
            <w:gridSpan w:val="3"/>
            <w:tcBorders/>
            <w:shd w:fill="auto" w:val="clear"/>
            <w:vAlign w:val="center"/>
          </w:tcPr>
          <w:p>
            <w:pPr>
              <w:pStyle w:val="TableContents"/>
              <w:spacing w:before="0" w:after="283"/>
              <w:rPr>
                <w:sz w:val="4"/>
                <w:szCs w:val="4"/>
              </w:rPr>
            </w:pPr>
            <w:r>
              <w:rPr>
                <w:sz w:val="4"/>
                <w:szCs w:val="4"/>
              </w:rPr>
            </w:r>
          </w:p>
        </w:tc>
      </w:tr>
      <w:tr>
        <w:trPr/>
        <w:tc>
          <w:tcPr>
            <w:tcW w:w="21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fair value of plan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1,050 </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Level 3 assets held during the years ended December 31, 2021 and 2020:</w:t>
      </w:r>
    </w:p>
    <w:tbl>
      <w:tblPr>
        <w:tblW w:w="10205" w:type="dxa"/>
        <w:jc w:val="left"/>
        <w:tblInd w:w="0" w:type="dxa"/>
        <w:tblCellMar>
          <w:top w:w="28" w:type="dxa"/>
          <w:left w:w="28" w:type="dxa"/>
          <w:bottom w:w="28" w:type="dxa"/>
          <w:right w:w="28" w:type="dxa"/>
        </w:tblCellMar>
      </w:tblPr>
      <w:tblGrid>
        <w:gridCol w:w="342"/>
        <w:gridCol w:w="300"/>
        <w:gridCol w:w="302"/>
        <w:gridCol w:w="262"/>
        <w:gridCol w:w="745"/>
        <w:gridCol w:w="146"/>
        <w:gridCol w:w="109"/>
        <w:gridCol w:w="109"/>
        <w:gridCol w:w="109"/>
        <w:gridCol w:w="361"/>
        <w:gridCol w:w="777"/>
        <w:gridCol w:w="203"/>
        <w:gridCol w:w="109"/>
        <w:gridCol w:w="109"/>
        <w:gridCol w:w="109"/>
        <w:gridCol w:w="421"/>
        <w:gridCol w:w="936"/>
        <w:gridCol w:w="236"/>
        <w:gridCol w:w="109"/>
        <w:gridCol w:w="109"/>
        <w:gridCol w:w="109"/>
        <w:gridCol w:w="314"/>
        <w:gridCol w:w="652"/>
        <w:gridCol w:w="176"/>
        <w:gridCol w:w="109"/>
        <w:gridCol w:w="109"/>
        <w:gridCol w:w="109"/>
        <w:gridCol w:w="299"/>
        <w:gridCol w:w="667"/>
        <w:gridCol w:w="168"/>
        <w:gridCol w:w="109"/>
        <w:gridCol w:w="109"/>
        <w:gridCol w:w="109"/>
        <w:gridCol w:w="271"/>
        <w:gridCol w:w="769"/>
        <w:gridCol w:w="223"/>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January 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Realized and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Purchases, Issuances, Settlements,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Release for Divestiture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Foreign 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December 31, 2021</w:t>
            </w:r>
          </w:p>
        </w:tc>
      </w:tr>
      <w:tr>
        <w:trPr/>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funds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r>
      <w:tr>
        <w:trPr/>
        <w:tc>
          <w:tcPr>
            <w:tcW w:w="94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341"/>
        <w:gridCol w:w="299"/>
        <w:gridCol w:w="301"/>
        <w:gridCol w:w="250"/>
        <w:gridCol w:w="826"/>
        <w:gridCol w:w="139"/>
        <w:gridCol w:w="109"/>
        <w:gridCol w:w="109"/>
        <w:gridCol w:w="109"/>
        <w:gridCol w:w="358"/>
        <w:gridCol w:w="770"/>
        <w:gridCol w:w="201"/>
        <w:gridCol w:w="109"/>
        <w:gridCol w:w="109"/>
        <w:gridCol w:w="109"/>
        <w:gridCol w:w="473"/>
        <w:gridCol w:w="834"/>
        <w:gridCol w:w="265"/>
        <w:gridCol w:w="109"/>
        <w:gridCol w:w="109"/>
        <w:gridCol w:w="109"/>
        <w:gridCol w:w="252"/>
        <w:gridCol w:w="742"/>
        <w:gridCol w:w="142"/>
        <w:gridCol w:w="109"/>
        <w:gridCol w:w="109"/>
        <w:gridCol w:w="109"/>
        <w:gridCol w:w="297"/>
        <w:gridCol w:w="662"/>
        <w:gridCol w:w="167"/>
        <w:gridCol w:w="109"/>
        <w:gridCol w:w="109"/>
        <w:gridCol w:w="109"/>
        <w:gridCol w:w="268"/>
        <w:gridCol w:w="763"/>
        <w:gridCol w:w="220"/>
      </w:tblGrid>
      <w:tr>
        <w:trPr/>
        <w:tc>
          <w:tcPr>
            <w:tcW w:w="34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r>
      <w:tr>
        <w:trPr/>
        <w:tc>
          <w:tcPr>
            <w:tcW w:w="9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January 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Realized and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Purchases, Issuances, Settlements, and 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Release for Divestiture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Effect of Foreign 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at December 31, 2020</w:t>
            </w:r>
          </w:p>
        </w:tc>
      </w:tr>
      <w:tr>
        <w:trPr/>
        <w:tc>
          <w:tcPr>
            <w:tcW w:w="9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funds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securities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9,156 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plan assets and contributions are not significant to our total company assets, no further disclosures are considered material.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Annual benefit payments for the next 10 years, including amounts to be paid from our assets for unfunded plans and reflecting expected future service, as appropriate, are expected to be paid as follows:</w:t>
      </w:r>
    </w:p>
    <w:tbl>
      <w:tblPr>
        <w:tblW w:w="5429" w:type="dxa"/>
        <w:jc w:val="left"/>
        <w:tblInd w:w="0" w:type="dxa"/>
        <w:tblCellMar>
          <w:top w:w="28" w:type="dxa"/>
          <w:left w:w="28" w:type="dxa"/>
          <w:bottom w:w="28" w:type="dxa"/>
          <w:right w:w="28" w:type="dxa"/>
        </w:tblCellMar>
      </w:tblPr>
      <w:tblGrid>
        <w:gridCol w:w="744"/>
        <w:gridCol w:w="653"/>
        <w:gridCol w:w="657"/>
        <w:gridCol w:w="109"/>
        <w:gridCol w:w="109"/>
        <w:gridCol w:w="109"/>
        <w:gridCol w:w="658"/>
        <w:gridCol w:w="1867"/>
        <w:gridCol w:w="36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Ending December 31,</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Annual Benefit Payments</w:t>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2894" w:type="dxa"/>
            <w:gridSpan w:val="3"/>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4,294 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3,456 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4,392 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4,755 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2027-2031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26,825 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grant stock-based compensation awards, including restricted stock units, phantom stock, and unrestricted stock units, under the Second Amended and Restated 2010 Stock Incentive Plan (Stock Incentive Plan). Prior to December 31, 2020, stock options were also granted as part of the stock-based compensation awards. In the Stock Incentive Plan, we have 12,623,538 shares of common stock reserved and authorized for issuance subject to stock splits, dividends, and other similar events, and at December 31, 2021, 5,344,978 shares were available for grant. We issue new shares of common stock upon the exercise of stock options or when vesting conditions on restricted stock units are fully satisfied. These shares are subject to a fungible share provision such that the authorized share available for grant is reduced by (i) one share for every one share subject to a stock option or share appreciation right granted under the Plan and (ii) 1.7 shares for every one share of common stock that was subject to an award other than an option or share appreciation right.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award phantom stock units, which are settled in cash upon vesting and accounted for as liability-based awards, with no impact to the shares available for grant.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maintain the ESPP, for which 141,075 shares of common stock were available for future issuance at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ESPP activity and stock-based grants other than stock options and restricted stock units were not significant for the years ended December 31, 2021, 2020, and 2019.</w:t>
      </w:r>
    </w:p>
    <w:p>
      <w:pPr>
        <w:pStyle w:val="TextBody"/>
        <w:spacing w:before="0" w:after="0"/>
        <w:rPr/>
      </w:pPr>
      <w:r>
        <w:rPr/>
      </w:r>
    </w:p>
    <w:p>
      <w:pPr>
        <w:pStyle w:val="TextBody"/>
        <w:spacing w:lineRule="auto" w:line="288" w:before="0" w:after="0"/>
        <w:ind w:left="0" w:right="0" w:hanging="45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 Expense</w:t>
      </w:r>
    </w:p>
    <w:p>
      <w:pPr>
        <w:pStyle w:val="TextBody"/>
        <w:spacing w:lineRule="auto" w:line="288" w:before="0" w:after="0"/>
        <w:jc w:val="both"/>
        <w:rPr/>
      </w:pPr>
      <w:r>
        <w:rPr>
          <w:rFonts w:ascii="Times New Roman;sans-serif" w:hAnsi="Times New Roman;sans-serif"/>
          <w:b w:val="false"/>
          <w:color w:val="000000"/>
          <w:sz w:val="20"/>
        </w:rPr>
        <w:t>Total stock-based compensation expense and the related tax benefit were as follows</w:t>
      </w:r>
      <w:r>
        <w:rPr>
          <w:rFonts w:ascii="Times New Roman;sans-serif" w:hAnsi="Times New Roman;sans-serif"/>
          <w:b w:val="false"/>
          <w:color w:val="000000"/>
          <w:sz w:val="18"/>
        </w:rPr>
        <w:t>:</w:t>
      </w:r>
    </w:p>
    <w:tbl>
      <w:tblPr>
        <w:tblW w:w="5936" w:type="dxa"/>
        <w:jc w:val="left"/>
        <w:tblInd w:w="0" w:type="dxa"/>
        <w:tblCellMar>
          <w:top w:w="28" w:type="dxa"/>
          <w:left w:w="28" w:type="dxa"/>
          <w:bottom w:w="28" w:type="dxa"/>
          <w:right w:w="28" w:type="dxa"/>
        </w:tblCellMar>
      </w:tblPr>
      <w:tblGrid>
        <w:gridCol w:w="865"/>
        <w:gridCol w:w="755"/>
        <w:gridCol w:w="764"/>
        <w:gridCol w:w="196"/>
        <w:gridCol w:w="646"/>
        <w:gridCol w:w="109"/>
        <w:gridCol w:w="109"/>
        <w:gridCol w:w="109"/>
        <w:gridCol w:w="109"/>
        <w:gridCol w:w="196"/>
        <w:gridCol w:w="646"/>
        <w:gridCol w:w="109"/>
        <w:gridCol w:w="109"/>
        <w:gridCol w:w="109"/>
        <w:gridCol w:w="109"/>
        <w:gridCol w:w="196"/>
        <w:gridCol w:w="646"/>
        <w:gridCol w:w="154"/>
      </w:tblGrid>
      <w:tr>
        <w:trPr/>
        <w:tc>
          <w:tcPr>
            <w:tcW w:w="86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Unrestricted stock awards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Phantom stock units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tax benefit</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is as follows:</w:t>
      </w:r>
    </w:p>
    <w:tbl>
      <w:tblPr>
        <w:tblW w:w="10205" w:type="dxa"/>
        <w:jc w:val="left"/>
        <w:tblInd w:w="0" w:type="dxa"/>
        <w:tblCellMar>
          <w:top w:w="28" w:type="dxa"/>
          <w:left w:w="28" w:type="dxa"/>
          <w:bottom w:w="28" w:type="dxa"/>
          <w:right w:w="28" w:type="dxa"/>
        </w:tblCellMar>
      </w:tblPr>
      <w:tblGrid>
        <w:gridCol w:w="463"/>
        <w:gridCol w:w="407"/>
        <w:gridCol w:w="409"/>
        <w:gridCol w:w="289"/>
        <w:gridCol w:w="289"/>
        <w:gridCol w:w="294"/>
        <w:gridCol w:w="109"/>
        <w:gridCol w:w="109"/>
        <w:gridCol w:w="109"/>
        <w:gridCol w:w="398"/>
        <w:gridCol w:w="1130"/>
        <w:gridCol w:w="222"/>
        <w:gridCol w:w="109"/>
        <w:gridCol w:w="109"/>
        <w:gridCol w:w="109"/>
        <w:gridCol w:w="629"/>
        <w:gridCol w:w="629"/>
        <w:gridCol w:w="631"/>
        <w:gridCol w:w="109"/>
        <w:gridCol w:w="109"/>
        <w:gridCol w:w="109"/>
        <w:gridCol w:w="287"/>
        <w:gridCol w:w="951"/>
        <w:gridCol w:w="162"/>
        <w:gridCol w:w="109"/>
        <w:gridCol w:w="109"/>
        <w:gridCol w:w="109"/>
        <w:gridCol w:w="367"/>
        <w:gridCol w:w="1043"/>
        <w:gridCol w:w="297"/>
      </w:tblGrid>
      <w:tr>
        <w:trPr/>
        <w:tc>
          <w:tcPr>
            <w:tcW w:w="463"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Remaining Contractual Life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1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2019</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76.55 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Exercised </w:t>
            </w:r>
            <w:r>
              <w:rPr>
                <w:rFonts w:ascii="Times New Roman;sans-serif" w:hAnsi="Times New Roman;sans-serif"/>
                <w:b w:val="false"/>
                <w:color w:val="000000"/>
                <w:sz w:val="12"/>
              </w:rPr>
              <w:t>(1)</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Expired</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66.24 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2019</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26.37 </w:t>
            </w:r>
          </w:p>
        </w:tc>
        <w:tc>
          <w:tcPr>
            <w:tcW w:w="2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Exercised </w:t>
            </w:r>
            <w:r>
              <w:rPr>
                <w:rFonts w:ascii="Times New Roman;sans-serif" w:hAnsi="Times New Roman;sans-serif"/>
                <w:b w:val="false"/>
                <w:color w:val="000000"/>
                <w:sz w:val="12"/>
              </w:rPr>
              <w:t>(1)</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2020</w:t>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61.95 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Exercised </w:t>
            </w:r>
            <w:r>
              <w:rPr>
                <w:rFonts w:ascii="Times New Roman;sans-serif" w:hAnsi="Times New Roman;sans-serif"/>
                <w:b w:val="false"/>
                <w:color w:val="000000"/>
                <w:sz w:val="12"/>
              </w:rPr>
              <w:t>(1)</w:t>
            </w:r>
          </w:p>
        </w:tc>
        <w:tc>
          <w:tcPr>
            <w:tcW w:w="5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5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2021</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61.18 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December 31, 2021</w:t>
            </w:r>
          </w:p>
        </w:tc>
        <w:tc>
          <w:tcPr>
            <w:tcW w:w="578"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56.56 </w:t>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4,681 </w:t>
            </w:r>
          </w:p>
        </w:tc>
        <w:tc>
          <w:tcPr>
            <w:tcW w:w="16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r>
        <w:trPr/>
        <w:tc>
          <w:tcPr>
            <w:tcW w:w="1279" w:type="dxa"/>
            <w:gridSpan w:val="3"/>
            <w:tcBorders/>
            <w:shd w:fill="auto" w:val="clear"/>
            <w:vAlign w:val="center"/>
          </w:tcPr>
          <w:p>
            <w:pPr>
              <w:pStyle w:val="TableContents"/>
              <w:spacing w:before="0" w:after="283"/>
              <w:rPr>
                <w:sz w:val="4"/>
                <w:szCs w:val="4"/>
              </w:rPr>
            </w:pPr>
            <w:r>
              <w:rPr>
                <w:sz w:val="4"/>
                <w:szCs w:val="4"/>
              </w:rPr>
            </w:r>
          </w:p>
        </w:tc>
        <w:tc>
          <w:tcPr>
            <w:tcW w:w="8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Shares released is presented as gross shares and does not reflect shares withheld by us for employee payroll tax obligations or shares swapped to cover the exercise cost.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total unrecognized stock-based compensation expense related to nonvested stock options was $1.1 million, which is expected to be recognized over a weighted average period of approximately 1.0 year.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estimate the fair value of stock options granted and the resulting weighted average fair value are as follows:</w:t>
      </w:r>
    </w:p>
    <w:tbl>
      <w:tblPr>
        <w:tblW w:w="4494" w:type="dxa"/>
        <w:jc w:val="left"/>
        <w:tblInd w:w="0" w:type="dxa"/>
        <w:tblCellMar>
          <w:top w:w="28" w:type="dxa"/>
          <w:left w:w="28" w:type="dxa"/>
          <w:bottom w:w="28" w:type="dxa"/>
          <w:right w:w="28" w:type="dxa"/>
        </w:tblCellMar>
      </w:tblPr>
      <w:tblGrid>
        <w:gridCol w:w="602"/>
        <w:gridCol w:w="530"/>
        <w:gridCol w:w="532"/>
        <w:gridCol w:w="203"/>
        <w:gridCol w:w="203"/>
        <w:gridCol w:w="260"/>
        <w:gridCol w:w="111"/>
        <w:gridCol w:w="111"/>
        <w:gridCol w:w="111"/>
        <w:gridCol w:w="233"/>
        <w:gridCol w:w="233"/>
        <w:gridCol w:w="260"/>
        <w:gridCol w:w="111"/>
        <w:gridCol w:w="111"/>
        <w:gridCol w:w="111"/>
        <w:gridCol w:w="233"/>
        <w:gridCol w:w="233"/>
        <w:gridCol w:w="306"/>
      </w:tblGrid>
      <w:tr>
        <w:trPr/>
        <w:tc>
          <w:tcPr>
            <w:tcW w:w="60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6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stock options are no longer a part of our stock compensation plan as of December 31, 2020.</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activity:</w:t>
      </w:r>
    </w:p>
    <w:tbl>
      <w:tblPr>
        <w:tblW w:w="10205" w:type="dxa"/>
        <w:jc w:val="left"/>
        <w:tblInd w:w="0" w:type="dxa"/>
        <w:tblCellMar>
          <w:top w:w="28" w:type="dxa"/>
          <w:left w:w="28" w:type="dxa"/>
          <w:bottom w:w="28" w:type="dxa"/>
          <w:right w:w="28" w:type="dxa"/>
        </w:tblCellMar>
      </w:tblPr>
      <w:tblGrid>
        <w:gridCol w:w="928"/>
        <w:gridCol w:w="816"/>
        <w:gridCol w:w="819"/>
        <w:gridCol w:w="812"/>
        <w:gridCol w:w="812"/>
        <w:gridCol w:w="814"/>
        <w:gridCol w:w="109"/>
        <w:gridCol w:w="109"/>
        <w:gridCol w:w="109"/>
        <w:gridCol w:w="607"/>
        <w:gridCol w:w="1726"/>
        <w:gridCol w:w="339"/>
        <w:gridCol w:w="109"/>
        <w:gridCol w:w="109"/>
        <w:gridCol w:w="109"/>
        <w:gridCol w:w="368"/>
        <w:gridCol w:w="1215"/>
        <w:gridCol w:w="295"/>
      </w:tblGrid>
      <w:tr>
        <w:trPr/>
        <w:tc>
          <w:tcPr>
            <w:tcW w:w="92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172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2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2019</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8" w:type="dxa"/>
            <w:gridSpan w:val="3"/>
            <w:tcBorders/>
            <w:shd w:fill="auto" w:val="cle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62.97 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8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29,304 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2019</w:t>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64.38 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8" w:type="dxa"/>
            <w:gridSpan w:val="3"/>
            <w:tcBorders/>
            <w:shd w:fill="auto" w:val="cle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8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83.42 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23,702 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8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2020</w:t>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97.66 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Released </w:t>
            </w:r>
            <w:r>
              <w:rPr>
                <w:rFonts w:ascii="Times New Roman;sans-serif" w:hAnsi="Times New Roman;sans-serif"/>
                <w:b w:val="false"/>
                <w:color w:val="000000"/>
                <w:sz w:val="12"/>
              </w:rPr>
              <w:t>(1)</w:t>
            </w:r>
          </w:p>
        </w:tc>
        <w:tc>
          <w:tcPr>
            <w:tcW w:w="1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w:t>
            </w:r>
          </w:p>
        </w:tc>
        <w:tc>
          <w:tcPr>
            <w:tcW w:w="8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70.34 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20,639 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8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78.45 </w:t>
            </w:r>
          </w:p>
        </w:tc>
        <w:tc>
          <w:tcPr>
            <w:tcW w:w="3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2021</w:t>
            </w:r>
          </w:p>
        </w:tc>
        <w:tc>
          <w:tcPr>
            <w:tcW w:w="16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85.77 </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but not released, December 31, 2021</w:t>
            </w:r>
          </w:p>
        </w:tc>
        <w:tc>
          <w:tcPr>
            <w:tcW w:w="1624"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81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2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68.52 </w:t>
            </w:r>
          </w:p>
        </w:tc>
        <w:tc>
          <w:tcPr>
            <w:tcW w:w="33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295"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563"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8" w:type="dxa"/>
            <w:gridSpan w:val="3"/>
            <w:tcBorders/>
            <w:shd w:fill="auto" w:val="clear"/>
            <w:vAlign w:val="center"/>
          </w:tcPr>
          <w:p>
            <w:pPr>
              <w:pStyle w:val="TableContents"/>
              <w:spacing w:before="0" w:after="283"/>
              <w:rPr>
                <w:sz w:val="4"/>
                <w:szCs w:val="4"/>
              </w:rPr>
            </w:pPr>
            <w:r>
              <w:rPr>
                <w:sz w:val="4"/>
                <w:szCs w:val="4"/>
              </w:rPr>
            </w:r>
          </w:p>
        </w:tc>
      </w:tr>
      <w:tr>
        <w:trPr/>
        <w:tc>
          <w:tcPr>
            <w:tcW w:w="2563" w:type="dxa"/>
            <w:gridSpan w:val="3"/>
            <w:tcBorders/>
            <w:shd w:fill="auto" w:val="clear"/>
            <w:vAlign w:val="center"/>
          </w:tcPr>
          <w:p>
            <w:pPr>
              <w:pStyle w:val="TableContents"/>
              <w:spacing w:before="0" w:after="283"/>
              <w:rPr>
                <w:sz w:val="4"/>
                <w:szCs w:val="4"/>
              </w:rPr>
            </w:pPr>
            <w:r>
              <w:rPr>
                <w:sz w:val="4"/>
                <w:szCs w:val="4"/>
              </w:rPr>
            </w:r>
          </w:p>
        </w:tc>
        <w:tc>
          <w:tcPr>
            <w:tcW w:w="24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Shares released is presented as gross shares and does not reflect shares withheld by us for employee payroll tax obligations.</w:t>
      </w:r>
    </w:p>
    <w:p>
      <w:pPr>
        <w:pStyle w:val="TextBody"/>
        <w:spacing w:before="0" w:after="0"/>
        <w:ind w:left="0" w:right="0" w:hanging="36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total unrecognized compensation expense on restricted stock units was $22.6 million, which is expected to be recognized over a weighted average period of approximately 1.6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assumptions used to estimate the fair value of performance-based restricted stock units granted with a service and market condition and the resulting weighted average fair value are as follows:</w:t>
      </w:r>
    </w:p>
    <w:tbl>
      <w:tblPr>
        <w:tblW w:w="5807" w:type="dxa"/>
        <w:jc w:val="left"/>
        <w:tblInd w:w="0" w:type="dxa"/>
        <w:tblCellMar>
          <w:top w:w="28" w:type="dxa"/>
          <w:left w:w="28" w:type="dxa"/>
          <w:bottom w:w="28" w:type="dxa"/>
          <w:right w:w="28" w:type="dxa"/>
        </w:tblCellMar>
      </w:tblPr>
      <w:tblGrid>
        <w:gridCol w:w="754"/>
        <w:gridCol w:w="664"/>
        <w:gridCol w:w="666"/>
        <w:gridCol w:w="196"/>
        <w:gridCol w:w="556"/>
        <w:gridCol w:w="256"/>
        <w:gridCol w:w="109"/>
        <w:gridCol w:w="109"/>
        <w:gridCol w:w="109"/>
        <w:gridCol w:w="196"/>
        <w:gridCol w:w="556"/>
        <w:gridCol w:w="256"/>
        <w:gridCol w:w="109"/>
        <w:gridCol w:w="109"/>
        <w:gridCol w:w="109"/>
        <w:gridCol w:w="196"/>
        <w:gridCol w:w="556"/>
        <w:gridCol w:w="301"/>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(years)</w:t>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r>
      <w:tr>
        <w:trPr/>
        <w:tc>
          <w:tcPr>
            <w:tcW w:w="20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fair value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93.97 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61.25 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25"/>
        <w:jc w:val="both"/>
        <w:rPr>
          <w:rFonts w:ascii="Times New Roman;sans-serif" w:hAnsi="Times New Roman;sans-serif"/>
          <w:b w:val="false"/>
          <w:i/>
          <w:color w:val="000000"/>
          <w:sz w:val="20"/>
        </w:rPr>
      </w:pPr>
      <w:r>
        <w:rPr>
          <w:rFonts w:ascii="Times New Roman;sans-serif" w:hAnsi="Times New Roman;sans-serif"/>
          <w:b w:val="false"/>
          <w:i/>
          <w:color w:val="000000"/>
          <w:sz w:val="20"/>
        </w:rPr>
        <w:t>Phantom Stock Units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phantom stock unit activity:</w:t>
      </w:r>
    </w:p>
    <w:tbl>
      <w:tblPr>
        <w:tblW w:w="9219" w:type="dxa"/>
        <w:jc w:val="center"/>
        <w:tblInd w:w="0" w:type="dxa"/>
        <w:tblCellMar>
          <w:top w:w="28" w:type="dxa"/>
          <w:left w:w="28" w:type="dxa"/>
          <w:bottom w:w="28" w:type="dxa"/>
          <w:right w:w="28" w:type="dxa"/>
        </w:tblCellMar>
      </w:tblPr>
      <w:tblGrid>
        <w:gridCol w:w="896"/>
        <w:gridCol w:w="788"/>
        <w:gridCol w:w="791"/>
        <w:gridCol w:w="879"/>
        <w:gridCol w:w="879"/>
        <w:gridCol w:w="882"/>
        <w:gridCol w:w="109"/>
        <w:gridCol w:w="109"/>
        <w:gridCol w:w="109"/>
        <w:gridCol w:w="300"/>
        <w:gridCol w:w="853"/>
        <w:gridCol w:w="168"/>
        <w:gridCol w:w="109"/>
        <w:gridCol w:w="109"/>
        <w:gridCol w:w="109"/>
        <w:gridCol w:w="460"/>
        <w:gridCol w:w="1306"/>
        <w:gridCol w:w="363"/>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Phantom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Intrinsic Value</w:t>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January 1, 2019</w:t>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2019</w:t>
            </w:r>
          </w:p>
        </w:tc>
        <w:tc>
          <w:tcPr>
            <w:tcW w:w="17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2,971 </w:t>
            </w:r>
          </w:p>
        </w:tc>
        <w:tc>
          <w:tcPr>
            <w:tcW w:w="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2020</w:t>
            </w:r>
          </w:p>
        </w:tc>
        <w:tc>
          <w:tcPr>
            <w:tcW w:w="17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1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7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8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2021</w:t>
            </w:r>
          </w:p>
        </w:tc>
        <w:tc>
          <w:tcPr>
            <w:tcW w:w="1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26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2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total unrecognized compensation expense on phantom stock units was $2.9 million, which is expected to be recognized over a weighted average period of approximately 1.6 years. As of December 31, 2021 and 2020, we have recognized a phantom stock liability of $1.9 million and $2.7 million within wages and benefits payable in the Consolidated Balance Sheets.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10:    Defined Contribution, Bonus, and Profit Sharing Plans</w:t>
      </w:r>
    </w:p>
    <w:p>
      <w:pPr>
        <w:pStyle w:val="TextBody"/>
        <w:spacing w:before="0" w:after="0"/>
        <w:ind w:left="0" w:right="0" w:firstLine="225"/>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tbl>
      <w:tblPr>
        <w:tblW w:w="6177" w:type="dxa"/>
        <w:jc w:val="left"/>
        <w:tblInd w:w="0" w:type="dxa"/>
        <w:tblCellMar>
          <w:top w:w="28" w:type="dxa"/>
          <w:left w:w="28" w:type="dxa"/>
          <w:bottom w:w="28" w:type="dxa"/>
          <w:right w:w="28" w:type="dxa"/>
        </w:tblCellMar>
      </w:tblPr>
      <w:tblGrid>
        <w:gridCol w:w="951"/>
        <w:gridCol w:w="833"/>
        <w:gridCol w:w="841"/>
        <w:gridCol w:w="196"/>
        <w:gridCol w:w="646"/>
        <w:gridCol w:w="109"/>
        <w:gridCol w:w="109"/>
        <w:gridCol w:w="109"/>
        <w:gridCol w:w="109"/>
        <w:gridCol w:w="196"/>
        <w:gridCol w:w="646"/>
        <w:gridCol w:w="109"/>
        <w:gridCol w:w="109"/>
        <w:gridCol w:w="109"/>
        <w:gridCol w:w="109"/>
        <w:gridCol w:w="196"/>
        <w:gridCol w:w="646"/>
        <w:gridCol w:w="154"/>
      </w:tblGrid>
      <w:tr>
        <w:trPr/>
        <w:tc>
          <w:tcPr>
            <w:tcW w:w="951"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6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Defined contribution plans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225"/>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Bonus and Profit Sharing Plans and Awards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tbl>
      <w:tblPr>
        <w:tblW w:w="6476" w:type="dxa"/>
        <w:jc w:val="left"/>
        <w:tblInd w:w="0" w:type="dxa"/>
        <w:tblCellMar>
          <w:top w:w="28" w:type="dxa"/>
          <w:left w:w="28" w:type="dxa"/>
          <w:bottom w:w="28" w:type="dxa"/>
          <w:right w:w="28" w:type="dxa"/>
        </w:tblCellMar>
      </w:tblPr>
      <w:tblGrid>
        <w:gridCol w:w="1059"/>
        <w:gridCol w:w="928"/>
        <w:gridCol w:w="937"/>
        <w:gridCol w:w="196"/>
        <w:gridCol w:w="646"/>
        <w:gridCol w:w="109"/>
        <w:gridCol w:w="109"/>
        <w:gridCol w:w="109"/>
        <w:gridCol w:w="109"/>
        <w:gridCol w:w="196"/>
        <w:gridCol w:w="646"/>
        <w:gridCol w:w="109"/>
        <w:gridCol w:w="109"/>
        <w:gridCol w:w="109"/>
        <w:gridCol w:w="109"/>
        <w:gridCol w:w="196"/>
        <w:gridCol w:w="646"/>
        <w:gridCol w:w="154"/>
      </w:tblGrid>
      <w:tr>
        <w:trPr/>
        <w:tc>
          <w:tcPr>
            <w:tcW w:w="105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Bonus and profit sharing plans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27, 2020, the U.S. Federal government passed the Coronavirus Aid, Relief, and Economic Security (CARES) Act to provide economic relief from COVID-19. The CARES Act provides employer payroll tax credits for wages paid to employees who are unable to work during the COVID-19 outbreak and options to defer payroll tax payments. The Company has elected to defer remittances of payroll and other taxes into the future as provided for under the 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provision (benefit) for U.S. federal, state, and foreign taxes on income from continuing operations:</w:t>
      </w:r>
    </w:p>
    <w:tbl>
      <w:tblPr>
        <w:tblW w:w="6565" w:type="dxa"/>
        <w:jc w:val="left"/>
        <w:tblInd w:w="0" w:type="dxa"/>
        <w:tblCellMar>
          <w:top w:w="28" w:type="dxa"/>
          <w:left w:w="28" w:type="dxa"/>
          <w:bottom w:w="28" w:type="dxa"/>
          <w:right w:w="28" w:type="dxa"/>
        </w:tblCellMar>
      </w:tblPr>
      <w:tblGrid>
        <w:gridCol w:w="1108"/>
        <w:gridCol w:w="972"/>
        <w:gridCol w:w="980"/>
        <w:gridCol w:w="196"/>
        <w:gridCol w:w="721"/>
        <w:gridCol w:w="109"/>
        <w:gridCol w:w="109"/>
        <w:gridCol w:w="109"/>
        <w:gridCol w:w="109"/>
        <w:gridCol w:w="204"/>
        <w:gridCol w:w="516"/>
        <w:gridCol w:w="109"/>
        <w:gridCol w:w="109"/>
        <w:gridCol w:w="109"/>
        <w:gridCol w:w="109"/>
        <w:gridCol w:w="196"/>
        <w:gridCol w:w="646"/>
        <w:gridCol w:w="154"/>
      </w:tblGrid>
      <w:tr>
        <w:trPr/>
        <w:tc>
          <w:tcPr>
            <w:tcW w:w="1108"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(benefit)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issuance of our 2019 financial statements, we determined that a deferred tax liability related to the difference between the book and tax bases of a European subsidiary, initially recorded in 2018, should not have been recognized. Instead, we should have established a valuation allowance against the net operating loss deferred tax asset recognized for that subsidiary. As a result, the valuation allowance, the deferred tax liability, and the related disclosures of movements in those amounts, including foreign currency impacts, have been restated from the amounts previously reported in the 2019 tax disclosures. There is no impact on income tax benefit (provision), net income or the balance sheet presentation of this immaterial misstatement.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the valuation allowance does not include the impacts of currency translation adjustments, acquisitions, or significant intercompany transactions.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tax provision (benefit) as a percentage of income before tax was 37%, less than 1%, and 28% for 2021, 2020, and 2019. The 2021 tax benefit reflects the impact of certain transfers of business activities and assets that result in a prospective shift of income from international operations to the U.S. A reconciliation of income taxes at the U.S. federal statutory rate of 21% to the consolidated actual tax rate is as follows:</w:t>
      </w:r>
    </w:p>
    <w:tbl>
      <w:tblPr>
        <w:tblW w:w="7886" w:type="dxa"/>
        <w:jc w:val="left"/>
        <w:tblInd w:w="0" w:type="dxa"/>
        <w:tblCellMar>
          <w:top w:w="28" w:type="dxa"/>
          <w:left w:w="28" w:type="dxa"/>
          <w:bottom w:w="28" w:type="dxa"/>
          <w:right w:w="28" w:type="dxa"/>
        </w:tblCellMar>
      </w:tblPr>
      <w:tblGrid>
        <w:gridCol w:w="1483"/>
        <w:gridCol w:w="1299"/>
        <w:gridCol w:w="1312"/>
        <w:gridCol w:w="196"/>
        <w:gridCol w:w="811"/>
        <w:gridCol w:w="109"/>
        <w:gridCol w:w="109"/>
        <w:gridCol w:w="109"/>
        <w:gridCol w:w="109"/>
        <w:gridCol w:w="196"/>
        <w:gridCol w:w="721"/>
        <w:gridCol w:w="109"/>
        <w:gridCol w:w="109"/>
        <w:gridCol w:w="109"/>
        <w:gridCol w:w="109"/>
        <w:gridCol w:w="196"/>
        <w:gridCol w:w="646"/>
        <w:gridCol w:w="154"/>
      </w:tblGrid>
      <w:tr>
        <w:trPr/>
        <w:tc>
          <w:tcPr>
            <w:tcW w:w="1483"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40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4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federal income tax provision (benefit)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Latin America Divestiture</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Onshoring of international operations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earnings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credits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 including interest and penalties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tax rates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provision (benefit), net of federal effect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tax provision on foreign earnings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Local foreign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provision (benefit) from income taxes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Deferred tax assets and liabilities consist of the following:</w:t>
      </w:r>
    </w:p>
    <w:tbl>
      <w:tblPr>
        <w:tblW w:w="6218" w:type="dxa"/>
        <w:jc w:val="left"/>
        <w:tblInd w:w="0" w:type="dxa"/>
        <w:tblCellMar>
          <w:top w:w="28" w:type="dxa"/>
          <w:left w:w="28" w:type="dxa"/>
          <w:bottom w:w="28" w:type="dxa"/>
          <w:right w:w="28" w:type="dxa"/>
        </w:tblCellMar>
      </w:tblPr>
      <w:tblGrid>
        <w:gridCol w:w="1364"/>
        <w:gridCol w:w="1193"/>
        <w:gridCol w:w="1207"/>
        <w:gridCol w:w="196"/>
        <w:gridCol w:w="736"/>
        <w:gridCol w:w="109"/>
        <w:gridCol w:w="109"/>
        <w:gridCol w:w="109"/>
        <w:gridCol w:w="109"/>
        <w:gridCol w:w="196"/>
        <w:gridCol w:w="736"/>
        <w:gridCol w:w="154"/>
      </w:tblGrid>
      <w:tr>
        <w:trPr/>
        <w:tc>
          <w:tcPr>
            <w:tcW w:w="1364"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37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Loss carryforwards</w:t>
            </w:r>
            <w:r>
              <w:rPr>
                <w:rFonts w:ascii="Times New Roman;sans-serif" w:hAnsi="Times New Roman;sans-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Tax credits</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47,569 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plan benefits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reserves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valuation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deferred tax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636,090 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Valuation allowance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(503,859)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assets, net of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deferred tax liabilities,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deferred tax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ind w:left="0" w:right="0" w:hanging="360"/>
        <w:jc w:val="both"/>
        <w:rPr/>
      </w:pPr>
      <w:r>
        <w:rPr>
          <w:rFonts w:ascii="Times New Roman;sans-serif" w:hAnsi="Times New Roman;sans-serif"/>
          <w:b w:val="false"/>
          <w:color w:val="000000"/>
          <w:sz w:val="13"/>
        </w:rPr>
        <w:t>(1)</w:t>
      </w:r>
      <w:r>
        <w:rPr>
          <w:rFonts w:ascii="Times New Roman;sans-serif" w:hAnsi="Times New Roman;sans-serif"/>
          <w:b w:val="false"/>
          <w:color w:val="000000"/>
          <w:sz w:val="18"/>
        </w:rPr>
        <w:t>For tax return purposes at December 31, 2021, we had U.S. federal loss carryforwards of $4.8 million, which begin to expire in the year 2022. At December 31, 2021, we have net operating loss carryforwards in Luxembourg of $1.3 billion,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2021, there was a valuation allowance of $443.6 million primarily associated with foreign loss carryforwards.</w:t>
      </w:r>
    </w:p>
    <w:p>
      <w:pPr>
        <w:pStyle w:val="TextBody"/>
        <w:spacing w:lineRule="auto" w:line="288" w:before="0" w:after="0"/>
        <w:ind w:left="0" w:right="0" w:hanging="360"/>
        <w:jc w:val="both"/>
        <w:rPr/>
      </w:pPr>
      <w:r>
        <w:rPr>
          <w:rFonts w:ascii="Times New Roman;sans-serif" w:hAnsi="Times New Roman;sans-serif"/>
          <w:b w:val="false"/>
          <w:color w:val="000000"/>
          <w:sz w:val="13"/>
        </w:rPr>
        <w:t>(2)</w:t>
      </w:r>
      <w:r>
        <w:rPr>
          <w:rFonts w:ascii="Times New Roman;sans-serif" w:hAnsi="Times New Roman;sans-serif"/>
          <w:b w:val="false"/>
          <w:color w:val="000000"/>
          <w:sz w:val="18"/>
        </w:rPr>
        <w:t xml:space="preserve">For tax return purposes at December 31, 2021, we had: (1) U.S. general business credits of $53.3 million, which begin to expire in 2028; (2) U.S. foreign tax credits of $1.6 million, which begin to expire in 2025; and (3) state tax credits of $39.3 million, which begin to expire in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valuation allowance for deferred tax assets are summarized as follows:</w:t>
      </w:r>
    </w:p>
    <w:tbl>
      <w:tblPr>
        <w:tblW w:w="6821" w:type="dxa"/>
        <w:jc w:val="left"/>
        <w:tblInd w:w="0" w:type="dxa"/>
        <w:tblCellMar>
          <w:top w:w="28" w:type="dxa"/>
          <w:left w:w="28" w:type="dxa"/>
          <w:bottom w:w="28" w:type="dxa"/>
          <w:right w:w="28" w:type="dxa"/>
        </w:tblCellMar>
      </w:tblPr>
      <w:tblGrid>
        <w:gridCol w:w="1087"/>
        <w:gridCol w:w="952"/>
        <w:gridCol w:w="960"/>
        <w:gridCol w:w="196"/>
        <w:gridCol w:w="736"/>
        <w:gridCol w:w="109"/>
        <w:gridCol w:w="109"/>
        <w:gridCol w:w="109"/>
        <w:gridCol w:w="109"/>
        <w:gridCol w:w="196"/>
        <w:gridCol w:w="736"/>
        <w:gridCol w:w="109"/>
        <w:gridCol w:w="109"/>
        <w:gridCol w:w="109"/>
        <w:gridCol w:w="109"/>
        <w:gridCol w:w="196"/>
        <w:gridCol w:w="736"/>
        <w:gridCol w:w="154"/>
      </w:tblGrid>
      <w:tr>
        <w:trPr/>
        <w:tc>
          <w:tcPr>
            <w:tcW w:w="1087"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9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charged to costs and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 noncurrent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503,859 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near term if estimates of future taxable income during the carryforward periods are reduced or current tax planning strategies are not implemented.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provide U.S. deferred taxes on temporary differences related to our foreign investments that are considered permanent in duration. These temporary differences include undistributed foreign earnings of $25.7 million and $18.1 million at December 31, 2021 and 2020. Foreign taxes have been provided on these undistributed foreign earnings. As a result of recent changes in U.S. tax legislation, any repatriation of these earnings would not result in additional U.S. federal income tax.</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amount of unrecognized tax benefits were as follows:</w:t>
      </w:r>
    </w:p>
    <w:tbl>
      <w:tblPr>
        <w:tblW w:w="4761" w:type="dxa"/>
        <w:jc w:val="left"/>
        <w:tblInd w:w="0" w:type="dxa"/>
        <w:tblCellMar>
          <w:top w:w="28" w:type="dxa"/>
          <w:left w:w="28" w:type="dxa"/>
          <w:bottom w:w="28" w:type="dxa"/>
          <w:right w:w="28" w:type="dxa"/>
        </w:tblCellMar>
      </w:tblPr>
      <w:tblGrid>
        <w:gridCol w:w="1330"/>
        <w:gridCol w:w="1168"/>
        <w:gridCol w:w="1177"/>
        <w:gridCol w:w="196"/>
        <w:gridCol w:w="736"/>
        <w:gridCol w:w="154"/>
      </w:tblGrid>
      <w:tr>
        <w:trPr/>
        <w:tc>
          <w:tcPr>
            <w:tcW w:w="133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6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January 1, 2019</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to positions in prior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to positions in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to current 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settlements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related to lapsing of statute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December 31, 2019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to positions in prior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to positions in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to current 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settlements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related to lapsing of statute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December 31, 2020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 to positions in prior years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decrease to positions in prior years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increases to current period tax positions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Audit settlements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Decrease related to lapsing of statute of limitations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Unrecognized tax benefits at December 31, 2021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2311"/>
        <w:gridCol w:w="2024"/>
        <w:gridCol w:w="2047"/>
        <w:gridCol w:w="196"/>
        <w:gridCol w:w="736"/>
        <w:gridCol w:w="109"/>
        <w:gridCol w:w="109"/>
        <w:gridCol w:w="109"/>
        <w:gridCol w:w="109"/>
        <w:gridCol w:w="196"/>
        <w:gridCol w:w="736"/>
        <w:gridCol w:w="109"/>
        <w:gridCol w:w="109"/>
        <w:gridCol w:w="109"/>
        <w:gridCol w:w="109"/>
        <w:gridCol w:w="196"/>
        <w:gridCol w:w="736"/>
        <w:gridCol w:w="155"/>
      </w:tblGrid>
      <w:tr>
        <w:trPr/>
        <w:tc>
          <w:tcPr>
            <w:tcW w:w="2311"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20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63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w:t>
            </w:r>
          </w:p>
        </w:tc>
      </w:tr>
      <w:tr>
        <w:trPr/>
        <w:tc>
          <w:tcPr>
            <w:tcW w:w="63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38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amount of unrecognized tax benefits that, if recognized, would affect our effective tax rate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certain unrecognized tax benefits are recognized they would create additional deferred tax assets. These assets would require a full valuation allowance in certain locations based upon present circumstances.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expense and penalties related to unrecognized tax benefits and interest income on tax overpayments as components of income tax expense. The net interest and penalties expense recognized were as follows:</w:t>
      </w:r>
    </w:p>
    <w:tbl>
      <w:tblPr>
        <w:tblW w:w="6237" w:type="dxa"/>
        <w:jc w:val="left"/>
        <w:tblInd w:w="0" w:type="dxa"/>
        <w:tblCellMar>
          <w:top w:w="28" w:type="dxa"/>
          <w:left w:w="28" w:type="dxa"/>
          <w:bottom w:w="28" w:type="dxa"/>
          <w:right w:w="28" w:type="dxa"/>
        </w:tblCellMar>
      </w:tblPr>
      <w:tblGrid>
        <w:gridCol w:w="1141"/>
        <w:gridCol w:w="1000"/>
        <w:gridCol w:w="1009"/>
        <w:gridCol w:w="196"/>
        <w:gridCol w:w="631"/>
        <w:gridCol w:w="109"/>
        <w:gridCol w:w="109"/>
        <w:gridCol w:w="109"/>
        <w:gridCol w:w="109"/>
        <w:gridCol w:w="196"/>
        <w:gridCol w:w="421"/>
        <w:gridCol w:w="109"/>
        <w:gridCol w:w="109"/>
        <w:gridCol w:w="109"/>
        <w:gridCol w:w="109"/>
        <w:gridCol w:w="196"/>
        <w:gridCol w:w="421"/>
        <w:gridCol w:w="154"/>
      </w:tblGrid>
      <w:tr>
        <w:trPr/>
        <w:tc>
          <w:tcPr>
            <w:tcW w:w="1141"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3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and penalties expense (benefit)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3473" w:type="dxa"/>
        <w:jc w:val="left"/>
        <w:tblInd w:w="0" w:type="dxa"/>
        <w:tblCellMar>
          <w:top w:w="28" w:type="dxa"/>
          <w:left w:w="28" w:type="dxa"/>
          <w:bottom w:w="28" w:type="dxa"/>
          <w:right w:w="28" w:type="dxa"/>
        </w:tblCellMar>
      </w:tblPr>
      <w:tblGrid>
        <w:gridCol w:w="500"/>
        <w:gridCol w:w="438"/>
        <w:gridCol w:w="441"/>
        <w:gridCol w:w="196"/>
        <w:gridCol w:w="556"/>
        <w:gridCol w:w="109"/>
        <w:gridCol w:w="109"/>
        <w:gridCol w:w="109"/>
        <w:gridCol w:w="109"/>
        <w:gridCol w:w="196"/>
        <w:gridCol w:w="556"/>
        <w:gridCol w:w="154"/>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w:t>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penalties</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we are under examination by certain tax authorities. During 2021, we settled a French tax audit on years 2013-2018 with minimal impact to the financial statements or cash taxes.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file income tax returns in various jurisdictions. We are subject to income tax examination by tax authorities in our major tax jurisdictions as follows:</w:t>
      </w:r>
    </w:p>
    <w:tbl>
      <w:tblPr>
        <w:tblW w:w="3627" w:type="dxa"/>
        <w:jc w:val="left"/>
        <w:tblInd w:w="0" w:type="dxa"/>
        <w:tblCellMar>
          <w:top w:w="28" w:type="dxa"/>
          <w:left w:w="28" w:type="dxa"/>
          <w:bottom w:w="28" w:type="dxa"/>
          <w:right w:w="28" w:type="dxa"/>
        </w:tblCellMar>
      </w:tblPr>
      <w:tblGrid>
        <w:gridCol w:w="499"/>
        <w:gridCol w:w="439"/>
        <w:gridCol w:w="441"/>
        <w:gridCol w:w="109"/>
        <w:gridCol w:w="109"/>
        <w:gridCol w:w="109"/>
        <w:gridCol w:w="562"/>
        <w:gridCol w:w="562"/>
        <w:gridCol w:w="797"/>
      </w:tblGrid>
      <w:tr>
        <w:trPr/>
        <w:tc>
          <w:tcPr>
            <w:tcW w:w="49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r>
      <w:tr>
        <w:trPr/>
        <w:tc>
          <w:tcPr>
            <w:tcW w:w="13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Tax Jurisdiction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Subject to Audit</w:t>
            </w:r>
          </w:p>
        </w:tc>
      </w:tr>
      <w:tr>
        <w:trPr/>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federal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2002</w:t>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2018</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Germany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2013</w:t>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Kingdom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2016</w:t>
            </w:r>
          </w:p>
        </w:tc>
      </w:tr>
      <w:tr>
        <w:trPr/>
        <w:tc>
          <w:tcPr>
            <w:tcW w:w="13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Indonesia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2015</w:t>
            </w:r>
          </w:p>
        </w:tc>
      </w:tr>
      <w:tr>
        <w:trPr/>
        <w:tc>
          <w:tcPr>
            <w:tcW w:w="13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Italy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Subsequent to 2016</w:t>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Guarantees and Indemnifications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often required to obtain standby letters of credit (LOCs) or bonds in support of our obligations for customer contracts. These standby LOCs or bonds typically provide a guarantee to the customer for our future performance, which usually covers the installation phase of a contract and may, on occasion, cover the operations and maintenance phase of outsourcing contracts.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available lines of credit, outstanding standby LOCs, and bonds were as follows:</w:t>
      </w:r>
    </w:p>
    <w:tbl>
      <w:tblPr>
        <w:tblW w:w="8724" w:type="dxa"/>
        <w:jc w:val="left"/>
        <w:tblInd w:w="0" w:type="dxa"/>
        <w:tblCellMar>
          <w:top w:w="28" w:type="dxa"/>
          <w:left w:w="28" w:type="dxa"/>
          <w:bottom w:w="28" w:type="dxa"/>
          <w:right w:w="28" w:type="dxa"/>
        </w:tblCellMar>
      </w:tblPr>
      <w:tblGrid>
        <w:gridCol w:w="2266"/>
        <w:gridCol w:w="1989"/>
        <w:gridCol w:w="2015"/>
        <w:gridCol w:w="196"/>
        <w:gridCol w:w="736"/>
        <w:gridCol w:w="109"/>
        <w:gridCol w:w="109"/>
        <w:gridCol w:w="109"/>
        <w:gridCol w:w="109"/>
        <w:gridCol w:w="196"/>
        <w:gridCol w:w="736"/>
        <w:gridCol w:w="154"/>
      </w:tblGrid>
      <w:tr>
        <w:trPr/>
        <w:tc>
          <w:tcPr>
            <w:tcW w:w="2266"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w:t>
            </w:r>
          </w:p>
        </w:tc>
      </w:tr>
      <w:tr>
        <w:trPr/>
        <w:tc>
          <w:tcPr>
            <w:tcW w:w="62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6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under the multicurrency revolving line of credit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standby LOCs under sub-facility</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235,052 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multicurrency revolving lines of credit with various financial institutions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lines of credit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LOCs issued and outstanding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available for additional borrowings and LOCs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surety bonds in force</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281,270 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162,912 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any such standby LOC or bond is called, we would be obligated to reimburse the issuer of the standby LOC or bond; however, as of February 28, 2022, we do not believe any outstanding standby LOCs or bonds will be called.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would be recognized and charged to operating expense when we determine that a loss is probable and the amount can be reasonably estimated. Additionally, we disclose contingencies for which a material loss is reasonably possible, but not probable.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Warranty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warranty accrual account activity is as follows:</w:t>
      </w:r>
    </w:p>
    <w:tbl>
      <w:tblPr>
        <w:tblW w:w="6387" w:type="dxa"/>
        <w:jc w:val="left"/>
        <w:tblInd w:w="0" w:type="dxa"/>
        <w:tblCellMar>
          <w:top w:w="28" w:type="dxa"/>
          <w:left w:w="28" w:type="dxa"/>
          <w:bottom w:w="28" w:type="dxa"/>
          <w:right w:w="28" w:type="dxa"/>
        </w:tblCellMar>
      </w:tblPr>
      <w:tblGrid>
        <w:gridCol w:w="1027"/>
        <w:gridCol w:w="900"/>
        <w:gridCol w:w="908"/>
        <w:gridCol w:w="196"/>
        <w:gridCol w:w="646"/>
        <w:gridCol w:w="109"/>
        <w:gridCol w:w="109"/>
        <w:gridCol w:w="109"/>
        <w:gridCol w:w="109"/>
        <w:gridCol w:w="196"/>
        <w:gridCol w:w="646"/>
        <w:gridCol w:w="109"/>
        <w:gridCol w:w="109"/>
        <w:gridCol w:w="109"/>
        <w:gridCol w:w="109"/>
        <w:gridCol w:w="196"/>
        <w:gridCol w:w="646"/>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product warranties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adjustments and expirations, net</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Claims activity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Warranties reclassified to held for sale</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warranty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warranty expense is classified within cost of revenues and consists of new product warranties issued, costs related to insurance and supplier recoveries, other changes and adjustments to warranties, and customer claims. </w:t>
      </w:r>
    </w:p>
    <w:p>
      <w:pPr>
        <w:pStyle w:val="TextBody"/>
        <w:spacing w:before="0" w:after="0"/>
        <w:jc w:val="both"/>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On November 2, 2021, Itron entered into an agreement to sell certain of its Gas device businesses and operations to Dresser. The related disposal group was classified as held for sale during the fourth quarter of 2021. Refer to </w:t>
      </w:r>
      <w:r>
        <w:rPr>
          <w:rFonts w:ascii="Times New Roman;sans-serif" w:hAnsi="Times New Roman;sans-serif"/>
          <w:b w:val="false"/>
          <w:color w:val="000000"/>
          <w:sz w:val="20"/>
        </w:rPr>
        <w:t>Note 18: Sale of Businesses for additional information on the transaction.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Warranty expense was as follows:</w:t>
      </w:r>
    </w:p>
    <w:tbl>
      <w:tblPr>
        <w:tblW w:w="5232" w:type="dxa"/>
        <w:jc w:val="left"/>
        <w:tblInd w:w="0" w:type="dxa"/>
        <w:tblCellMar>
          <w:top w:w="28" w:type="dxa"/>
          <w:left w:w="28" w:type="dxa"/>
          <w:bottom w:w="28" w:type="dxa"/>
          <w:right w:w="28" w:type="dxa"/>
        </w:tblCellMar>
      </w:tblPr>
      <w:tblGrid>
        <w:gridCol w:w="641"/>
        <w:gridCol w:w="562"/>
        <w:gridCol w:w="567"/>
        <w:gridCol w:w="196"/>
        <w:gridCol w:w="556"/>
        <w:gridCol w:w="109"/>
        <w:gridCol w:w="109"/>
        <w:gridCol w:w="109"/>
        <w:gridCol w:w="109"/>
        <w:gridCol w:w="196"/>
        <w:gridCol w:w="646"/>
        <w:gridCol w:w="109"/>
        <w:gridCol w:w="109"/>
        <w:gridCol w:w="109"/>
        <w:gridCol w:w="109"/>
        <w:gridCol w:w="196"/>
        <w:gridCol w:w="646"/>
        <w:gridCol w:w="154"/>
      </w:tblGrid>
      <w:tr>
        <w:trPr/>
        <w:tc>
          <w:tcPr>
            <w:tcW w:w="641"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warranty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Warranty expense decreased during the year ended December 31, 2021 compared with the same period in 2020. The lower costs in 2021 are primarily the result of incremental specific reserves recognized in 2020 including $3.0 million for water products in Europe, Middle East, and Africa Device Solutions and $2.0 million for electric and water products in North America Networked Solutions.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Warranty expense decreased during the year ended December 31, 2020 compared with the same period in 2019. This decrease was primarily the result of incremental specific reserves recognized in 2019 including $3.9 million for gas interface modules in North America Networked Solutions.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Health Benefits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a substantial portion of the cost of our U.S. employee group health insurance. We purchase insurance from a third-party,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 costs were as follows:</w:t>
      </w:r>
    </w:p>
    <w:tbl>
      <w:tblPr>
        <w:tblW w:w="4601" w:type="dxa"/>
        <w:jc w:val="left"/>
        <w:tblInd w:w="0" w:type="dxa"/>
        <w:tblCellMar>
          <w:top w:w="28" w:type="dxa"/>
          <w:left w:w="28" w:type="dxa"/>
          <w:bottom w:w="28" w:type="dxa"/>
          <w:right w:w="28" w:type="dxa"/>
        </w:tblCellMar>
      </w:tblPr>
      <w:tblGrid>
        <w:gridCol w:w="380"/>
        <w:gridCol w:w="333"/>
        <w:gridCol w:w="336"/>
        <w:gridCol w:w="196"/>
        <w:gridCol w:w="646"/>
        <w:gridCol w:w="109"/>
        <w:gridCol w:w="109"/>
        <w:gridCol w:w="109"/>
        <w:gridCol w:w="109"/>
        <w:gridCol w:w="196"/>
        <w:gridCol w:w="646"/>
        <w:gridCol w:w="109"/>
        <w:gridCol w:w="109"/>
        <w:gridCol w:w="109"/>
        <w:gridCol w:w="109"/>
        <w:gridCol w:w="196"/>
        <w:gridCol w:w="646"/>
        <w:gridCol w:w="154"/>
      </w:tblGrid>
      <w:tr>
        <w:trPr/>
        <w:tc>
          <w:tcPr>
            <w:tcW w:w="38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Plan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IBNR accrual, which is included in wages and benefits payable, was as follows:</w:t>
      </w:r>
    </w:p>
    <w:tbl>
      <w:tblPr>
        <w:tblW w:w="3189" w:type="dxa"/>
        <w:jc w:val="left"/>
        <w:tblInd w:w="0" w:type="dxa"/>
        <w:tblCellMar>
          <w:top w:w="28" w:type="dxa"/>
          <w:left w:w="28" w:type="dxa"/>
          <w:bottom w:w="28" w:type="dxa"/>
          <w:right w:w="28" w:type="dxa"/>
        </w:tblCellMar>
      </w:tblPr>
      <w:tblGrid>
        <w:gridCol w:w="397"/>
        <w:gridCol w:w="347"/>
        <w:gridCol w:w="351"/>
        <w:gridCol w:w="196"/>
        <w:gridCol w:w="556"/>
        <w:gridCol w:w="109"/>
        <w:gridCol w:w="109"/>
        <w:gridCol w:w="109"/>
        <w:gridCol w:w="109"/>
        <w:gridCol w:w="196"/>
        <w:gridCol w:w="556"/>
        <w:gridCol w:w="154"/>
      </w:tblGrid>
      <w:tr>
        <w:trPr/>
        <w:tc>
          <w:tcPr>
            <w:tcW w:w="39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w:t>
            </w:r>
          </w:p>
        </w:tc>
      </w:tr>
      <w:tr>
        <w:trPr/>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IBNR accrual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13:     Restructuring</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Projects</w:t>
      </w:r>
    </w:p>
    <w:p>
      <w:pPr>
        <w:pStyle w:val="TextBody"/>
        <w:spacing w:lineRule="auto" w:line="288" w:before="0" w:after="0"/>
        <w:jc w:val="both"/>
        <w:rPr/>
      </w:pPr>
      <w:r>
        <w:rPr>
          <w:rFonts w:ascii="Times New Roman;sans-serif" w:hAnsi="Times New Roman;sans-serif"/>
          <w:b w:val="false"/>
          <w:color w:val="000000"/>
          <w:sz w:val="20"/>
        </w:rPr>
        <w:t xml:space="preserve">On October 29, 2021, our Board of Directors approved a restructuring plan (the 2021 Projects), which in conjunction with the </w:t>
      </w:r>
      <w:r>
        <w:rPr>
          <w:rFonts w:ascii="Times New Roman;sans-serif" w:hAnsi="Times New Roman;sans-serif"/>
          <w:b w:val="false"/>
          <w:color w:val="000000"/>
          <w:sz w:val="20"/>
          <w:highlight w:val="white"/>
        </w:rPr>
        <w:t>announcement of the sale of certain of our Gas device manufacturing operations (refer to Note 18:</w:t>
      </w:r>
      <w:r>
        <w:rPr>
          <w:color w:val="000000"/>
          <w:highlight w:val="white"/>
        </w:rPr>
        <w:t xml:space="preserve"> </w:t>
      </w:r>
      <w:r>
        <w:rPr>
          <w:rFonts w:ascii="Times New Roman;sans-serif" w:hAnsi="Times New Roman;sans-serif"/>
          <w:b w:val="false"/>
          <w:color w:val="000000"/>
          <w:sz w:val="20"/>
          <w:highlight w:val="white"/>
        </w:rPr>
        <w:t xml:space="preserve">Sale of Businesses), includes activities to drive reductions in certain locations and functional support areas. These projects are to be substantially complete by the end of 2024. Itron recognized pre-tax restructuring charges of $60.7 million. Of the total charge, approximately $55 million will result in cash expenditures, and the remainder to non-cash impairment charges. Once the 2021 Projects are substantially completed, Itron estimates $15 million to $20 million in annualized savings. Certain of Itron's employees are represented by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unions or works councils, which requires consultation, and potential restructuring projects may be subject to regulatory approval, both of which could impact the timing of planned savings in certain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2021 Projects were as follows:</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88"/>
        <w:gridCol w:w="496"/>
        <w:gridCol w:w="500"/>
        <w:gridCol w:w="328"/>
        <w:gridCol w:w="1083"/>
        <w:gridCol w:w="182"/>
        <w:gridCol w:w="109"/>
        <w:gridCol w:w="109"/>
        <w:gridCol w:w="109"/>
        <w:gridCol w:w="392"/>
        <w:gridCol w:w="813"/>
        <w:gridCol w:w="219"/>
        <w:gridCol w:w="109"/>
        <w:gridCol w:w="109"/>
        <w:gridCol w:w="109"/>
        <w:gridCol w:w="406"/>
        <w:gridCol w:w="1339"/>
        <w:gridCol w:w="228"/>
        <w:gridCol w:w="109"/>
        <w:gridCol w:w="109"/>
        <w:gridCol w:w="109"/>
        <w:gridCol w:w="549"/>
        <w:gridCol w:w="1559"/>
        <w:gridCol w:w="442"/>
      </w:tblGrid>
      <w:tr>
        <w:trPr/>
        <w:tc>
          <w:tcPr>
            <w:tcW w:w="68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During the 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December 31, 2021</w:t>
            </w:r>
          </w:p>
        </w:tc>
      </w:tr>
      <w:tr>
        <w:trPr/>
        <w:tc>
          <w:tcPr>
            <w:tcW w:w="1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49,013 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on sale or disposal</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9,246 </w:t>
            </w:r>
          </w:p>
        </w:tc>
        <w:tc>
          <w:tcPr>
            <w:tcW w:w="2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63,711 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60,711 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Projects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2020, our Board of Directors approved a restructuring plan (the 2020 Projects), which includes activities that continue our efforts to optimize our global supply chain and manufacturing operations, sales and marketing organizations, and other overhead. These projects are scheduled to be substantially complete by the end of 2022. Certain of Itron's employees are represented by unions or works councils, which requires consultation, and potential restructuring projects may be subject to regulatory approval, both of which could impact the timing of planned savings in certain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2021, expected remaining costs to be recognized were reduced by $13.0 million due to the removal of a previously planned non-cash cumulative translation adjustment charge, resulting from our recent reassessment of the legal entity and its related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expected restructuring costs, the restructuring costs recognized, and the remaining expected restructuring costs related to the 2020 Projects were as follows:</w:t>
      </w:r>
    </w:p>
    <w:tbl>
      <w:tblPr>
        <w:tblW w:w="10205" w:type="dxa"/>
        <w:jc w:val="left"/>
        <w:tblInd w:w="0" w:type="dxa"/>
        <w:tblCellMar>
          <w:top w:w="28" w:type="dxa"/>
          <w:left w:w="28" w:type="dxa"/>
          <w:bottom w:w="28" w:type="dxa"/>
          <w:right w:w="28" w:type="dxa"/>
        </w:tblCellMar>
      </w:tblPr>
      <w:tblGrid>
        <w:gridCol w:w="688"/>
        <w:gridCol w:w="496"/>
        <w:gridCol w:w="500"/>
        <w:gridCol w:w="328"/>
        <w:gridCol w:w="1083"/>
        <w:gridCol w:w="182"/>
        <w:gridCol w:w="109"/>
        <w:gridCol w:w="109"/>
        <w:gridCol w:w="109"/>
        <w:gridCol w:w="293"/>
        <w:gridCol w:w="967"/>
        <w:gridCol w:w="164"/>
        <w:gridCol w:w="109"/>
        <w:gridCol w:w="109"/>
        <w:gridCol w:w="109"/>
        <w:gridCol w:w="384"/>
        <w:gridCol w:w="1376"/>
        <w:gridCol w:w="213"/>
        <w:gridCol w:w="109"/>
        <w:gridCol w:w="109"/>
        <w:gridCol w:w="109"/>
        <w:gridCol w:w="549"/>
        <w:gridCol w:w="1559"/>
        <w:gridCol w:w="442"/>
      </w:tblGrid>
      <w:tr>
        <w:trPr/>
        <w:tc>
          <w:tcPr>
            <w:tcW w:w="688"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9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Expected Costs at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in Prior Periods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Costs Recognized During the Year Ended 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Expected Remaining Costs to be Recognized at December 31, 2021</w:t>
            </w:r>
          </w:p>
        </w:tc>
      </w:tr>
      <w:tr>
        <w:trPr/>
        <w:tc>
          <w:tcPr>
            <w:tcW w:w="16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Employee severance costs</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36,225 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&amp; net loss on sale or disposal</w:t>
            </w:r>
          </w:p>
        </w:tc>
        <w:tc>
          <w:tcPr>
            <w:tcW w:w="14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restructuring costs</w:t>
            </w:r>
          </w:p>
        </w:tc>
        <w:tc>
          <w:tcPr>
            <w:tcW w:w="14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2,863 </w:t>
            </w:r>
          </w:p>
        </w:tc>
        <w:tc>
          <w:tcPr>
            <w:tcW w:w="4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54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40,007 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(6,088)</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2,863 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r>
        <w:trPr/>
        <w:tc>
          <w:tcPr>
            <w:tcW w:w="1684" w:type="dxa"/>
            <w:gridSpan w:val="3"/>
            <w:tcBorders/>
            <w:shd w:fill="auto" w:val="clear"/>
            <w:vAlign w:val="center"/>
          </w:tcPr>
          <w:p>
            <w:pPr>
              <w:pStyle w:val="TableContents"/>
              <w:spacing w:before="0" w:after="283"/>
              <w:rPr>
                <w:sz w:val="4"/>
                <w:szCs w:val="4"/>
              </w:rPr>
            </w:pPr>
            <w:r>
              <w:rPr>
                <w:sz w:val="4"/>
                <w:szCs w:val="4"/>
              </w:rPr>
            </w:r>
          </w:p>
        </w:tc>
        <w:tc>
          <w:tcPr>
            <w:tcW w:w="15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7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5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prior restructuring plans are substantially complete and are not presented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within the restructuring related balance sheet accounts for the 2021 Projects and the 2020 Projects during the year ended December 31, 2021:</w:t>
      </w:r>
    </w:p>
    <w:tbl>
      <w:tblPr>
        <w:tblW w:w="10205" w:type="dxa"/>
        <w:jc w:val="left"/>
        <w:tblInd w:w="0" w:type="dxa"/>
        <w:tblCellMar>
          <w:top w:w="28" w:type="dxa"/>
          <w:left w:w="28" w:type="dxa"/>
          <w:bottom w:w="28" w:type="dxa"/>
          <w:right w:w="28" w:type="dxa"/>
        </w:tblCellMar>
      </w:tblPr>
      <w:tblGrid>
        <w:gridCol w:w="747"/>
        <w:gridCol w:w="610"/>
        <w:gridCol w:w="615"/>
        <w:gridCol w:w="364"/>
        <w:gridCol w:w="1203"/>
        <w:gridCol w:w="203"/>
        <w:gridCol w:w="109"/>
        <w:gridCol w:w="109"/>
        <w:gridCol w:w="109"/>
        <w:gridCol w:w="858"/>
        <w:gridCol w:w="1779"/>
        <w:gridCol w:w="479"/>
        <w:gridCol w:w="109"/>
        <w:gridCol w:w="109"/>
        <w:gridCol w:w="109"/>
        <w:gridCol w:w="310"/>
        <w:gridCol w:w="882"/>
        <w:gridCol w:w="172"/>
        <w:gridCol w:w="109"/>
        <w:gridCol w:w="109"/>
        <w:gridCol w:w="109"/>
        <w:gridCol w:w="196"/>
        <w:gridCol w:w="646"/>
        <w:gridCol w:w="160"/>
      </w:tblGrid>
      <w:tr>
        <w:trPr/>
        <w:tc>
          <w:tcPr>
            <w:tcW w:w="74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88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9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Accrued Employee Severance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 Impairments &amp; Net Loss (Gain) on Sale or Disposal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 Accrued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2021</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70,005 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72,626 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Costs charged to expense</w:t>
            </w:r>
          </w:p>
        </w:tc>
        <w:tc>
          <w:tcPr>
            <w:tcW w:w="1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37,320 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8,744 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8,559 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(23,687)</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(29,658)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Cash receipts</w:t>
            </w:r>
          </w:p>
        </w:tc>
        <w:tc>
          <w:tcPr>
            <w:tcW w:w="1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disposed and impaired</w:t>
            </w:r>
          </w:p>
        </w:tc>
        <w:tc>
          <w:tcPr>
            <w:tcW w:w="15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(13,239)</w:t>
            </w:r>
          </w:p>
        </w:tc>
        <w:tc>
          <w:tcPr>
            <w:tcW w:w="4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change in exchange rates</w:t>
            </w:r>
          </w:p>
        </w:tc>
        <w:tc>
          <w:tcPr>
            <w:tcW w:w="15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(3,762)</w:t>
            </w:r>
          </w:p>
        </w:tc>
        <w:tc>
          <w:tcPr>
            <w:tcW w:w="2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(3,841)</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December 31, 2021</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79,876 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5,130 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85,006 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 impairments are determined at the asset group level. Revenues and net operating income from the activities we have exited or will exit under the restructuring projects are not material to our operating segments or consolidated results.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restructuring costs include expenses for employee relocation, professional fees associated with employee severance, costs to exit the facilities once the operations in those facilities have ceased, and other costs associated with the liquidation of any affected legal entities.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 Restructuring expense is part of the Corporate unallocated segment and does not impact the results of our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portions of restructuring liabilities were $29.7 million and $31.7 million as of December 31, 2021 and 2020 and are classified within other current liabilities on the Consolidated Balance Sheets. The long-term portions of restructuring liabilities were $55.3 million and $40.9 million as of December 31, 2021 and 2020. The long-term portions of restructuring liabilities are classified within other long-term obligations on the Consolidated Balance Sheet and include severance accruals and facility exit costs.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Shareholders' Equity</w:t>
      </w:r>
    </w:p>
    <w:p>
      <w:pPr>
        <w:pStyle w:val="TextBody"/>
        <w:spacing w:before="0" w:after="0"/>
        <w:ind w:left="0" w:right="0" w:firstLine="225"/>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December 31, 2021 or 2020.</w:t>
      </w:r>
    </w:p>
    <w:p>
      <w:pPr>
        <w:pStyle w:val="TextBody"/>
        <w:spacing w:before="0" w:after="0"/>
        <w:jc w:val="both"/>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Stock Repurchase Authorization</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Effective November 1, 2021, Itron's Board of Directors authorized a share repurchase up to $100 million of our common stock over an 18-month period (the 2021 Stock Repurchase Program). Repurchases are made in the open market or in privately negotiated transactions, and in accordance with applicable securities laws. Following the announcement of the program and through December 31, 2021, we repurchased 125,314 shares at an average share price of $64.05 (excluding commissions) for a total of $8.0 million. Subsequent to December 31, 2021, we repurchased 279,968 shares of our common stock under the 2021 Stock Repurchase Program. The average price paid per share was $60.60 (excluding commissions) for total of $17.0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14, 2019, Itron's Board of Directors authorized the Company to repurchase up to $50 million of our common stock over a 12-month period. Following the announcement of the program and through December 31, 2019, we repurchased 529,396 shares at an average share price of $47.22 for a total of $25 million. The program expired on March 13, 2020, and no additional shares were repurchased during 2020.</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Issuance of Common Stock</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2021, we closed the sale of 4,472,222 shares of our common stock in a public offering, resulting in net proceeds to us of approximately $389.4 million, after deducting underwriters' discounts of the offering.</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Convertible Note Hedge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paid an aggregate amount of $84.1 million for the Convertible Note Hedge Transactions. The Convertible Note Hedge Transactions cover, subject to anti-dilution adjustments substantially similar to those in the Convertible Notes, approximately 3.7 million shares of our common stock, the same number of shares initially underlying the Convertible Notes, at a strike price of approximately $126.00, subject to customary adjustments. The Convertible Note Hedge Transactions will expire upon the maturity of the Convertible Notes, subject to earlier exercise or termination. The Convertible Note Hedge Transactions are expected generally to reduce the potential dilutive effect of the conversion of our Convertible Notes and/or offset any cash payments we are required to make in excess of the principal amount of the converted notes, as the case may be, in the event the price per share of our common stock, as measured under the terms of the Convertible Note Hedge Transactions, is greater than the strike price of the Convertible Note Hedge Transactions. The Convertible Note Hedge Transactions meet the criteria in ASC 815-40 to be classified within Stockholders' Equity, therefore the Convertible Note Hedge Transactions are not revalued after their issuance.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made a tax election to integrate the Convertible Notes and the call options. We are retaining the identification statements in our books and records, together with a schedule providing the accruals on the synthetic debt instruments. The accounting impact of this tax election makes the call options deductible as original issue discount for tax purposes over the term of the Convertible Note, and results in a $20.6 million deferred tax asset recognized through equity.</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Warrant Transactions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concurrently with entering into the Convertible Note Hedge Transactions, we separately entered into privately-negotiated Warrant Transactions, whereby we sold to the Counterparties warrants to acquire, collectively, subject to anti-</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dilution adjustments, 3.7 million shares of our common stock at an initial strike price of $180.00 per share, which represents a premium of 100% over the public offering price in the common stock issuance. We received aggregate proceeds of $45.3 million from the Warrant Transactions with the Counterparties, with such proceeds partially offsetting the costs of entering into the Convertible Note Hedge Transactions. The warrants expire in June 2026. If the market value per share of our common stock, as measured under the Warrant Transactions, exceeds the strike price of the warrants, the warrants will have a dilutive effect on our earnings per share, unless we elect, subject to certain conditions, to settle the warrants in cash. The warrants meet the criteria in ASC 815-40 to be classified within Stockholders' Equity, and therefore the warrants are not revalued after issuance.</w:t>
      </w:r>
    </w:p>
    <w:p>
      <w:pPr>
        <w:pStyle w:val="TextBody"/>
        <w:spacing w:before="0" w:after="0"/>
        <w:rPr/>
      </w:pPr>
      <w:r>
        <w:rPr/>
      </w:r>
    </w:p>
    <w:p>
      <w:pPr>
        <w:pStyle w:val="TextBody"/>
        <w:spacing w:lineRule="auto" w:line="288" w:before="0" w:after="0"/>
        <w:ind w:left="0" w:right="0" w:firstLine="225"/>
        <w:rPr>
          <w:rFonts w:ascii="Times New Roman;sans-serif" w:hAnsi="Times New Roman;sans-serif"/>
          <w:b w:val="false"/>
          <w:i/>
          <w:color w:val="000000"/>
          <w:sz w:val="20"/>
        </w:rPr>
      </w:pPr>
      <w:r>
        <w:rPr>
          <w:rFonts w:ascii="Times New Roman;sans-serif" w:hAnsi="Times New Roman;sans-serif"/>
          <w:b w:val="false"/>
          <w:i/>
          <w:color w:val="000000"/>
          <w:sz w:val="20"/>
        </w:rPr>
        <w:t>Accumulated Other Comprehensive Income (Loss)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AOCI, net of tax, were as follows:</w:t>
      </w:r>
    </w:p>
    <w:tbl>
      <w:tblPr>
        <w:tblW w:w="10205" w:type="dxa"/>
        <w:jc w:val="left"/>
        <w:tblInd w:w="0" w:type="dxa"/>
        <w:tblCellMar>
          <w:top w:w="28" w:type="dxa"/>
          <w:left w:w="28" w:type="dxa"/>
          <w:bottom w:w="28" w:type="dxa"/>
          <w:right w:w="28" w:type="dxa"/>
        </w:tblCellMar>
      </w:tblPr>
      <w:tblGrid>
        <w:gridCol w:w="745"/>
        <w:gridCol w:w="352"/>
        <w:gridCol w:w="355"/>
        <w:gridCol w:w="244"/>
        <w:gridCol w:w="1008"/>
        <w:gridCol w:w="136"/>
        <w:gridCol w:w="109"/>
        <w:gridCol w:w="109"/>
        <w:gridCol w:w="109"/>
        <w:gridCol w:w="327"/>
        <w:gridCol w:w="931"/>
        <w:gridCol w:w="184"/>
        <w:gridCol w:w="109"/>
        <w:gridCol w:w="109"/>
        <w:gridCol w:w="109"/>
        <w:gridCol w:w="320"/>
        <w:gridCol w:w="1083"/>
        <w:gridCol w:w="180"/>
        <w:gridCol w:w="109"/>
        <w:gridCol w:w="109"/>
        <w:gridCol w:w="109"/>
        <w:gridCol w:w="274"/>
        <w:gridCol w:w="928"/>
        <w:gridCol w:w="153"/>
        <w:gridCol w:w="109"/>
        <w:gridCol w:w="109"/>
        <w:gridCol w:w="109"/>
        <w:gridCol w:w="296"/>
        <w:gridCol w:w="1138"/>
        <w:gridCol w:w="243"/>
      </w:tblGrid>
      <w:tr>
        <w:trPr/>
        <w:tc>
          <w:tcPr>
            <w:tcW w:w="74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14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Foreign Currency Translation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Unrealized Gain (Loss) on Nonderivative Instruments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Pension Benefit Obligation 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r>
      <w:tr>
        <w:trPr/>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January 1, 2019</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(157,489)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(196,305)</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(11,384)</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2019</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(157,999)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(31,570)</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(204,672)</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5,391 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52,074 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60,755 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73,156 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(6,112)</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2020</w:t>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(84,843)</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(37,682)</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(138,526)</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OCI before reclassifications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(11,538)</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AOCI</w:t>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income (loss)</w:t>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15,940 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2021</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(111,766)</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(14,380)</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(148,098)</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68" w:before="0" w:after="0"/>
        <w:jc w:val="both"/>
        <w:rPr/>
      </w:pPr>
      <w:r>
        <w:rPr>
          <w:rFonts w:ascii="Times New Roman;sans-serif" w:hAnsi="Times New Roman;sans-serif"/>
          <w:b w:val="false"/>
          <w:color w:val="000000"/>
          <w:sz w:val="20"/>
          <w:highlight w:val="white"/>
        </w:rPr>
        <w:t xml:space="preserve">On November 2, 2021, Itron entered into an agreement to sell certain of its Gas device businesses and operations to Dresser. Upon closure of the sale, an estimated $59.7 million of accumulated foreign currency translation losses </w:t>
      </w:r>
      <w:r>
        <w:rPr>
          <w:rFonts w:ascii="Times New Roman;sans-serif" w:hAnsi="Times New Roman;sans-serif"/>
          <w:b w:val="false"/>
          <w:color w:val="000000"/>
          <w:sz w:val="20"/>
        </w:rPr>
        <w:t>and $0.9 million in unrealized defined benefit plan losses</w:t>
      </w:r>
      <w:r>
        <w:rPr>
          <w:color w:val="000000"/>
          <w:highlight w:val="white"/>
        </w:rPr>
        <w:t xml:space="preserve"> </w:t>
      </w:r>
      <w:r>
        <w:rPr>
          <w:rFonts w:ascii="Times New Roman;sans-serif" w:hAnsi="Times New Roman;sans-serif"/>
          <w:b w:val="false"/>
          <w:color w:val="000000"/>
          <w:sz w:val="20"/>
          <w:highlight w:val="white"/>
        </w:rPr>
        <w:t xml:space="preserve">will be recognized. </w:t>
      </w:r>
      <w:r>
        <w:rPr>
          <w:rFonts w:ascii="Times New Roman;sans-serif" w:hAnsi="Times New Roman;sans-serif"/>
          <w:b w:val="false"/>
          <w:color w:val="000000"/>
          <w:sz w:val="20"/>
        </w:rPr>
        <w:t>Refer to Note 18: Sale of Businesses for additional information on the transaction.</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before-tax, income tax (provision) benefit, and net-of-tax amounts related to each component of OCI were as follows:</w:t>
      </w:r>
    </w:p>
    <w:tbl>
      <w:tblPr>
        <w:tblW w:w="9762" w:type="dxa"/>
        <w:jc w:val="left"/>
        <w:tblInd w:w="0" w:type="dxa"/>
        <w:tblCellMar>
          <w:top w:w="28" w:type="dxa"/>
          <w:left w:w="28" w:type="dxa"/>
          <w:bottom w:w="28" w:type="dxa"/>
          <w:right w:w="28" w:type="dxa"/>
        </w:tblCellMar>
      </w:tblPr>
      <w:tblGrid>
        <w:gridCol w:w="2228"/>
        <w:gridCol w:w="1953"/>
        <w:gridCol w:w="1969"/>
        <w:gridCol w:w="196"/>
        <w:gridCol w:w="721"/>
        <w:gridCol w:w="109"/>
        <w:gridCol w:w="109"/>
        <w:gridCol w:w="109"/>
        <w:gridCol w:w="109"/>
        <w:gridCol w:w="196"/>
        <w:gridCol w:w="646"/>
        <w:gridCol w:w="109"/>
        <w:gridCol w:w="109"/>
        <w:gridCol w:w="109"/>
        <w:gridCol w:w="109"/>
        <w:gridCol w:w="196"/>
        <w:gridCol w:w="631"/>
        <w:gridCol w:w="154"/>
      </w:tblGrid>
      <w:tr>
        <w:trPr/>
        <w:tc>
          <w:tcPr>
            <w:tcW w:w="2228" w:type="dxa"/>
            <w:tcBorders/>
            <w:shd w:fill="auto" w:val="clear"/>
            <w:vAlign w:val="center"/>
          </w:tcPr>
          <w:p>
            <w:pPr>
              <w:pStyle w:val="TableContents"/>
              <w:spacing w:before="0" w:after="283"/>
              <w:rPr>
                <w:sz w:val="4"/>
                <w:szCs w:val="4"/>
              </w:rPr>
            </w:pPr>
            <w:r>
              <w:rPr>
                <w:sz w:val="4"/>
                <w:szCs w:val="4"/>
              </w:rPr>
            </w:r>
          </w:p>
        </w:tc>
        <w:tc>
          <w:tcPr>
            <w:tcW w:w="1953"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6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Before-tax amount</w:t>
            </w:r>
          </w:p>
        </w:tc>
        <w:tc>
          <w:tcPr>
            <w:tcW w:w="3612" w:type="dxa"/>
            <w:gridSpan w:val="15"/>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on sale of business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derivative instruments, designated as cash flow hedges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hedging (gain) loss reclassified to net income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before tax</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Tax (provision) benefit</w:t>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on sale of business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derivative instruments, designated as cash flow hedges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hedging (gain) loss reclassified to net income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tax (provision) benefit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Net-of-tax amount</w:t>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reclassified to net income on sale of business</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derivative instruments, designated as cash flow hedges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hedging (gain) loss reclassified to net income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gain (loss) on defined benefit plans</w:t>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180"/>
              <w:jc w:val="left"/>
              <w:rPr>
                <w:rFonts w:ascii="Times New Roman;sans-serif" w:hAnsi="Times New Roman;sans-serif"/>
                <w:b w:val="false"/>
                <w:color w:val="000000"/>
                <w:sz w:val="18"/>
              </w:rPr>
            </w:pPr>
            <w:r>
              <w:rPr>
                <w:rFonts w:ascii="Times New Roman;sans-serif" w:hAnsi="Times New Roman;sans-serif"/>
                <w:b w:val="false"/>
                <w:color w:val="000000"/>
                <w:sz w:val="18"/>
              </w:rPr>
              <w:t>Net defined benefit plan (gain) loss reclassified to net income</w:t>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other comprehensive income (loss), net of tax</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Fair Value of Financial Instruments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at December 31, 2021 and 2020 do not reflect subsequent changes in the economy, interest rates, tax rates, and other variables that may affect the determination of fair value.</w:t>
      </w:r>
    </w:p>
    <w:tbl>
      <w:tblPr>
        <w:tblW w:w="9025" w:type="dxa"/>
        <w:jc w:val="left"/>
        <w:tblInd w:w="0" w:type="dxa"/>
        <w:tblCellMar>
          <w:top w:w="28" w:type="dxa"/>
          <w:left w:w="28" w:type="dxa"/>
          <w:bottom w:w="28" w:type="dxa"/>
          <w:right w:w="28" w:type="dxa"/>
        </w:tblCellMar>
      </w:tblPr>
      <w:tblGrid>
        <w:gridCol w:w="1101"/>
        <w:gridCol w:w="967"/>
        <w:gridCol w:w="976"/>
        <w:gridCol w:w="412"/>
        <w:gridCol w:w="856"/>
        <w:gridCol w:w="231"/>
        <w:gridCol w:w="109"/>
        <w:gridCol w:w="109"/>
        <w:gridCol w:w="109"/>
        <w:gridCol w:w="252"/>
        <w:gridCol w:w="523"/>
        <w:gridCol w:w="140"/>
        <w:gridCol w:w="109"/>
        <w:gridCol w:w="109"/>
        <w:gridCol w:w="109"/>
        <w:gridCol w:w="282"/>
        <w:gridCol w:w="1061"/>
        <w:gridCol w:w="157"/>
        <w:gridCol w:w="109"/>
        <w:gridCol w:w="109"/>
        <w:gridCol w:w="109"/>
        <w:gridCol w:w="196"/>
        <w:gridCol w:w="736"/>
        <w:gridCol w:w="154"/>
      </w:tblGrid>
      <w:tr>
        <w:trPr/>
        <w:tc>
          <w:tcPr>
            <w:tcW w:w="1101"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0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4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USD denominated term loan</w:t>
            </w:r>
          </w:p>
        </w:tc>
        <w:tc>
          <w:tcPr>
            <w:tcW w:w="4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532,625 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520,347 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firstLine="270"/>
              <w:jc w:val="left"/>
              <w:rPr>
                <w:rFonts w:ascii="Times New Roman;sans-serif" w:hAnsi="Times New Roman;sans-serif"/>
                <w:b w:val="false"/>
                <w:color w:val="000000"/>
                <w:sz w:val="18"/>
              </w:rPr>
            </w:pPr>
            <w:r>
              <w:rPr>
                <w:rFonts w:ascii="Times New Roman;sans-serif" w:hAnsi="Times New Roman;sans-serif"/>
                <w:b w:val="false"/>
                <w:color w:val="000000"/>
                <w:sz w:val="18"/>
              </w:rPr>
              <w:t>Multicurrency revolving line of credit</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notes</w:t>
            </w:r>
          </w:p>
        </w:tc>
        <w:tc>
          <w:tcPr>
            <w:tcW w:w="12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388,311 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w:t>
            </w:r>
          </w:p>
        </w:tc>
        <w:tc>
          <w:tcPr>
            <w:tcW w:w="12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450,228 </w:t>
            </w:r>
          </w:p>
        </w:tc>
        <w:tc>
          <w:tcPr>
            <w:tcW w:w="2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422,749 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044" w:type="dxa"/>
            <w:gridSpan w:val="3"/>
            <w:tcBorders/>
            <w:shd w:fill="auto" w:val="clear"/>
            <w:vAlign w:val="center"/>
          </w:tcPr>
          <w:p>
            <w:pPr>
              <w:pStyle w:val="TableContents"/>
              <w:spacing w:before="0" w:after="283"/>
              <w:rPr>
                <w:sz w:val="4"/>
                <w:szCs w:val="4"/>
              </w:rPr>
            </w:pPr>
            <w:r>
              <w:rPr>
                <w:sz w:val="4"/>
                <w:szCs w:val="4"/>
              </w:rPr>
            </w:r>
          </w:p>
        </w:tc>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methods and assumptions were used in estimating fair values:</w:t>
      </w:r>
    </w:p>
    <w:p>
      <w:pPr>
        <w:pStyle w:val="TextBody"/>
        <w:spacing w:lineRule="auto" w:line="288" w:before="180" w:after="283"/>
        <w:jc w:val="both"/>
        <w:rPr/>
      </w:pP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Due to the liquid nature of these instruments, the carrying amount approximates fair value (Level 1).</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i/>
          <w:color w:val="000000"/>
          <w:sz w:val="20"/>
        </w:rPr>
        <w:t xml:space="preserve">Credit Facility - term loan and multicurrency revolving line of credit: </w:t>
      </w:r>
      <w:r>
        <w:rPr>
          <w:rFonts w:ascii="Times New Roman;sans-serif" w:hAnsi="Times New Roman;sans-serif"/>
          <w:b w:val="false"/>
          <w:color w:val="000000"/>
          <w:sz w:val="20"/>
        </w:rPr>
        <w:t>The term loan and the revolver are not traded publicly. The fair values, which are 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pStyle w:val="TextBody"/>
        <w:spacing w:lineRule="auto" w:line="288" w:before="180" w:after="283"/>
        <w:jc w:val="both"/>
        <w:rPr/>
      </w:pPr>
      <w:r>
        <w:rPr>
          <w:rFonts w:ascii="Times New Roman;sans-serif" w:hAnsi="Times New Roman;sans-serif"/>
          <w:b w:val="false"/>
          <w:i/>
          <w:color w:val="000000"/>
          <w:sz w:val="20"/>
        </w:rPr>
        <w:t xml:space="preserve">Senior Notes: </w:t>
      </w:r>
      <w:r>
        <w:rPr>
          <w:rFonts w:ascii="Times New Roman;sans-serif" w:hAnsi="Times New Roman;sans-serif"/>
          <w:b w:val="false"/>
          <w:color w:val="000000"/>
          <w:sz w:val="20"/>
        </w:rPr>
        <w:t>The Senior Notes, prior to their repayment, were not registered securities nor listed on any securities exchange but were able to be actively traded by qualified institutional buyers. The fair values for the Senior Notes were estimated using Level 1 inputs, as they were based on quoted prices for these instruments in active markets. In 2021, the Senior Notes were fully discharged, and no principal or unpaid interest remains outstanding. See Note 6: Debt for further information.</w:t>
      </w:r>
    </w:p>
    <w:p>
      <w:pPr>
        <w:pStyle w:val="TextBody"/>
        <w:spacing w:lineRule="auto" w:line="288" w:before="180" w:after="283"/>
        <w:jc w:val="both"/>
        <w:rPr/>
      </w:pPr>
      <w:r>
        <w:rPr>
          <w:rFonts w:ascii="Times New Roman;sans-serif" w:hAnsi="Times New Roman;sans-serif"/>
          <w:b w:val="false"/>
          <w:i/>
          <w:color w:val="000000"/>
          <w:sz w:val="20"/>
        </w:rPr>
        <w:t>Convertible Notes:</w:t>
      </w:r>
      <w:r>
        <w:rPr>
          <w:color w:val="000000"/>
        </w:rPr>
        <w:t xml:space="preserve"> </w:t>
      </w:r>
      <w:r>
        <w:rPr>
          <w:rFonts w:ascii="Times New Roman;sans-serif" w:hAnsi="Times New Roman;sans-serif"/>
          <w:b w:val="false"/>
          <w:color w:val="000000"/>
          <w:sz w:val="20"/>
        </w:rPr>
        <w:t>The Convertible Notes are not registered securities nor listed on any securities exchange but may be actively traded by qualified institutional buyers. The fair values for the Convertible Notes are estimated using Level 1 inputs, as they are based on quoted prices for these instruments in active markets.</w:t>
      </w:r>
    </w:p>
    <w:p>
      <w:pPr>
        <w:pStyle w:val="TextBody"/>
        <w:spacing w:lineRule="auto" w:line="288" w:before="180" w:after="283"/>
        <w:jc w:val="both"/>
        <w:rPr/>
      </w:pP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color w:val="000000"/>
          <w:sz w:val="20"/>
        </w:rPr>
        <w:t>See Note 7: Derivative Financial Instruments for a description of our methods and assumptions in determining the fair value of our derivatives, which were determined using Level 2 inputs. Each derivative asset and liability has a carrying value equal to fair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Note 16:    Segment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under the Itron brand worldwide and manage and report under three operating segments: Device Solutions, Networked Solutions, and Outcomes.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Segment Products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Device Solutions – </w:t>
      </w:r>
      <w:r>
        <w:rPr>
          <w:rFonts w:ascii="Times New Roman;sans-serif" w:hAnsi="Times New Roman;sans-serif"/>
          <w:b w:val="false"/>
          <w:color w:val="000000"/>
          <w:sz w:val="20"/>
        </w:rPr>
        <w:t>This segment primarily includes hardware products used for measurement, control, or sensing that do not have communications capability embedded for use with our broader Itron systems, i.e., hardware-based products not part of a complete end-to-end solution. Examples from the Device Solutions portfolio include: standard endpoints that are shipped without Itron communications, such as our standard gas, electricity, and water meters for a variety of global markets and adhering to regulations and standards within those markets, as well as our heat and allocation products; communicating meters that are not a part of an Itron end-to-end solution, such as Smart Spec meters; and the implementation and installation of non-communicating devices, such as gas regulators.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Networked Solutions – </w:t>
      </w:r>
      <w:r>
        <w:rPr>
          <w:rFonts w:ascii="Times New Roman;sans-serif" w:hAnsi="Times New Roman;sans-serif"/>
          <w:b w:val="false"/>
          <w:color w:val="000000"/>
          <w:sz w:val="20"/>
        </w:rPr>
        <w:t>This segment primarily includes a combination of communicating devices (e.g., smart meters, modules, endpoints, and sensors), network infrastructure, and associated application software designed and sold as a complete solution for acquiring and transporting robust application-specific data. Networked Solutions includes products and software for the implementation, installation, and management of communicating devices and data networks. Examples from the Networked Solutions portfolio include: communicating measurement, control, or sensing endpoints, such as our Itron OpenWay® Centron and Riva meters, Itron traditional ERT® technology, Intelis smart gas meters, 500G gas communication modules, 500W water communication modules, GenX networking infrastructure products and network interface cards (NICs); Smart City control and management software; Distribution Automation bridge devices; and specific network control and management software applications. The IIoT solutions supported by this segment include automated meter reading (AMR), advanced metering infrastructure (AMI), smart grid and distribution automation, smart street lighting, and an ever-growing set of smart city applications such as traffic management, smart parking, air quality monitoring, electric vehicle charging, customer engagement, digital signage, acoustic (e.g., gunshot) detection, and leak detection and mitigation for both gas and water systems. Our IIoT platform allows all these industry and smart city applications to be run and managed on a single, multi-purpose network.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Outcomes – </w:t>
      </w:r>
      <w:r>
        <w:rPr>
          <w:rFonts w:ascii="Times New Roman;sans-serif" w:hAnsi="Times New Roman;sans-serif"/>
          <w:b w:val="false"/>
          <w:color w:val="000000"/>
          <w:sz w:val="20"/>
        </w:rPr>
        <w:t xml:space="preserve">This segment primarily includes our value-added, enhanced software and services in which we manage, organize, analyze, and interpret data 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Networked Solutions, and other products on behalf of our end customers. Examples from the Outcomes portfolio include: our meter data management and analytics offerings; our managed service solutions including network-as-a-service and Platform-as-a-Service (PaaS); forecasting software and services; our Distributed Energy Management suite of products and services; our Distributed Intelligence suite of applications and services; and any consulting-based engagement. Within the Outcomes segment, we also identify new business models, including performance-based contracting, to drive broader portfolio offerings across utilities and cities.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gross profit, and operating income associated with our operating segments were as follows:</w:t>
      </w:r>
    </w:p>
    <w:tbl>
      <w:tblPr>
        <w:tblW w:w="6776" w:type="dxa"/>
        <w:jc w:val="left"/>
        <w:tblInd w:w="0" w:type="dxa"/>
        <w:tblCellMar>
          <w:top w:w="28" w:type="dxa"/>
          <w:left w:w="28" w:type="dxa"/>
          <w:bottom w:w="28" w:type="dxa"/>
          <w:right w:w="28" w:type="dxa"/>
        </w:tblCellMar>
      </w:tblPr>
      <w:tblGrid>
        <w:gridCol w:w="924"/>
        <w:gridCol w:w="809"/>
        <w:gridCol w:w="816"/>
        <w:gridCol w:w="196"/>
        <w:gridCol w:w="871"/>
        <w:gridCol w:w="109"/>
        <w:gridCol w:w="109"/>
        <w:gridCol w:w="109"/>
        <w:gridCol w:w="109"/>
        <w:gridCol w:w="196"/>
        <w:gridCol w:w="871"/>
        <w:gridCol w:w="109"/>
        <w:gridCol w:w="109"/>
        <w:gridCol w:w="109"/>
        <w:gridCol w:w="109"/>
        <w:gridCol w:w="196"/>
        <w:gridCol w:w="871"/>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5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 revenues</w:t>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684,517 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974,531 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1,148,698 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1,322,382 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1,678,195 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1,889,173 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Service revenues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693,995 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1,092,631 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2,173,350 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Gross profit</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86,859 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152,562 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378,633 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income (loss)</w:t>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(441,581)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(406,882)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(406,198)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Corporate unallocated operating loss for the years ended December 31, 2021 and 2020 include losses from the sale of businesses of $64.3 million and $59.8 million. Refer to Note 18: Sale of Businesses for additional information on the transactions.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no single customer represents more than 10% of total company revenue.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Revenues by region were as follows:</w:t>
      </w:r>
    </w:p>
    <w:tbl>
      <w:tblPr>
        <w:tblW w:w="6746" w:type="dxa"/>
        <w:jc w:val="left"/>
        <w:tblInd w:w="0" w:type="dxa"/>
        <w:tblCellMar>
          <w:top w:w="28" w:type="dxa"/>
          <w:left w:w="28" w:type="dxa"/>
          <w:bottom w:w="28" w:type="dxa"/>
          <w:right w:w="28" w:type="dxa"/>
        </w:tblCellMar>
      </w:tblPr>
      <w:tblGrid>
        <w:gridCol w:w="913"/>
        <w:gridCol w:w="799"/>
        <w:gridCol w:w="807"/>
        <w:gridCol w:w="196"/>
        <w:gridCol w:w="871"/>
        <w:gridCol w:w="109"/>
        <w:gridCol w:w="109"/>
        <w:gridCol w:w="109"/>
        <w:gridCol w:w="109"/>
        <w:gridCol w:w="196"/>
        <w:gridCol w:w="871"/>
        <w:gridCol w:w="109"/>
        <w:gridCol w:w="109"/>
        <w:gridCol w:w="109"/>
        <w:gridCol w:w="109"/>
        <w:gridCol w:w="196"/>
        <w:gridCol w:w="871"/>
        <w:gridCol w:w="154"/>
      </w:tblGrid>
      <w:tr>
        <w:trPr/>
        <w:tc>
          <w:tcPr>
            <w:tcW w:w="91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5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 and Canada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 Middle East, and Africa</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594,264 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18"/>
              </w:rPr>
              <w:t xml:space="preserve">Asia Pacific and Latin America </w:t>
            </w:r>
            <w:r>
              <w:rPr>
                <w:rFonts w:ascii="Times New Roman;sans-serif" w:hAnsi="Times New Roman;sans-serif"/>
                <w:b w:val="false"/>
                <w:color w:val="000000"/>
                <w:sz w:val="12"/>
              </w:rPr>
              <w:t>(1)</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2,502,470 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On June 25, 2020, we sold our Latin American operations. We continue to sell into the region through a distributor.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by geographic area were as follows:</w:t>
      </w:r>
    </w:p>
    <w:tbl>
      <w:tblPr>
        <w:tblW w:w="4118" w:type="dxa"/>
        <w:jc w:val="left"/>
        <w:tblInd w:w="0" w:type="dxa"/>
        <w:tblCellMar>
          <w:top w:w="28" w:type="dxa"/>
          <w:left w:w="28" w:type="dxa"/>
          <w:bottom w:w="28" w:type="dxa"/>
          <w:right w:w="28" w:type="dxa"/>
        </w:tblCellMar>
      </w:tblPr>
      <w:tblGrid>
        <w:gridCol w:w="603"/>
        <w:gridCol w:w="528"/>
        <w:gridCol w:w="533"/>
        <w:gridCol w:w="196"/>
        <w:gridCol w:w="736"/>
        <w:gridCol w:w="109"/>
        <w:gridCol w:w="109"/>
        <w:gridCol w:w="109"/>
        <w:gridCol w:w="109"/>
        <w:gridCol w:w="196"/>
        <w:gridCol w:w="736"/>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w:t>
            </w:r>
          </w:p>
        </w:tc>
      </w:tr>
      <w:tr>
        <w:trPr/>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Outside United States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is allocated to the operating segments and Corporate unallocated based upon each segment's use of the assets. All amortization expense is recognized within Corporate unallocated. Depreciation and amortization of intangible assets expense associated with our operating segments was as follows:</w:t>
      </w:r>
    </w:p>
    <w:tbl>
      <w:tblPr>
        <w:tblW w:w="5307" w:type="dxa"/>
        <w:jc w:val="left"/>
        <w:tblInd w:w="0" w:type="dxa"/>
        <w:tblCellMar>
          <w:top w:w="28" w:type="dxa"/>
          <w:left w:w="28" w:type="dxa"/>
          <w:bottom w:w="28" w:type="dxa"/>
          <w:right w:w="28" w:type="dxa"/>
        </w:tblCellMar>
      </w:tblPr>
      <w:tblGrid>
        <w:gridCol w:w="603"/>
        <w:gridCol w:w="529"/>
        <w:gridCol w:w="533"/>
        <w:gridCol w:w="196"/>
        <w:gridCol w:w="646"/>
        <w:gridCol w:w="109"/>
        <w:gridCol w:w="109"/>
        <w:gridCol w:w="109"/>
        <w:gridCol w:w="109"/>
        <w:gridCol w:w="196"/>
        <w:gridCol w:w="646"/>
        <w:gridCol w:w="109"/>
        <w:gridCol w:w="109"/>
        <w:gridCol w:w="109"/>
        <w:gridCol w:w="109"/>
        <w:gridCol w:w="196"/>
        <w:gridCol w:w="736"/>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2019</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Device Solutions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Networked Solutions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Outcomes</w:t>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unallocated</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Company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114,400 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Revenues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significant net changes in the contract assets and the contract liabilities balances during the period is as follows:</w:t>
      </w:r>
    </w:p>
    <w:tbl>
      <w:tblPr>
        <w:tblW w:w="7019" w:type="dxa"/>
        <w:jc w:val="left"/>
        <w:tblInd w:w="0" w:type="dxa"/>
        <w:tblCellMar>
          <w:top w:w="28" w:type="dxa"/>
          <w:left w:w="28" w:type="dxa"/>
          <w:bottom w:w="28" w:type="dxa"/>
          <w:right w:w="28" w:type="dxa"/>
        </w:tblCellMar>
      </w:tblPr>
      <w:tblGrid>
        <w:gridCol w:w="1424"/>
        <w:gridCol w:w="1248"/>
        <w:gridCol w:w="1258"/>
        <w:gridCol w:w="608"/>
        <w:gridCol w:w="2004"/>
        <w:gridCol w:w="477"/>
      </w:tblGrid>
      <w:tr>
        <w:trPr/>
        <w:tc>
          <w:tcPr>
            <w:tcW w:w="1424"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2004"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Contract liabilities, less contract assets</w:t>
            </w:r>
          </w:p>
        </w:tc>
      </w:tr>
      <w:tr>
        <w:trPr/>
        <w:tc>
          <w:tcPr>
            <w:tcW w:w="393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 January 1, 2021</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98,388 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auto" w:val="clear"/>
            <w:vAlign w:val="center"/>
          </w:tcPr>
          <w:p>
            <w:pPr>
              <w:pStyle w:val="TableContents"/>
              <w:spacing w:before="0" w:after="283"/>
              <w:rPr>
                <w:sz w:val="4"/>
                <w:szCs w:val="4"/>
              </w:rPr>
            </w:pPr>
            <w:r>
              <w:rPr>
                <w:sz w:val="4"/>
                <w:szCs w:val="4"/>
              </w:rPr>
            </w:r>
          </w:p>
        </w:tc>
        <w:tc>
          <w:tcPr>
            <w:tcW w:w="3089" w:type="dxa"/>
            <w:gridSpan w:val="3"/>
            <w:tcBorders/>
            <w:shd w:fill="auto" w:val="cle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beginning contract liability</w:t>
            </w:r>
          </w:p>
        </w:tc>
        <w:tc>
          <w:tcPr>
            <w:tcW w:w="2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(93,709)</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catch-up adjustments</w:t>
            </w:r>
          </w:p>
        </w:tc>
        <w:tc>
          <w:tcPr>
            <w:tcW w:w="2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19,867 </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Increases due to amounts collected or due</w:t>
            </w:r>
          </w:p>
        </w:tc>
        <w:tc>
          <w:tcPr>
            <w:tcW w:w="2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289,300 </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from current period increases</w:t>
            </w:r>
          </w:p>
        </w:tc>
        <w:tc>
          <w:tcPr>
            <w:tcW w:w="26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(229,336)</w:t>
            </w:r>
          </w:p>
        </w:tc>
        <w:tc>
          <w:tcPr>
            <w:tcW w:w="4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26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w:t>
            </w:r>
          </w:p>
        </w:tc>
        <w:tc>
          <w:tcPr>
            <w:tcW w:w="4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 December 31, 2021</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0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83,180 </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2021, total contract assets were $49.8 million and total contract liabilities were $148.2 million. On December 31, 2021, total contract assets were $33.7 million and total contract liabilities were $116.9 million. The contract assets primarily relate to contracts that include a retention clause and allocations related to contracts with multiple performance obligations. The contract liabilities primarily relate to deferred revenue, such as extended warranty and maintenance cost. The cumulative catch-up adjustments relate to contract modifications, measure-of-progress changes, and changes in the estimate of the transaction price.</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the remaining performance obligations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transaction price allocated to remaining performance obligations related to contracts is approximately $1.3 billion for the next twelve months and approximately $1.5 billion for periods longer than 12 months. The total remaining performance obligations consist of product and service components. The service component relates primarily to maintenance agreements for 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Cost to obtain a contract and cost to fulfill a contract with a customer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pStyle w:val="TextBody"/>
        <w:spacing w:before="0" w:after="0"/>
        <w:jc w:val="both"/>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Sale of Businesses</w:t>
      </w:r>
    </w:p>
    <w:p>
      <w:pPr>
        <w:pStyle w:val="TextBody"/>
        <w:spacing w:before="0" w:after="0"/>
        <w:rPr/>
      </w:pPr>
      <w:r>
        <w:rPr/>
      </w:r>
    </w:p>
    <w:p>
      <w:pPr>
        <w:pStyle w:val="TextBody"/>
        <w:spacing w:lineRule="auto" w:line="288" w:before="0" w:after="0"/>
        <w:ind w:left="0" w:right="0" w:firstLine="270"/>
        <w:jc w:val="both"/>
        <w:rPr>
          <w:rFonts w:ascii="Times New Roman;sans-serif" w:hAnsi="Times New Roman;sans-serif"/>
          <w:b w:val="false"/>
          <w:i/>
          <w:color w:val="000000"/>
          <w:sz w:val="20"/>
        </w:rPr>
      </w:pPr>
      <w:r>
        <w:rPr>
          <w:rFonts w:ascii="Times New Roman;sans-serif" w:hAnsi="Times New Roman;sans-serif"/>
          <w:b w:val="false"/>
          <w:i/>
          <w:color w:val="000000"/>
          <w:sz w:val="20"/>
        </w:rPr>
        <w:t>Latin America Divestiture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2020, we closed on the sale of five subsidiaries comprising our manufacturing and sales operations in Latin America to buyers led by Instalación Profesional y Tecnologías del Centro S.A. de C.V., a Mexican company doing business as Accell in Brazil (Accell), through the execution of various definitive stock purchase agreements. The sale of these Latin America-based operations is part of our continued strategy to improve profitability and focus on growing our Networked Solutions and Outcomes businesses in Latin America and throughout the world. We retained the intellectual property rights to our products sold in Latin America. As part of the transaction, we entered into an intellectual property license agreement whereby Accell pays a royalty on certain products manufactured by Accell using licensed Company intellectual property. In addition, Accell serves as the exclusive distributor for our Device Solutions, Networked Solutions, and Outcomes product and service offerings in Latin America.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sales price of $35.0 million included deferred payments of $21.1 million for working capital, which was to be paid in full by December 31, 2020, as evidenced by a promissory note, and the remainder in cash ($4.5 million) and other deferred consideration. We recognized a total loss of $59.8 million during the year ended 2020, as the result of the total of the net assets sold (including the cumulative translation adjustment in AOCI) exceeding the sales price.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2021, we agreed to extend the payment terms on the remaining outstanding working capital balance of $18.4 million. Accell had agreed to make monthly payments including interest through September 2022, under which we received full payments for January through March and partial payments in April and May (totaling $3.8 million including $0.7 million in interest). Based on Accell's failure to make timely payments, continued requests to defer payments significantly beyond the original maturity of the working capital note and the unfavorable impact of the COVID-19 pandemic on the Latin American markets, we determined to fully reserve the working capital and other deferred receivables, recognizing a loss on sale of business of $26.8 million for the year ended December 31, 2021.</w:t>
      </w:r>
    </w:p>
    <w:p>
      <w:pPr>
        <w:pStyle w:val="TextBody"/>
        <w:spacing w:before="0" w:after="0"/>
        <w:jc w:val="both"/>
        <w:rPr/>
      </w:pPr>
      <w:r>
        <w:rPr/>
      </w:r>
    </w:p>
    <w:p>
      <w:pPr>
        <w:pStyle w:val="TextBody"/>
        <w:spacing w:lineRule="auto" w:line="268" w:before="0" w:after="0"/>
        <w:ind w:left="0" w:right="0" w:firstLine="270"/>
        <w:rPr>
          <w:rFonts w:ascii="Times New Roman;sans-serif" w:hAnsi="Times New Roman;sans-serif"/>
          <w:b w:val="false"/>
          <w:i/>
          <w:color w:val="000000"/>
          <w:sz w:val="20"/>
        </w:rPr>
      </w:pPr>
      <w:r>
        <w:rPr>
          <w:rFonts w:ascii="Times New Roman;sans-serif" w:hAnsi="Times New Roman;sans-serif"/>
          <w:b w:val="false"/>
          <w:i/>
          <w:color w:val="000000"/>
          <w:sz w:val="20"/>
        </w:rPr>
        <w:t>Sale to Dresser</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2021, Itron entered into a definitive securities and asset purchase agreement to sell certain of its Gas device manufacturing and business operations in Europe and North America to Dresser. The sale includes one German subsidiary – Itron GmbH along with its business operations, personnel, and the owned manufacturing facility in Karlsruhe; the business operations, personnel, and assets associated with the leased manufacturing facility in Argenteuil, France; and the business and manufacturing assets maintained at one of our contract manufacturers in North America. The sale of these assets and operations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is part of Itron's continued strategy to improve profitability and focus on growing its higher value businesses throughout the world.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fourth quarter of 2021, we reclassified the assets and liabilities of this asset group as held for sale. Based on the sales price and the carrying value of the assets including the foreign currency translation losses accumulated since the acquisition of the German subsidiary in 2007, we recognized a pre-tax impairment loss of $34.4 million and $3.1 million for professional services in conjunction with the sale to Dresser (classified within Loss on sale of business within the Consolidated Statements of Operations) as of December 31, 2021. The base sale price of this divestiture was $75 million, with adjustments for (1) pension liabilities assumed by Dresser for the active employees and (2) the final working capital balance, which will be determined as of the close date, and, if the balance is outside the targeted amount, the difference will be settled shortly thereafter. Cash proceeds from the sale were estimated at a net $53.9 million ($63.7 million less $9.8 million in cash held for sale) at December 31, 2021. The transaction closed on February 28, 2022, and the final sales price and loss on sale will be determined and recognized during the second quarter of 2022, based on the 90-day working capital validation process.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and non-current assets and liabilities included with the sale have been classified as held for sale as of November 2, 2021 and moved to other current assets and liabilities as of December 31, 2021. All balances below are as of December 31, 2021. Final balances will be determined upon transaction closing, including the 90-day working capital review period.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components of the balance sheet accounts reclassified to current assets and liabilities held for sale related to the sale to Dresser.</w:t>
      </w:r>
    </w:p>
    <w:p>
      <w:pPr>
        <w:pStyle w:val="TextBody"/>
        <w:spacing w:before="0" w:after="0"/>
        <w:rPr/>
      </w:pPr>
      <w:r>
        <w:rPr/>
      </w:r>
    </w:p>
    <w:tbl>
      <w:tblPr>
        <w:tblW w:w="5024" w:type="dxa"/>
        <w:jc w:val="left"/>
        <w:tblInd w:w="0" w:type="dxa"/>
        <w:tblCellMar>
          <w:top w:w="28" w:type="dxa"/>
          <w:left w:w="28" w:type="dxa"/>
          <w:bottom w:w="28" w:type="dxa"/>
          <w:right w:w="28" w:type="dxa"/>
        </w:tblCellMar>
      </w:tblPr>
      <w:tblGrid>
        <w:gridCol w:w="1038"/>
        <w:gridCol w:w="910"/>
        <w:gridCol w:w="917"/>
        <w:gridCol w:w="395"/>
        <w:gridCol w:w="1454"/>
        <w:gridCol w:w="310"/>
      </w:tblGrid>
      <w:tr>
        <w:trPr/>
        <w:tc>
          <w:tcPr>
            <w:tcW w:w="1038"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454"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r>
      <w:tr>
        <w:trPr/>
        <w:tc>
          <w:tcPr>
            <w:tcW w:w="28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28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1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15,410 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w:t>
            </w:r>
          </w:p>
        </w:tc>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12,012 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3,436 </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12,800 </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impairment</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(34,425)</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held for sale asset balance</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21,347 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(4,635)</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Wages and benefits payable</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warranty</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w:t>
            </w:r>
          </w:p>
        </w:tc>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warranty</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benefit obligation</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(11,513)</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8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w:t>
            </w:r>
          </w:p>
        </w:tc>
        <w:tc>
          <w:tcPr>
            <w:tcW w:w="3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obligations</w:t>
            </w:r>
          </w:p>
        </w:tc>
        <w:tc>
          <w:tcPr>
            <w:tcW w:w="18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3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held for sale liability balance</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(18,593)</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19: Leases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operating lease expense are as follows:</w:t>
      </w:r>
    </w:p>
    <w:tbl>
      <w:tblPr>
        <w:tblW w:w="4396" w:type="dxa"/>
        <w:jc w:val="left"/>
        <w:tblInd w:w="0" w:type="dxa"/>
        <w:tblCellMar>
          <w:top w:w="28" w:type="dxa"/>
          <w:left w:w="28" w:type="dxa"/>
          <w:bottom w:w="28" w:type="dxa"/>
          <w:right w:w="28" w:type="dxa"/>
        </w:tblCellMar>
      </w:tblPr>
      <w:tblGrid>
        <w:gridCol w:w="690"/>
        <w:gridCol w:w="604"/>
        <w:gridCol w:w="610"/>
        <w:gridCol w:w="196"/>
        <w:gridCol w:w="646"/>
        <w:gridCol w:w="109"/>
        <w:gridCol w:w="109"/>
        <w:gridCol w:w="109"/>
        <w:gridCol w:w="109"/>
        <w:gridCol w:w="196"/>
        <w:gridCol w:w="646"/>
        <w:gridCol w:w="109"/>
        <w:gridCol w:w="109"/>
        <w:gridCol w:w="154"/>
      </w:tblGrid>
      <w:tr>
        <w:trPr/>
        <w:tc>
          <w:tcPr>
            <w:tcW w:w="690"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9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cost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operating leases is as follows:</w:t>
      </w:r>
    </w:p>
    <w:tbl>
      <w:tblPr>
        <w:tblW w:w="8018" w:type="dxa"/>
        <w:jc w:val="left"/>
        <w:tblInd w:w="0" w:type="dxa"/>
        <w:tblCellMar>
          <w:top w:w="28" w:type="dxa"/>
          <w:left w:w="28" w:type="dxa"/>
          <w:bottom w:w="28" w:type="dxa"/>
          <w:right w:w="28" w:type="dxa"/>
        </w:tblCellMar>
      </w:tblPr>
      <w:tblGrid>
        <w:gridCol w:w="2077"/>
        <w:gridCol w:w="1820"/>
        <w:gridCol w:w="1847"/>
        <w:gridCol w:w="196"/>
        <w:gridCol w:w="646"/>
        <w:gridCol w:w="109"/>
        <w:gridCol w:w="109"/>
        <w:gridCol w:w="109"/>
        <w:gridCol w:w="109"/>
        <w:gridCol w:w="196"/>
        <w:gridCol w:w="646"/>
        <w:gridCol w:w="154"/>
      </w:tblGrid>
      <w:tr>
        <w:trPr/>
        <w:tc>
          <w:tcPr>
            <w:tcW w:w="2077"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r>
      <w:tr>
        <w:trPr/>
        <w:tc>
          <w:tcPr>
            <w:tcW w:w="57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5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operating lease liabilities</w:t>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operating leases is as follows:</w:t>
      </w:r>
    </w:p>
    <w:tbl>
      <w:tblPr>
        <w:tblW w:w="7660" w:type="dxa"/>
        <w:jc w:val="left"/>
        <w:tblInd w:w="0" w:type="dxa"/>
        <w:tblCellMar>
          <w:top w:w="28" w:type="dxa"/>
          <w:left w:w="28" w:type="dxa"/>
          <w:bottom w:w="28" w:type="dxa"/>
          <w:right w:w="28" w:type="dxa"/>
        </w:tblCellMar>
      </w:tblPr>
      <w:tblGrid>
        <w:gridCol w:w="1522"/>
        <w:gridCol w:w="1333"/>
        <w:gridCol w:w="1345"/>
        <w:gridCol w:w="275"/>
        <w:gridCol w:w="909"/>
        <w:gridCol w:w="360"/>
        <w:gridCol w:w="109"/>
        <w:gridCol w:w="109"/>
        <w:gridCol w:w="109"/>
        <w:gridCol w:w="272"/>
        <w:gridCol w:w="899"/>
        <w:gridCol w:w="418"/>
      </w:tblGrid>
      <w:tr>
        <w:trPr/>
        <w:tc>
          <w:tcPr>
            <w:tcW w:w="1522"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42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net</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65,523 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76,276 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16,602 </w:t>
            </w:r>
          </w:p>
        </w:tc>
        <w:tc>
          <w:tcPr>
            <w:tcW w:w="3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16,243 </w:t>
            </w:r>
          </w:p>
        </w:tc>
        <w:tc>
          <w:tcPr>
            <w:tcW w:w="4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57,314 </w:t>
            </w:r>
          </w:p>
        </w:tc>
        <w:tc>
          <w:tcPr>
            <w:tcW w:w="3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66,823 </w:t>
            </w:r>
          </w:p>
        </w:tc>
        <w:tc>
          <w:tcPr>
            <w:tcW w:w="4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73,916 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83,066 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remaining lease term - Operating leases</w:t>
            </w:r>
          </w:p>
        </w:tc>
        <w:tc>
          <w:tcPr>
            <w:tcW w:w="1544"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years</w:t>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 - Operating leases</w:t>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3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Amounts due under operating lease liabilities as of December 31, 2021 are as follows:</w:t>
      </w:r>
    </w:p>
    <w:tbl>
      <w:tblPr>
        <w:tblW w:w="3733" w:type="dxa"/>
        <w:jc w:val="left"/>
        <w:tblInd w:w="0" w:type="dxa"/>
        <w:tblCellMar>
          <w:top w:w="28" w:type="dxa"/>
          <w:left w:w="28" w:type="dxa"/>
          <w:bottom w:w="28" w:type="dxa"/>
          <w:right w:w="28" w:type="dxa"/>
        </w:tblCellMar>
      </w:tblPr>
      <w:tblGrid>
        <w:gridCol w:w="777"/>
        <w:gridCol w:w="681"/>
        <w:gridCol w:w="686"/>
        <w:gridCol w:w="313"/>
        <w:gridCol w:w="1031"/>
        <w:gridCol w:w="245"/>
      </w:tblGrid>
      <w:tr>
        <w:trPr/>
        <w:tc>
          <w:tcPr>
            <w:tcW w:w="777"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1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2021</w:t>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19,234 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17,251 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14,812 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3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11,853 </w:t>
            </w:r>
          </w:p>
        </w:tc>
        <w:tc>
          <w:tcPr>
            <w:tcW w:w="2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134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81,725 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3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(7,809)</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73,916 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disagreements with our independent accountants on accounting and financial disclosure matters within the three year period ended December 31, 2021, or in any period subsequent to such date, through the date of this report.</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2021,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Management's Annual Report on Internal Control Over Financial Reporting</w:t>
      </w:r>
    </w:p>
    <w:p>
      <w:pPr>
        <w:pStyle w:val="TextBody"/>
        <w:spacing w:lineRule="auto" w:line="288" w:before="180" w:after="283"/>
        <w:jc w:val="both"/>
        <w:rPr/>
      </w:pPr>
      <w:r>
        <w:rPr>
          <w:rFonts w:ascii="Times New Roman;sans-serif" w:hAnsi="Times New Roman;sans-serif"/>
          <w:b w:val="false"/>
          <w:color w:val="000000"/>
          <w:sz w:val="20"/>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sans-serif" w:hAnsi="Times New Roman;sans-serif"/>
          <w:b w:val="false"/>
          <w:i/>
          <w:color w:val="000000"/>
          <w:sz w:val="20"/>
        </w:rPr>
        <w:t>Internal Control— Integrated Framework</w:t>
      </w:r>
      <w:r>
        <w:rPr>
          <w:color w:val="000000"/>
        </w:rPr>
        <w:t xml:space="preserve"> </w:t>
      </w:r>
      <w:r>
        <w:rPr>
          <w:rFonts w:ascii="Times New Roman;sans-serif" w:hAnsi="Times New Roman;sans-serif"/>
          <w:b w:val="false"/>
          <w:color w:val="000000"/>
          <w:sz w:val="20"/>
        </w:rPr>
        <w:t>issued by the Committee of Sponsoring Organizations of the Treadway Commission (2013 Framework). Based on our evaluation under the 2013 Framework, management concluded that our internal control over financial reporting was effective as of December 31, 2021.</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2021 has been audited by Deloitte &amp; Touche LLP, an independent registered public accounting firm, as stated in their report that is included in this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 over financial reporting during the three months ended December 31, 2021 that materially affected, or are reasonably likely to materially affect, internal control over financial reporting.</w:t>
      </w:r>
    </w:p>
    <w:p>
      <w:pPr>
        <w:pStyle w:val="TextBody"/>
        <w:spacing w:before="18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 Itron, Inc.</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spacing w:lineRule="auto" w:line="288" w:before="0" w:after="0"/>
        <w:jc w:val="both"/>
        <w:rPr/>
      </w:pPr>
      <w:r>
        <w:rPr>
          <w:rFonts w:ascii="Times New Roman;sans-serif" w:hAnsi="Times New Roman;sans-serif"/>
          <w:b w:val="false"/>
          <w:color w:val="000000"/>
          <w:sz w:val="20"/>
        </w:rPr>
        <w:t xml:space="preserve">We have audited the internal control over financial reporting of Itron, Inc. and subsidiaries (the "Company")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COSO.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lineRule="auto" w:line="288" w:before="0" w:after="0"/>
        <w:jc w:val="both"/>
        <w:rPr/>
      </w:pPr>
      <w:r>
        <w:rPr>
          <w:rFonts w:ascii="Times New Roman;sans-serif" w:hAnsi="Times New Roman;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ans-serif" w:hAnsi="Times New Roman;sans-serif"/>
          <w:b w:val="false"/>
          <w:i/>
          <w:color w:val="000000"/>
          <w:sz w:val="20"/>
        </w:rPr>
        <w:t>Management's Annual Report on Internal Control Over Financial Reporting</w:t>
      </w:r>
      <w:r>
        <w:rPr>
          <w:rFonts w:ascii="Times New Roman;sans-serif" w:hAnsi="Times New Roman;sans-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Definition and Limitations of Internal Control over Financial Reporting</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rPr/>
      </w:pPr>
      <w:r>
        <w:rPr/>
      </w:r>
    </w:p>
    <w:p>
      <w:pPr>
        <w:pStyle w:val="TextBody"/>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Seattle, Washington </w:t>
      </w:r>
    </w:p>
    <w:p>
      <w:pPr>
        <w:pStyle w:val="TextBody"/>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28,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"Proposal 1 – Election of Directors" appearing in our Proxy Statement for the Annual Meeting of Shareholders to be held on May 12, 2022 (the 2022 Proxy Statement) sets forth certain information with regard to our directors as required by Item 401 of Regulation S-K and is incorporated herein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with respect to persons who are or may be deemed to be executive officers of Itron, Inc. as required by Item 401 of Regulation S-K is set forth under the caption "Information about our Executive Officers" in Part I of this Annual Report.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"Delinquent Section 16(a) Reports" appearing in the 2022 Proxy Statement sets forth certain information as required by Item 405 of Regulation S-K and is incorporated herein by reference.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section entitled "Corporate Governance" appearing in the 2022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Times New Roman;sans-serif" w:hAnsi="Times New Roman;sans-serif"/>
          <w:b w:val="false"/>
          <w:i/>
          <w:color w:val="000000"/>
          <w:sz w:val="20"/>
        </w:rPr>
        <w:t>www.itron.com</w:t>
      </w:r>
      <w:r>
        <w:rPr>
          <w:color w:val="000000"/>
        </w:rPr>
        <w:t xml:space="preserve"> </w:t>
      </w:r>
      <w:r>
        <w:rPr>
          <w:rFonts w:ascii="Times New Roman;sans-serif" w:hAnsi="Times New Roman;sans-serif"/>
          <w:b w:val="false"/>
          <w:color w:val="000000"/>
          <w:sz w:val="20"/>
        </w:rPr>
        <w:t>under the Investors section.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the procedures by which security holders may recommend nominees to Itron's board of directors during 2022, as set forth by Item 407(c)(3) of Regulation 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"Corporate Governance" appearing in the 2022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sections entitled "Compensation of Directors" and "Executive Compensation" appearing in the 2022 Proxy Statement set forth certain information with respect to the compensation of directors and management of Itron as required by Item 402 of Regulation S-K and are incorporated herein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"Corporate Governance" appearing in the 2022 Proxy Statement sets forth certain information regarding members of the Compensation Committee required by Item 407(e)(4) of Regulation S-K and is incorporated herein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"Compensation Committee Report" appearing in the 2022 Proxy Statement sets forth certain information required by Item 407(e)(5) of Regulation S-K and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ind w:left="0" w:right="0" w:hanging="10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"Equity Compensation Plan Information" appearing in the 2022 Proxy Statement sets forth certain information required by Item 201(d) of Regulation S-K and is incorporated herein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"Security Ownership of Certain Beneficial Owners and Management" appearing in the 2022 Proxy Statement sets forth certain information with respect to the ownership of our common stock as required by Item 403 of Regulation S-K and is incorporated herein by reference.</w:t>
      </w:r>
    </w:p>
    <w:p>
      <w:pPr>
        <w:pStyle w:val="TextBody"/>
        <w:spacing w:before="60" w:after="283"/>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"Corporate Governance" appearing in the 2022 Proxy Statement sets forth certain information required by Item 404 of Regulation S-K and is incorporated herein by reference.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"Corporate Governance" appearing in the 2022 Proxy Statement sets forth certain information with respect to director independence as required by Item 407(a) of Regulation S-K and is incorporated herein by reference.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section entitled "Independent Registered Public Accounting Firm's Audit Fees and Services" appearing in the 2022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pStyle w:val="TextBody"/>
        <w:spacing w:before="100" w:after="1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 (1) Financial Statements: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required by this item are submitted in Item 8 of this Annual Report on Form 10-K.</w:t>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(a) (2) Financial Statement Schedule:</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schedules have been omitted because of the absence of conditions under which they are required or because the required information is included in the consolidated financial statements or the notes thereto.</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 (3) Exhibits: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6"/>
        <w:gridCol w:w="312"/>
        <w:gridCol w:w="314"/>
        <w:gridCol w:w="109"/>
        <w:gridCol w:w="109"/>
        <w:gridCol w:w="109"/>
        <w:gridCol w:w="2700"/>
        <w:gridCol w:w="2555"/>
        <w:gridCol w:w="3641"/>
      </w:tblGrid>
      <w:tr>
        <w:trPr/>
        <w:tc>
          <w:tcPr>
            <w:tcW w:w="356"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3">
              <w:r>
                <w:rPr>
                  <w:rStyle w:val="InternetLink"/>
                  <w:rFonts w:ascii="Times New Roman;sans-serif" w:hAnsi="Times New Roman;sans-serif"/>
                  <w:b w:val="false"/>
                  <w:color w:val="0000FF"/>
                  <w:sz w:val="20"/>
                  <w:u w:val="single"/>
                </w:rPr>
                <w:t>Agreement and Plan of Merger, dated September 17, 2017, by and among Itron, Inc., Ivory Merger Sub, Inc., and Silver Spring, Inc. (Filed as Exhibit 2.1 to Itron Inc.'s Current Report on Form 8-K, filed on September 18, 2017)</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
              <w:r>
                <w:rPr>
                  <w:rStyle w:val="InternetLink"/>
                </w:rPr>
                <w:t>Amended and Restated Articles of Incorporation of Itron, Inc. (Filed as Exhibit 3.1 to Itron, Inc.</w:t>
              </w:r>
            </w:hyperlink>
            <w:hyperlink r:id="rId5">
              <w:r>
                <w:rPr>
                  <w:rStyle w:val="InternetLink"/>
                </w:rPr>
                <w:t>'</w:t>
              </w:r>
            </w:hyperlink>
            <w:hyperlink r:id="rId6">
              <w:r>
                <w:rPr>
                  <w:rStyle w:val="InternetLink"/>
                </w:rPr>
                <w:t>s Annual Report on Form 10-K, filed on March 27, 2003)</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
              <w:r>
                <w:rPr>
                  <w:rStyle w:val="InternetLink"/>
                  <w:rFonts w:ascii="Times New Roman;sans-serif" w:hAnsi="Times New Roman;sans-serif"/>
                  <w:b w:val="false"/>
                  <w:color w:val="0000FF"/>
                  <w:sz w:val="20"/>
                  <w:u w:val="single"/>
                </w:rPr>
                <w:t>Amended and Restated Bylaws of Itron, Inc. (Filed as Exhibit 3.2 to Itron, Inc.'s Current Report on Form 8-K, filed on February 28, 2022)</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
              <w:r>
                <w:rPr>
                  <w:rStyle w:val="InternetLink"/>
                  <w:rFonts w:ascii="Times New Roman;sans-serif" w:hAnsi="Times New Roman;sans-serif"/>
                  <w:b w:val="false"/>
                  <w:color w:val="0000FF"/>
                  <w:sz w:val="20"/>
                  <w:u w:val="single"/>
                </w:rPr>
                <w:t>Security Agreement dated August 5, 2011 among Itron, Inc. and Wells Fargo Bank, National Association (Filed as Exhibit 4.2 to Form 8-K filed on August 8, 2011)</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
              <w:r>
                <w:rPr>
                  <w:rStyle w:val="InternetLink"/>
                </w:rPr>
                <w:t>First Amendment to Security Agreement dated June 23, 2015 among Itron, Inc. and Wells Fargo Bank, National Association. (Filed as Exhibit 4.2 to Itron, Inc.</w:t>
              </w:r>
            </w:hyperlink>
            <w:hyperlink r:id="rId10">
              <w:r>
                <w:rPr>
                  <w:rStyle w:val="InternetLink"/>
                </w:rPr>
                <w:t>'</w:t>
              </w:r>
            </w:hyperlink>
            <w:hyperlink r:id="rId11">
              <w:r>
                <w:rPr>
                  <w:rStyle w:val="InternetLink"/>
                </w:rPr>
                <w:t>s Current Report on Form 8-K, filed on June 23, 2015)</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2">
              <w:r>
                <w:rPr>
                  <w:rStyle w:val="InternetLink"/>
                  <w:rFonts w:ascii="Times New Roman;sans-serif" w:hAnsi="Times New Roman;sans-serif"/>
                  <w:b w:val="false"/>
                  <w:color w:val="0000FF"/>
                  <w:sz w:val="20"/>
                  <w:u w:val="single"/>
                </w:rPr>
                <w:t>Indenture, dated as of December 22, 2017 among Itron, Inc., the guarantors from time to time party thereto and U.S. Bank National Association, as trustee. (Filed as Exhibit 4.1 to Itron, Inc.'s Current Report on Form 8-K, filed on December 22, 2017)</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3">
              <w:r>
                <w:rPr>
                  <w:rStyle w:val="InternetLink"/>
                  <w:rFonts w:ascii="Times New Roman;sans-serif" w:hAnsi="Times New Roman;sans-serif"/>
                  <w:b w:val="false"/>
                  <w:color w:val="0000FF"/>
                  <w:sz w:val="20"/>
                  <w:u w:val="single"/>
                </w:rPr>
                <w:t>Second Amended and Restated Credit Agreement dated January 5, 2018 among Itron, Inc. and a syndicate of banks led by Wells Fargo Bank, National Association, JPMorgan Chase Bank, N.A., J.P. Morgan Europe Limited, J.P. Morgan Securities PLC, BNP Paribas, and Silicon Valley Bank (Filed as Exhibit 4.1 to Itron, Inc.'s Current Report on Form 8-K, filed on January 11, 2018)</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4">
              <w:r>
                <w:rPr>
                  <w:rStyle w:val="InternetLink"/>
                  <w:rFonts w:ascii="Times New Roman;sans-serif" w:hAnsi="Times New Roman;sans-serif"/>
                  <w:b w:val="false"/>
                  <w:color w:val="0000FF"/>
                  <w:sz w:val="20"/>
                  <w:u w:val="single"/>
                </w:rPr>
                <w:t>Amendment No. 1 dated October 18, 2019, to the Second Amended and Restated Credit Agreement dated January 5, 2018 among Itron, Inc., certain foreign borrowers, guarantors, lenders and issuing parties thereto, and Wells Fargo Bank, National Association, as administrative agent. (Filed as Exhibit 4.1 to Itron, Inc.'s Current Report on Form 8-K, filed on October 24, 2019)</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5">
              <w:r>
                <w:rPr>
                  <w:rStyle w:val="InternetLink"/>
                  <w:rFonts w:ascii="Times New Roman;sans-serif" w:hAnsi="Times New Roman;sans-serif"/>
                  <w:b w:val="false"/>
                  <w:color w:val="0000FF"/>
                  <w:sz w:val="20"/>
                  <w:u w:val="single"/>
                </w:rPr>
                <w:t>Amendment No. 2 dated October 19, 2020, to the Second Amended and Restated Credit Agreement dated January 5, 2018 among Itron, Inc., certain foreign borrowers, guarantors, lenders and issuing parties thereto, and Wells Fargo Bank, National Association, as administrative agent. (Filed as Exhibit 4.1 to Itron, Inc's Quarterly Report on Form 10-Q filed on November 2, 2020)</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6">
              <w:r>
                <w:rPr>
                  <w:rStyle w:val="InternetLink"/>
                </w:rPr>
                <w:t>Amendment No. 3, dated March 8, 2021, to the Credit Agreement, dated January 5, 2018 among Itron, Inc. and certain foreign borrowers, guarantors, lenders and issuing parties thereto, and Wells Fargo Bank, National Association, as administrative agent</w:t>
              </w:r>
            </w:hyperlink>
            <w:hyperlink r:id="rId17">
              <w:r>
                <w:rPr>
                  <w:rStyle w:val="InternetLink"/>
                </w:rPr>
                <w:t xml:space="preserve">. </w:t>
              </w:r>
            </w:hyperlink>
            <w:hyperlink r:id="rId18">
              <w:r>
                <w:rPr>
                  <w:rStyle w:val="InternetLink"/>
                </w:rPr>
                <w:t xml:space="preserve">(Filed as Exhibit </w:t>
              </w:r>
            </w:hyperlink>
            <w:hyperlink r:id="rId19">
              <w:r>
                <w:rPr>
                  <w:rStyle w:val="InternetLink"/>
                </w:rPr>
                <w:t>10</w:t>
              </w:r>
            </w:hyperlink>
            <w:hyperlink r:id="rId20">
              <w:r>
                <w:rPr>
                  <w:rStyle w:val="InternetLink"/>
                </w:rPr>
                <w:t>.</w:t>
              </w:r>
            </w:hyperlink>
            <w:hyperlink r:id="rId21">
              <w:r>
                <w:rPr>
                  <w:rStyle w:val="InternetLink"/>
                </w:rPr>
                <w:t>3</w:t>
              </w:r>
            </w:hyperlink>
            <w:hyperlink r:id="rId22">
              <w:r>
                <w:rPr>
                  <w:rStyle w:val="InternetLink"/>
                </w:rPr>
                <w:t xml:space="preserve"> to Itron, Inc.'s Current Report on Form 8-K, filed on </w:t>
              </w:r>
            </w:hyperlink>
            <w:hyperlink r:id="rId23">
              <w:r>
                <w:rPr>
                  <w:rStyle w:val="InternetLink"/>
                </w:rPr>
                <w:t>March 12, 2021</w:t>
              </w:r>
            </w:hyperlink>
            <w:hyperlink r:id="rId24">
              <w:r>
                <w:rPr>
                  <w:rStyle w:val="InternetLink"/>
                </w:rPr>
                <w:t>)</w:t>
              </w:r>
            </w:hyperlink>
          </w:p>
        </w:tc>
      </w:tr>
      <w:tr>
        <w:trPr/>
        <w:tc>
          <w:tcPr>
            <w:tcW w:w="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96"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5">
              <w:r>
                <w:rPr>
                  <w:rStyle w:val="InternetLink"/>
                  <w:rFonts w:ascii="Times New Roman;sans-serif" w:hAnsi="Times New Roman;sans-serif"/>
                  <w:b w:val="false"/>
                  <w:color w:val="0000FF"/>
                  <w:sz w:val="20"/>
                  <w:u w:val="single"/>
                </w:rPr>
                <w:t>Indenture, dated as of March 12, 2021, by and between Itron, Inc. and U.S. Bank National Association, as trustee (Filed as Exhibit 4.1 to Itron, Inc.'s Current Report on Form-8K, filed on March 12, 2021)</w:t>
              </w:r>
            </w:hyperlink>
          </w:p>
        </w:tc>
      </w:tr>
    </w:tbl>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68"/>
        <w:gridCol w:w="323"/>
        <w:gridCol w:w="324"/>
        <w:gridCol w:w="109"/>
        <w:gridCol w:w="109"/>
        <w:gridCol w:w="109"/>
        <w:gridCol w:w="2750"/>
        <w:gridCol w:w="2521"/>
        <w:gridCol w:w="3592"/>
      </w:tblGrid>
      <w:tr>
        <w:trPr/>
        <w:tc>
          <w:tcPr>
            <w:tcW w:w="368"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0"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c>
          <w:tcPr>
            <w:tcW w:w="3592" w:type="dxa"/>
            <w:tcBorders/>
            <w:shd w:fill="auto" w:val="cle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1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26">
              <w:r>
                <w:rPr>
                  <w:rStyle w:val="InternetLink"/>
                  <w:rFonts w:ascii="Times New Roman;sans-serif" w:hAnsi="Times New Roman;sans-serif"/>
                  <w:b w:val="false"/>
                  <w:color w:val="0000FF"/>
                  <w:sz w:val="20"/>
                  <w:u w:val="single"/>
                </w:rPr>
                <w:t>Form of 0.00% Convertible Senior Note due 2026 (Filed as Exhibit 4.2 to Itron, Inc.'s Current Report on Form-8K, filed on March 12, 2021)</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7">
              <w:r>
                <w:rPr>
                  <w:rStyle w:val="InternetLink"/>
                  <w:rFonts w:ascii="Times New Roman;sans-serif" w:hAnsi="Times New Roman;sans-serif"/>
                  <w:b w:val="false"/>
                  <w:color w:val="0000FF"/>
                  <w:sz w:val="20"/>
                  <w:u w:val="single"/>
                </w:rPr>
                <w:t>Form of Convertible Note Hedge (Filed as Exhibit 10.1 to Itron, Inc.'s Current Report on Form-8K, filed on March 12, 2021)</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8">
              <w:r>
                <w:rPr>
                  <w:rStyle w:val="InternetLink"/>
                  <w:rFonts w:ascii="Times New Roman;sans-serif" w:hAnsi="Times New Roman;sans-serif"/>
                  <w:b w:val="false"/>
                  <w:color w:val="0000FF"/>
                  <w:sz w:val="20"/>
                  <w:u w:val="single"/>
                </w:rPr>
                <w:t>Form of Warrant Confirmation (Filed as Exhibit 10.2 to Itron, Inc.'s Current Report on Form-8K, filed on March 12, 2021)</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29">
              <w:r>
                <w:rPr>
                  <w:rStyle w:val="InternetLink"/>
                  <w:rFonts w:ascii="Times New Roman;sans-serif" w:hAnsi="Times New Roman;sans-serif"/>
                  <w:b w:val="false"/>
                  <w:color w:val="0000FF"/>
                  <w:sz w:val="20"/>
                  <w:u w:val="single"/>
                </w:rPr>
                <w:t>Description of Registrant's Securities (Filed as Exhibit 4.7 to Itron, Inc's Annual Report on Form 10-K, filed on February 24, 2021)</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triex-41312312021creditam.htm">
              <w:r>
                <w:rPr>
                  <w:rStyle w:val="InternetLink"/>
                  <w:rFonts w:ascii="Times New Roman;sans-serif" w:hAnsi="Times New Roman;sans-serif"/>
                  <w:b w:val="false"/>
                  <w:color w:val="0000FF"/>
                  <w:sz w:val="20"/>
                  <w:u w:val="single"/>
                </w:rPr>
                <w:t>Amendment No. 4, dated February 25, 2022, to the Credit Agreement, dated January 5, 2018 among Itron, Inc. and certain foreign borrowers, guarantors, lenders and issuing parties thereto, and Wells Fargo Bank, National Association, as administrative agent. (filed with this report)</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0">
              <w:r>
                <w:rPr>
                  <w:rStyle w:val="InternetLink"/>
                </w:rPr>
                <w:t>Form of Amended and Restated Change in Control Severance Agreement for Executive Officers. (Filed as Exhibit 10.1 to Itron, Inc.</w:t>
              </w:r>
            </w:hyperlink>
            <w:hyperlink r:id="rId31">
              <w:r>
                <w:rPr>
                  <w:rStyle w:val="InternetLink"/>
                </w:rPr>
                <w:t>'</w:t>
              </w:r>
            </w:hyperlink>
            <w:hyperlink r:id="rId32">
              <w:r>
                <w:rPr>
                  <w:rStyle w:val="InternetLink"/>
                </w:rPr>
                <w:t>s Annual Report on Form 10-K, filed on February 22, 2013)</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3" w:type="dxa"/>
            <w:gridSpan w:val="3"/>
            <w:tcBorders/>
            <w:shd w:fill="auto" w:val="clear"/>
            <w:vAlign w:val="center"/>
          </w:tcPr>
          <w:p>
            <w:pPr>
              <w:pStyle w:val="TableContents"/>
              <w:spacing w:before="0" w:after="283"/>
              <w:rPr>
                <w:sz w:val="4"/>
                <w:szCs w:val="4"/>
              </w:rPr>
            </w:pPr>
            <w:r>
              <w:rPr>
                <w:sz w:val="4"/>
                <w:szCs w:val="4"/>
              </w:rPr>
            </w:r>
          </w:p>
        </w:tc>
      </w:tr>
      <w:tr>
        <w:trPr/>
        <w:tc>
          <w:tcPr>
            <w:tcW w:w="1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3" w:type="dxa"/>
            <w:gridSpan w:val="3"/>
            <w:tcBorders/>
            <w:shd w:fill="auto" w:val="cle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3">
              <w:r>
                <w:rPr>
                  <w:rStyle w:val="InternetLink"/>
                </w:rPr>
                <w:t>Form of Indemnification Agreements between Itron, Inc. and certain directors and officers. (Filed as Exhibit 10.9 to Itron, Inc.</w:t>
              </w:r>
            </w:hyperlink>
            <w:hyperlink r:id="rId34">
              <w:r>
                <w:rPr>
                  <w:rStyle w:val="InternetLink"/>
                </w:rPr>
                <w:t>'</w:t>
              </w:r>
            </w:hyperlink>
            <w:hyperlink r:id="rId35">
              <w:r>
                <w:rPr>
                  <w:rStyle w:val="InternetLink"/>
                </w:rPr>
                <w:t>s Annual Report on Form 10-K, filed on March 30, 2000)</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3" w:type="dxa"/>
            <w:gridSpan w:val="3"/>
            <w:tcBorders/>
            <w:shd w:fill="auto" w:val="clear"/>
            <w:vAlign w:val="center"/>
          </w:tcPr>
          <w:p>
            <w:pPr>
              <w:pStyle w:val="TableContents"/>
              <w:spacing w:before="0" w:after="283"/>
              <w:rPr>
                <w:sz w:val="4"/>
                <w:szCs w:val="4"/>
              </w:rPr>
            </w:pPr>
            <w:r>
              <w:rPr>
                <w:sz w:val="4"/>
                <w:szCs w:val="4"/>
              </w:rPr>
            </w:r>
          </w:p>
        </w:tc>
      </w:tr>
      <w:tr>
        <w:trPr/>
        <w:tc>
          <w:tcPr>
            <w:tcW w:w="10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3" w:type="dxa"/>
            <w:gridSpan w:val="3"/>
            <w:tcBorders/>
            <w:shd w:fill="auto" w:val="cle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6">
              <w:r>
                <w:rPr>
                  <w:rStyle w:val="InternetLink"/>
                </w:rPr>
                <w:t>Amended and Restated 2010 Stock Incentive Plan. (Filed as Appendix A to Itron, Inc.</w:t>
              </w:r>
            </w:hyperlink>
            <w:hyperlink r:id="rId37">
              <w:r>
                <w:rPr>
                  <w:rStyle w:val="InternetLink"/>
                </w:rPr>
                <w:t>'</w:t>
              </w:r>
            </w:hyperlink>
            <w:hyperlink r:id="rId38">
              <w:r>
                <w:rPr>
                  <w:rStyle w:val="InternetLink"/>
                </w:rPr>
                <w:t>s Proxy Statement for the 2014 Annual Meeting of Shareholders, filed on March 13, 2014)</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39">
              <w:r>
                <w:rPr>
                  <w:rStyle w:val="InternetLink"/>
                  <w:rFonts w:ascii="Times New Roman;sans-serif" w:hAnsi="Times New Roman;sans-serif"/>
                  <w:b w:val="false"/>
                  <w:color w:val="0000FF"/>
                  <w:sz w:val="20"/>
                  <w:u w:val="single"/>
                </w:rPr>
                <w:t>Second Amended and Restated 2010 Stock Incentive Plan. (Filed as Appendix A to Itron, Inc.'s Proxy Statement for the 2017 Annual Meeting of Shareholders, filed on March 24, 2017)</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0">
              <w:r>
                <w:rPr>
                  <w:rStyle w:val="InternetLink"/>
                  <w:rFonts w:ascii="Times New Roman;sans-serif" w:hAnsi="Times New Roman;sans-serif"/>
                  <w:b w:val="false"/>
                  <w:color w:val="0000FF"/>
                  <w:sz w:val="20"/>
                  <w:u w:val="single"/>
                </w:rPr>
                <w:t>Rules of Itron Inc.'s Amended and Restated 2010 Stock Incentive Plan for the Grant of Restricted Stock Unit (RSU's) to Participants in France. (Filed as Exhibit 10.6 to Itron, Inc.'s Quarterly Report on Form 10-Q, filed on August 6, 2014)</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1">
              <w:r>
                <w:rPr>
                  <w:rStyle w:val="InternetLink"/>
                </w:rPr>
                <w:t>Terms of the Amended and Restated Equity Grant Program for Nonemployee Directors under the Itron, Inc. Amended and Restated 2000 Stock Incentive Plan. (Filed as Exhibit 10.4 to Itron, Inc.</w:t>
              </w:r>
            </w:hyperlink>
            <w:hyperlink r:id="rId42">
              <w:r>
                <w:rPr>
                  <w:rStyle w:val="InternetLink"/>
                </w:rPr>
                <w:t>'</w:t>
              </w:r>
            </w:hyperlink>
            <w:hyperlink r:id="rId43">
              <w:r>
                <w:rPr>
                  <w:rStyle w:val="InternetLink"/>
                </w:rPr>
                <w:t>s Annual Report on Form 10-K, filed on February 26, 2008)</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4">
              <w:r>
                <w:rPr>
                  <w:rStyle w:val="InternetLink"/>
                </w:rPr>
                <w:t>Form of Stock Option Grant Notice and Agreement for use in connection with both incentive and non-qualified stock options granted under Itron, Inc.'s Amended and Restated 2000 Stock Incentive Plan. (Filed as Exhibit 10.6 to Itron, Inc.</w:t>
              </w:r>
            </w:hyperlink>
            <w:hyperlink r:id="rId45">
              <w:r>
                <w:rPr>
                  <w:rStyle w:val="InternetLink"/>
                </w:rPr>
                <w:t>'</w:t>
              </w:r>
            </w:hyperlink>
            <w:hyperlink r:id="rId46">
              <w:r>
                <w:rPr>
                  <w:rStyle w:val="InternetLink"/>
                </w:rPr>
                <w:t>s Current Report on Form 8-K, filed on February 18, 2010)</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47">
              <w:r>
                <w:rPr>
                  <w:rStyle w:val="InternetLink"/>
                </w:rPr>
                <w:t>Form of RSU Award Notice and Agreement for U.S. Participants for use in connection with the Company</w:t>
              </w:r>
            </w:hyperlink>
            <w:hyperlink r:id="rId48">
              <w:r>
                <w:rPr>
                  <w:rStyle w:val="InternetLink"/>
                </w:rPr>
                <w:t>'</w:t>
              </w:r>
            </w:hyperlink>
            <w:hyperlink r:id="rId49">
              <w:r>
                <w:rPr>
                  <w:rStyle w:val="InternetLink"/>
                </w:rPr>
                <w:t>s Long-Term Performance Plan (LTPP) and issued under Itron, Inc.'s Amended and Restated 2000 Stock Incentive Plan. (Filed as Exhibit 10.1 to Itron, Inc.</w:t>
              </w:r>
            </w:hyperlink>
            <w:hyperlink r:id="rId50">
              <w:r>
                <w:rPr>
                  <w:rStyle w:val="InternetLink"/>
                </w:rPr>
                <w:t>'</w:t>
              </w:r>
            </w:hyperlink>
            <w:hyperlink r:id="rId51">
              <w:r>
                <w:rPr>
                  <w:rStyle w:val="InternetLink"/>
                </w:rPr>
                <w:t>s Current Report on Form 8-K, filed on February 18, 2010)</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2">
              <w:r>
                <w:rPr>
                  <w:rStyle w:val="InternetLink"/>
                </w:rPr>
                <w:t>Form of RSU Award Notice and Agreement for International Participants (excluding France) for use in connection with the Company</w:t>
              </w:r>
            </w:hyperlink>
            <w:hyperlink r:id="rId53">
              <w:r>
                <w:rPr>
                  <w:rStyle w:val="InternetLink"/>
                </w:rPr>
                <w:t>'</w:t>
              </w:r>
            </w:hyperlink>
            <w:hyperlink r:id="rId54">
              <w:r>
                <w:rPr>
                  <w:rStyle w:val="InternetLink"/>
                </w:rPr>
                <w:t>s LTPP and issued under Itron, Inc.'s Amended and Restated 2000 Stock Incentive Plan. (Filed as Exhibit 10.2 to Itron, Inc.</w:t>
              </w:r>
            </w:hyperlink>
            <w:hyperlink r:id="rId55">
              <w:r>
                <w:rPr>
                  <w:rStyle w:val="InternetLink"/>
                </w:rPr>
                <w:t>'</w:t>
              </w:r>
            </w:hyperlink>
            <w:hyperlink r:id="rId56">
              <w:r>
                <w:rPr>
                  <w:rStyle w:val="InternetLink"/>
                </w:rPr>
                <w:t>s Current Report on Form 8-K, filed on February 18, 2010)</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57">
              <w:r>
                <w:rPr>
                  <w:rStyle w:val="InternetLink"/>
                </w:rPr>
                <w:t>Form of RSU Award Notice and Agreement for Participants in France for use in connection with Itron, Inc.'s LTPP and issued under Itron, Inc.'s Amended and Restated 2000 Stock Incentive Plan. (Filed as Exhibit 10.3 to Itron, Inc.</w:t>
              </w:r>
            </w:hyperlink>
            <w:hyperlink r:id="rId58">
              <w:r>
                <w:rPr>
                  <w:rStyle w:val="InternetLink"/>
                </w:rPr>
                <w:t>'</w:t>
              </w:r>
            </w:hyperlink>
            <w:hyperlink r:id="rId59">
              <w:r>
                <w:rPr>
                  <w:rStyle w:val="InternetLink"/>
                </w:rPr>
                <w:t>s Current Report on Form 8-K, filed on February 18, 2010)</w:t>
              </w:r>
            </w:hyperlink>
          </w:p>
        </w:tc>
      </w:tr>
      <w:tr>
        <w:trPr/>
        <w:tc>
          <w:tcPr>
            <w:tcW w:w="10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3"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0">
              <w:r>
                <w:rPr>
                  <w:rStyle w:val="InternetLink"/>
                </w:rPr>
                <w:t>Form of RSU Award Notice and Agreement for all Participants (excluding France) for use in connection with Itron, Inc.'s Amended and Restated 2000 Stock Incentive Plan. (Filed as Exhibit 10.4 to Itron, Inc.</w:t>
              </w:r>
            </w:hyperlink>
            <w:hyperlink r:id="rId61">
              <w:r>
                <w:rPr>
                  <w:rStyle w:val="InternetLink"/>
                </w:rPr>
                <w:t>'</w:t>
              </w:r>
            </w:hyperlink>
            <w:hyperlink r:id="rId62">
              <w:r>
                <w:rPr>
                  <w:rStyle w:val="InternetLink"/>
                </w:rPr>
                <w:t>s Current Report on Form 8-K, filed on February 18, 2010)</w:t>
              </w:r>
            </w:hyperlink>
          </w:p>
        </w:tc>
      </w:tr>
    </w:tbl>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69"/>
        <w:gridCol w:w="324"/>
        <w:gridCol w:w="325"/>
        <w:gridCol w:w="109"/>
        <w:gridCol w:w="109"/>
        <w:gridCol w:w="109"/>
        <w:gridCol w:w="2697"/>
        <w:gridCol w:w="2541"/>
        <w:gridCol w:w="3622"/>
      </w:tblGrid>
      <w:tr>
        <w:trPr/>
        <w:tc>
          <w:tcPr>
            <w:tcW w:w="36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7" w:type="dxa"/>
            <w:tcBorders/>
            <w:shd w:fill="auto" w:val="clear"/>
            <w:vAlign w:val="center"/>
          </w:tcPr>
          <w:p>
            <w:pPr>
              <w:pStyle w:val="TableContents"/>
              <w:spacing w:before="0" w:after="283"/>
              <w:rPr>
                <w:sz w:val="4"/>
                <w:szCs w:val="4"/>
              </w:rPr>
            </w:pPr>
            <w:r>
              <w:rPr>
                <w:sz w:val="4"/>
                <w:szCs w:val="4"/>
              </w:rPr>
            </w:r>
          </w:p>
        </w:tc>
        <w:tc>
          <w:tcPr>
            <w:tcW w:w="2541" w:type="dxa"/>
            <w:tcBorders/>
            <w:shd w:fill="auto" w:val="clear"/>
            <w:vAlign w:val="center"/>
          </w:tcPr>
          <w:p>
            <w:pPr>
              <w:pStyle w:val="TableContents"/>
              <w:spacing w:before="0" w:after="283"/>
              <w:rPr>
                <w:sz w:val="4"/>
                <w:szCs w:val="4"/>
              </w:rPr>
            </w:pPr>
            <w:r>
              <w:rPr>
                <w:sz w:val="4"/>
                <w:szCs w:val="4"/>
              </w:rPr>
            </w:r>
          </w:p>
        </w:tc>
        <w:tc>
          <w:tcPr>
            <w:tcW w:w="3622" w:type="dxa"/>
            <w:tcBorders/>
            <w:shd w:fill="auto" w:val="cle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63">
              <w:r>
                <w:rPr>
                  <w:rStyle w:val="InternetLink"/>
                </w:rPr>
                <w:t>Form of RSU Award Notice and Agreement for Participants in France for use in connection with Itron, Inc.'s Amended and Restated 2000 Stock Incentive Plan. (Filed as Exhibit 10.5 to Itron, Inc.</w:t>
              </w:r>
            </w:hyperlink>
            <w:hyperlink r:id="rId64">
              <w:r>
                <w:rPr>
                  <w:rStyle w:val="InternetLink"/>
                </w:rPr>
                <w:t>'</w:t>
              </w:r>
            </w:hyperlink>
            <w:hyperlink r:id="rId65">
              <w:r>
                <w:rPr>
                  <w:rStyle w:val="InternetLink"/>
                </w:rPr>
                <w:t>s Current Report on Form 8-K, filed on February 18, 2010)</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6">
              <w:r>
                <w:rPr>
                  <w:rStyle w:val="InternetLink"/>
                </w:rPr>
                <w:t>Form of Long Term Performance RSU Award Notice and Agreement for U.S. Participants for use in connection with Itron, Inc.'s Amended and Restated 2010 Stock Incentive Plan. (Filed as Exhibit 10.4 to Itron, Inc.</w:t>
              </w:r>
            </w:hyperlink>
            <w:hyperlink r:id="rId67">
              <w:r>
                <w:rPr>
                  <w:rStyle w:val="InternetLink"/>
                </w:rPr>
                <w:t>'</w:t>
              </w:r>
            </w:hyperlink>
            <w:hyperlink r:id="rId68">
              <w:r>
                <w:rPr>
                  <w:rStyle w:val="InternetLink"/>
                </w:rPr>
                <w:t>s Quarterly Report on Form 10-Q, filed on August 6, 2014)</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69">
              <w:r>
                <w:rPr>
                  <w:rStyle w:val="InternetLink"/>
                </w:rPr>
                <w:t>Form of Long Term Performance RSU Award Notice and Agreement for International Participants (excluding France) for use in connection with Itron, Inc.'s Amended and Restated 2010 Stock Incentive Plan. (Filed as Exhibit 10.19 to Itron, Inc.</w:t>
              </w:r>
            </w:hyperlink>
            <w:hyperlink r:id="rId70">
              <w:r>
                <w:rPr>
                  <w:rStyle w:val="InternetLink"/>
                </w:rPr>
                <w:t>'</w:t>
              </w:r>
            </w:hyperlink>
            <w:hyperlink r:id="rId71">
              <w:r>
                <w:rPr>
                  <w:rStyle w:val="InternetLink"/>
                </w:rPr>
                <w:t>s Annual Report on Form 10-K, filed on February 25, 2011)</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2">
              <w:r>
                <w:rPr>
                  <w:rStyle w:val="InternetLink"/>
                </w:rPr>
                <w:t>Form of Long Term Performance RSU Award Notice and Agreement for Participants in France for use in connection with Itron, Inc.'s Amended and Restated 2010 Stock Incentive Plan. (Filed as Exhibit 10.5 to Itron, Inc.</w:t>
              </w:r>
            </w:hyperlink>
            <w:hyperlink r:id="rId73">
              <w:r>
                <w:rPr>
                  <w:rStyle w:val="InternetLink"/>
                </w:rPr>
                <w:t>'</w:t>
              </w:r>
            </w:hyperlink>
            <w:hyperlink r:id="rId74">
              <w:r>
                <w:rPr>
                  <w:rStyle w:val="InternetLink"/>
                </w:rPr>
                <w:t>s Quarterly Report on Form 10-Q, filed on August 6, 2014)</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5">
              <w:r>
                <w:rPr>
                  <w:rStyle w:val="InternetLink"/>
                </w:rPr>
                <w:t>Form of RSU Award Notice and Agreement for all Participants (excluding France) for use in connection with Itron, Inc.'s Amended and Restated 2010 Stock Incentive Plan. (Filed as Exhibit 10.2 to Itron, Inc.</w:t>
              </w:r>
            </w:hyperlink>
            <w:hyperlink r:id="rId76">
              <w:r>
                <w:rPr>
                  <w:rStyle w:val="InternetLink"/>
                </w:rPr>
                <w:t>'</w:t>
              </w:r>
            </w:hyperlink>
            <w:hyperlink r:id="rId77">
              <w:r>
                <w:rPr>
                  <w:rStyle w:val="InternetLink"/>
                </w:rPr>
                <w:t>s Quarterly Report on Form 10-Q, filed on August 6, 2014)</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78">
              <w:r>
                <w:rPr>
                  <w:rStyle w:val="InternetLink"/>
                </w:rPr>
                <w:t>Form of RSU Award Notice and Agreement for Participants in France for use in connection with Itron, Inc.'s Amended and Restated 2010 Stock Incentive Plan. (Filed as Exhibit 10.3 to Itron, Inc.</w:t>
              </w:r>
            </w:hyperlink>
            <w:hyperlink r:id="rId79">
              <w:r>
                <w:rPr>
                  <w:rStyle w:val="InternetLink"/>
                </w:rPr>
                <w:t>'</w:t>
              </w:r>
            </w:hyperlink>
            <w:hyperlink r:id="rId80">
              <w:r>
                <w:rPr>
                  <w:rStyle w:val="InternetLink"/>
                </w:rPr>
                <w:t>s Quarterly Report on Form 10-Q, filed on August 6, 2014)</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1">
              <w:r>
                <w:rPr>
                  <w:rStyle w:val="InternetLink"/>
                </w:rPr>
                <w:t>Form of RSU Award Notice and Agreement for Non-employee Directors for use in connection with Itron, Inc.'s Amended and Restated 2010 Stock Incentive Plan. (Filed as Exhibit 10.3 to Itron, Inc.</w:t>
              </w:r>
            </w:hyperlink>
            <w:hyperlink r:id="rId82">
              <w:r>
                <w:rPr>
                  <w:rStyle w:val="InternetLink"/>
                </w:rPr>
                <w:t>'</w:t>
              </w:r>
            </w:hyperlink>
            <w:hyperlink r:id="rId83">
              <w:r>
                <w:rPr>
                  <w:rStyle w:val="InternetLink"/>
                </w:rPr>
                <w:t>s Quarterly Report on Form 10-Q, filed on May 3, 2013)</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4">
              <w:r>
                <w:rPr>
                  <w:rStyle w:val="InternetLink"/>
                </w:rPr>
                <w:t>Form of Stock Option Grant Notice and Agreement for use in connection with both incentive and non-qualified stock options granted under Itron, Inc.'s Amended and Restated 2010 Stock Incentive Plan. (Filed as Exhibit 10.1 to Itron, Inc</w:t>
              </w:r>
            </w:hyperlink>
            <w:hyperlink r:id="rId85">
              <w:r>
                <w:rPr>
                  <w:rStyle w:val="InternetLink"/>
                </w:rPr>
                <w:t>.</w:t>
              </w:r>
            </w:hyperlink>
            <w:hyperlink r:id="rId86">
              <w:r>
                <w:rPr>
                  <w:rStyle w:val="InternetLink"/>
                </w:rPr>
                <w:t>'s Quarterly Report on Form 10-Q, filed on August 6, 2014)</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87">
              <w:r>
                <w:rPr>
                  <w:rStyle w:val="InternetLink"/>
                </w:rPr>
                <w:t>Amendment to the Executive Deferred Compensation Plan. (Filed as Exhibit 10.1 to Itron, Inc.</w:t>
              </w:r>
            </w:hyperlink>
            <w:hyperlink r:id="rId88">
              <w:r>
                <w:rPr>
                  <w:rStyle w:val="InternetLink"/>
                </w:rPr>
                <w:t>'</w:t>
              </w:r>
            </w:hyperlink>
            <w:hyperlink r:id="rId89">
              <w:r>
                <w:rPr>
                  <w:rStyle w:val="InternetLink"/>
                </w:rPr>
                <w:t>s Quarterly Report on Form 10-Q, filed on November 3, 2016)</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0">
              <w:r>
                <w:rPr>
                  <w:rStyle w:val="InternetLink"/>
                </w:rPr>
                <w:t>Amended and Restated 2012 Employee Stock Purchase Plan. (Filed as Exhibit 10.21 to Itron, Inc</w:t>
              </w:r>
            </w:hyperlink>
            <w:hyperlink r:id="rId91">
              <w:r>
                <w:rPr>
                  <w:rStyle w:val="InternetLink"/>
                </w:rPr>
                <w:t>.</w:t>
              </w:r>
            </w:hyperlink>
            <w:hyperlink r:id="rId92">
              <w:r>
                <w:rPr>
                  <w:rStyle w:val="InternetLink"/>
                </w:rPr>
                <w:t>'s Annual Report on Form 10-K, filed on February 24, 2021)</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3">
              <w:r>
                <w:rPr>
                  <w:rStyle w:val="InternetLink"/>
                  <w:rFonts w:ascii="Times New Roman;sans-serif" w:hAnsi="Times New Roman;sans-serif"/>
                  <w:b w:val="false"/>
                  <w:color w:val="0000FF"/>
                  <w:sz w:val="20"/>
                  <w:u w:val="single"/>
                </w:rPr>
                <w:t>Cooperation Agreement by and among Itron, Inc., Coppersmith Capital Management LLC, Scopia Management, Inc. and certain of their specified affiliates, Jerome J. Lande and Peter Mainz, dated as of December 9, 2015. (Filed as Exhibit 10.1 to Itron, Inc.'s Current Report on Form 8-K, filed on December 11, 2015)</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4">
              <w:r>
                <w:rPr>
                  <w:rStyle w:val="InternetLink"/>
                </w:rPr>
                <w:t>Amendment to Cooperation Agreement by and among Itron, Inc., Coppersmith Capital Management LLC, Scopia Management, Inc. and certain of their specified affiliates, Jerome J. Lande and Peter Mainz. (Filed as Exhibit 10.2 to Itron, Inc.</w:t>
              </w:r>
            </w:hyperlink>
            <w:hyperlink r:id="rId95">
              <w:r>
                <w:rPr>
                  <w:rStyle w:val="InternetLink"/>
                </w:rPr>
                <w:t>'</w:t>
              </w:r>
            </w:hyperlink>
            <w:hyperlink r:id="rId96">
              <w:r>
                <w:rPr>
                  <w:rStyle w:val="InternetLink"/>
                </w:rPr>
                <w:t>s Quarterly Report on Form 10-Q, filed on November 3, 2016)</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7">
              <w:r>
                <w:rPr>
                  <w:rStyle w:val="InternetLink"/>
                  <w:rFonts w:ascii="Times New Roman;sans-serif" w:hAnsi="Times New Roman;sans-serif"/>
                  <w:b w:val="false"/>
                  <w:color w:val="0000FF"/>
                  <w:sz w:val="20"/>
                  <w:u w:val="single"/>
                </w:rPr>
                <w:t>First Amendment to Cooperation Agreement, dated November 1, 2017, by and among Itron, Inc., Scopia Management, Inc. and certain of their specified affiliates, Jerome J. Lande and certain other individuals. (Filed as Exhibit 10.1 to Itron, Inc.'s Current Report on Form 8-K, filed on November 2, 2017)</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8">
              <w:r>
                <w:rPr>
                  <w:rStyle w:val="InternetLink"/>
                  <w:rFonts w:ascii="Times New Roman;sans-serif" w:hAnsi="Times New Roman;sans-serif"/>
                  <w:b w:val="false"/>
                  <w:color w:val="0000FF"/>
                  <w:sz w:val="20"/>
                  <w:u w:val="single"/>
                </w:rPr>
                <w:t>Form of Stock Option Grant Notice and Agreement for use in connection with both incentive and non-qualified stock options granted under Itron, Inc.'s Amended and Restated 2010 Stock Incentive Plan. (Filed as Exhibit 10.1 to Itron, Inc.'s Quarterly Report on Form 10-Q, filed on May 4, 2017)</w:t>
              </w:r>
            </w:hyperlink>
          </w:p>
        </w:tc>
      </w:tr>
      <w:tr>
        <w:trPr/>
        <w:tc>
          <w:tcPr>
            <w:tcW w:w="10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99">
              <w:r>
                <w:rPr>
                  <w:rStyle w:val="InternetLink"/>
                  <w:rFonts w:ascii="Times New Roman;sans-serif" w:hAnsi="Times New Roman;sans-serif"/>
                  <w:b w:val="false"/>
                  <w:color w:val="0000FF"/>
                  <w:sz w:val="20"/>
                  <w:u w:val="single"/>
                </w:rPr>
                <w:t>Form of Long-Term Performance RSU Award Notice and Agreement for U.S. Participants for use in connection with Itron, Inc.'s Amended and Restated 2010 Stock Incentive Plan. (Filed as Exhibit 10.2 to Itron, Inc.'s Quarterly Report on Form 10-Q, filed on May 4, 2017)</w:t>
              </w:r>
            </w:hyperlink>
          </w:p>
        </w:tc>
      </w:tr>
    </w:tbl>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340"/>
        <w:gridCol w:w="298"/>
        <w:gridCol w:w="300"/>
        <w:gridCol w:w="109"/>
        <w:gridCol w:w="109"/>
        <w:gridCol w:w="109"/>
        <w:gridCol w:w="2782"/>
        <w:gridCol w:w="2540"/>
        <w:gridCol w:w="3618"/>
      </w:tblGrid>
      <w:tr>
        <w:trPr/>
        <w:tc>
          <w:tcPr>
            <w:tcW w:w="340"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2" w:type="dxa"/>
            <w:tcBorders/>
            <w:shd w:fill="auto" w:val="clear"/>
            <w:vAlign w:val="center"/>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3618" w:type="dxa"/>
            <w:tcBorders/>
            <w:shd w:fill="auto" w:val="cle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Exhibits</w:t>
            </w:r>
          </w:p>
        </w:tc>
      </w:tr>
      <w:tr>
        <w:trPr/>
        <w:tc>
          <w:tcPr>
            <w:tcW w:w="9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r:id="rId100">
              <w:r>
                <w:rPr>
                  <w:rStyle w:val="InternetLink"/>
                  <w:rFonts w:ascii="Times New Roman;sans-serif" w:hAnsi="Times New Roman;sans-serif"/>
                  <w:b w:val="false"/>
                  <w:color w:val="0000FF"/>
                  <w:sz w:val="20"/>
                  <w:u w:val="single"/>
                </w:rPr>
                <w:t>Form of RSU Award Notice and Agreement for all Participants for use in connection with Itron, Inc.'s Amended and Restated 2010 Stock Incentive Plan. (Filed as Exhibit 10.3 to Itron, Inc.'s Quarterly Report on Form 10-Q, filed on May 4, 2017)</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1">
              <w:r>
                <w:rPr>
                  <w:rStyle w:val="InternetLink"/>
                  <w:rFonts w:ascii="Times New Roman;sans-serif" w:hAnsi="Times New Roman;sans-serif"/>
                  <w:b w:val="false"/>
                  <w:color w:val="0000FF"/>
                  <w:sz w:val="20"/>
                  <w:u w:val="single"/>
                </w:rPr>
                <w:t>Form of Stock Option Grant Notice and Agreement for use in connection with both incentive and non-qualified stock options granted under Itron, Inc.'s Amended and Restated 2010 Stock Incentive Plan. (Filed as Exhibit 10.32 to Itron, Inc.'s Annual Report on Form 10-K, filed on February 28,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2">
              <w:r>
                <w:rPr>
                  <w:rStyle w:val="InternetLink"/>
                  <w:rFonts w:ascii="Times New Roman;sans-serif" w:hAnsi="Times New Roman;sans-serif"/>
                  <w:b w:val="false"/>
                  <w:color w:val="0000FF"/>
                  <w:sz w:val="20"/>
                  <w:u w:val="single"/>
                </w:rPr>
                <w:t>Form of Long-Term Performance RSU Award Notice and Agreement for U.S. Participants for use in connection with Itron, Inc.'s Amended and Restated 2010 Stock Incentive Plan. (Filed as Exhibit 10.33 to Itron, Inc.'s Annual Report on Form 10-K, filed on February 28,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3">
              <w:r>
                <w:rPr>
                  <w:rStyle w:val="InternetLink"/>
                  <w:rFonts w:ascii="Times New Roman;sans-serif" w:hAnsi="Times New Roman;sans-serif"/>
                  <w:b w:val="false"/>
                  <w:color w:val="0000FF"/>
                  <w:sz w:val="20"/>
                  <w:u w:val="single"/>
                </w:rPr>
                <w:t>Form of RSU Award Notice for awards with 1 year vesting and Agreement for all Participants for use in connection with Itron, Inc.'s Amended and Restated 2010 Stock Incentive Plan. (Filed as Exhibit 10.34 to Itron, Inc.'s Annual Report on Form 10-K, filed on February 28,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4">
              <w:r>
                <w:rPr>
                  <w:rStyle w:val="InternetLink"/>
                  <w:rFonts w:ascii="Times New Roman;sans-serif" w:hAnsi="Times New Roman;sans-serif"/>
                  <w:b w:val="false"/>
                  <w:color w:val="0000FF"/>
                  <w:sz w:val="20"/>
                  <w:u w:val="single"/>
                </w:rPr>
                <w:t>Form of RSU Award Notice for awards with 2 year vesting and Agreement for all Participants for use in connection with Itron, Inc.'s Amended and Restated 2010 Stock Incentive Plan. (Filed as Exhibit 10.35 to Itron, Inc.'s Annual Report on Form 10-K, filed on February 28,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5">
              <w:r>
                <w:rPr>
                  <w:rStyle w:val="InternetLink"/>
                  <w:rFonts w:ascii="Times New Roman;sans-serif" w:hAnsi="Times New Roman;sans-serif"/>
                  <w:b w:val="false"/>
                  <w:color w:val="0000FF"/>
                  <w:sz w:val="20"/>
                  <w:u w:val="single"/>
                </w:rPr>
                <w:t>Form of RSU Award Notice for awards with 3 year vesting and Agreement for all Participants for use in connection with Itron, Inc.'s Amended and Restated 2010 Stock Incentive Plan. (Filed as Exhibit 10.36 to Itron, Inc.'s Annual Report on Form 10-K, filed on February 28,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6">
              <w:r>
                <w:rPr>
                  <w:rStyle w:val="InternetLink"/>
                  <w:rFonts w:ascii="Times New Roman;sans-serif" w:hAnsi="Times New Roman;sans-serif"/>
                  <w:b w:val="false"/>
                  <w:color w:val="0000FF"/>
                  <w:sz w:val="20"/>
                  <w:u w:val="single"/>
                </w:rPr>
                <w:t>Employment agreement between Itron, Inc. and Thomas L. Deitrich, dated July 16, 2019. (Filed as Exhibit 10.1 to Itron, Inc.'s Current Report on Form 8-K, filed on July 22, 2019)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7">
              <w:r>
                <w:rPr>
                  <w:rStyle w:val="InternetLink"/>
                  <w:rFonts w:ascii="Times New Roman;sans-serif" w:hAnsi="Times New Roman;sans-serif"/>
                  <w:b w:val="false"/>
                  <w:color w:val="0000FF"/>
                  <w:sz w:val="20"/>
                  <w:u w:val="single"/>
                </w:rPr>
                <w:t xml:space="preserve">Form of Long-Term Performance RSU Award Notice and Agreement for U.S Participants for use in connection with Itron, Inc.'s Second Amended and Restated 2010 Stock Incentive Plan. (Filed as Exhibit 10.39 to Itron, Inc's Annual report on Form 10-K, filed on February 26, 2020) </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r:id="rId108">
              <w:r>
                <w:rPr>
                  <w:rStyle w:val="InternetLink"/>
                  <w:rFonts w:ascii="Times New Roman;sans-serif" w:hAnsi="Times New Roman;sans-serif"/>
                  <w:b w:val="false"/>
                  <w:color w:val="0000FF"/>
                  <w:sz w:val="20"/>
                  <w:u w:val="single"/>
                </w:rPr>
                <w:t>Form of RSU Award Notice and Agreement for all Participants for use in connection with Itron, Inc.'s Second Amended and Restated 2010 Stock Incentive Plan. (Filed as Exhibit 10.36 to Itron. Inc.'s Annual Report on Form 10-K, filed on February 24, 2021)</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triex-10362022iipsummary_.htm">
              <w:r>
                <w:rPr>
                  <w:rStyle w:val="InternetLink"/>
                  <w:rFonts w:ascii="Times New Roman;sans-serif" w:hAnsi="Times New Roman;sans-serif"/>
                  <w:b w:val="false"/>
                  <w:color w:val="0000FF"/>
                  <w:sz w:val="20"/>
                  <w:u w:val="single"/>
                </w:rPr>
                <w:t>2022 Itron Incentive Plan (filed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triex-21112312021exhibit.htm">
              <w:r>
                <w:rPr>
                  <w:rStyle w:val="InternetLink"/>
                  <w:rFonts w:ascii="Times New Roman;sans-serif" w:hAnsi="Times New Roman;sans-serif"/>
                  <w:b w:val="false"/>
                  <w:color w:val="0000FF"/>
                  <w:sz w:val="20"/>
                  <w:u w:val="single"/>
                </w:rPr>
                <w:t>Subsidiaries of Itron, Inc. (filed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triex-23112312021exhibit.htm">
              <w:r>
                <w:rPr>
                  <w:rStyle w:val="InternetLink"/>
                  <w:rFonts w:ascii="Times New Roman;sans-serif" w:hAnsi="Times New Roman;sans-serif"/>
                  <w:b w:val="false"/>
                  <w:color w:val="0000FF"/>
                  <w:sz w:val="20"/>
                  <w:u w:val="single"/>
                </w:rPr>
                <w:t>Consent of Deloitte &amp; Touche LLP Independent Registered Public Accounting Firm. (filed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itriex-31112312021exhibit.htm">
              <w:r>
                <w:rPr>
                  <w:rStyle w:val="InternetLink"/>
                  <w:rFonts w:ascii="Times New Roman;sans-serif" w:hAnsi="Times New Roman;sans-serif"/>
                  <w:b w:val="false"/>
                  <w:color w:val="0000FF"/>
                  <w:sz w:val="20"/>
                  <w:u w:val="single"/>
                </w:rPr>
                <w:t>Certification Pursuant to Section 302 of the Sarbanes-Oxley Act of 2002. (filed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triex-31212312021exhibit.htm">
              <w:r>
                <w:rPr>
                  <w:rStyle w:val="InternetLink"/>
                  <w:rFonts w:ascii="Times New Roman;sans-serif" w:hAnsi="Times New Roman;sans-serif"/>
                  <w:b w:val="false"/>
                  <w:color w:val="0000FF"/>
                  <w:sz w:val="20"/>
                  <w:u w:val="single"/>
                </w:rPr>
                <w:t>Certification Pursuant to Section 302 of the Sarbanes-Oxley Act of 2002. (filed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triex-32112312021exhibit.htm">
              <w:r>
                <w:rPr>
                  <w:rStyle w:val="InternetLink"/>
                  <w:rFonts w:ascii="Times New Roman;sans-serif" w:hAnsi="Times New Roman;sans-serif"/>
                  <w:b w:val="false"/>
                  <w:color w:val="0000FF"/>
                  <w:sz w:val="20"/>
                  <w:u w:val="single"/>
                </w:rPr>
                <w:t>Certification Pursuant to Section 906 of the Sarbanes-Oxley Act of 2002. (furnished with this report)</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Itron, Inc.'s Annual Report on Form 10-K for the year ended December 31, 2021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0"/>
        <w:rPr/>
      </w:pPr>
      <w:hyperlink w:anchor="i7df3b159ee09488eba192ff78016dfde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the 28th day of February, 2022.</w:t>
      </w:r>
    </w:p>
    <w:tbl>
      <w:tblPr>
        <w:tblW w:w="5066" w:type="dxa"/>
        <w:jc w:val="left"/>
        <w:tblInd w:w="0" w:type="dxa"/>
        <w:tblCellMar>
          <w:top w:w="28" w:type="dxa"/>
          <w:left w:w="28" w:type="dxa"/>
          <w:bottom w:w="28" w:type="dxa"/>
          <w:right w:w="28" w:type="dxa"/>
        </w:tblCellMar>
      </w:tblPr>
      <w:tblGrid>
        <w:gridCol w:w="124"/>
        <w:gridCol w:w="109"/>
        <w:gridCol w:w="109"/>
        <w:gridCol w:w="134"/>
        <w:gridCol w:w="134"/>
        <w:gridCol w:w="136"/>
        <w:gridCol w:w="1261"/>
        <w:gridCol w:w="1261"/>
        <w:gridCol w:w="179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79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Vice President and Chief Financial Officer</w:t>
            </w:r>
          </w:p>
        </w:tc>
      </w:tr>
    </w:tbl>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the 28th day of February, 2022.</w:t>
      </w:r>
    </w:p>
    <w:tbl>
      <w:tblPr>
        <w:tblW w:w="8156" w:type="dxa"/>
        <w:jc w:val="left"/>
        <w:tblInd w:w="0" w:type="dxa"/>
        <w:tblCellMar>
          <w:top w:w="28" w:type="dxa"/>
          <w:left w:w="28" w:type="dxa"/>
          <w:bottom w:w="28" w:type="dxa"/>
          <w:right w:w="28" w:type="dxa"/>
        </w:tblCellMar>
      </w:tblPr>
      <w:tblGrid>
        <w:gridCol w:w="844"/>
        <w:gridCol w:w="743"/>
        <w:gridCol w:w="753"/>
        <w:gridCol w:w="109"/>
        <w:gridCol w:w="109"/>
        <w:gridCol w:w="109"/>
        <w:gridCol w:w="1599"/>
        <w:gridCol w:w="1599"/>
        <w:gridCol w:w="2291"/>
      </w:tblGrid>
      <w:tr>
        <w:trPr/>
        <w:tc>
          <w:tcPr>
            <w:tcW w:w="844"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r>
      <w:tr>
        <w:trPr/>
        <w:tc>
          <w:tcPr>
            <w:tcW w:w="23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THOMAS L. DEITRICH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Thomas L. Deitrich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President and Chief Executive Officer (Principal Executive Officer), 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JOAN S. HOOPER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Joan S. Hooper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Vice President and Chief Financial Officer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THOMAS S. GLANVILLE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Thomas S. Glanville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FRANK M. JAEHNERT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 M. Jaehnert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JEROME J. LANDE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Jerome J. Lande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TIMOTHY M. LEYDEN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Timothy M. Leyden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SANTIAGO PEREZ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Santiago Perez</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GARY E. PRUITT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Gary E. Pruitt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DIANA D. TREMBLAY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Diana D. Tremblay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Vice Chair of the Board</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    LYNDA L. ZIEGLER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Lynda L. Ziegler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Chair of the Board</w:t>
            </w:r>
          </w:p>
        </w:tc>
      </w:tr>
    </w:tbl>
    <w:p>
      <w:pPr>
        <w:pStyle w:val="TextBody"/>
        <w:spacing w:before="180" w:after="283"/>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4.13</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2.6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240"/>
        <w:ind w:left="0" w:right="0" w:firstLine="720"/>
        <w:jc w:val="both"/>
        <w:rPr/>
      </w:pPr>
      <w:r>
        <w:rPr>
          <w:rFonts w:ascii="Times New Roman;sans-serif" w:hAnsi="Times New Roman;sans-serif"/>
          <w:b w:val="false"/>
          <w:color w:val="000000"/>
          <w:sz w:val="24"/>
        </w:rPr>
        <w:t>AMENDMENT NO. 4 dated as of February 25, 2022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the SECOND AMENDED AND RESTATED CREDIT AGREEMENT dated as of January 5, 2018 (as amended, supplemented or otherwise modified from time to time, the “</w:t>
      </w:r>
      <w:r>
        <w:rPr>
          <w:rFonts w:ascii="Times New Roman;sans-serif" w:hAnsi="Times New Roman;sans-serif"/>
          <w:b w:val="false"/>
          <w:color w:val="000000"/>
          <w:sz w:val="24"/>
          <w:u w:val="single"/>
        </w:rPr>
        <w:t>Credit Agreement</w:t>
      </w:r>
      <w:r>
        <w:rPr>
          <w:color w:val="000000"/>
        </w:rPr>
        <w:t>”</w:t>
      </w:r>
      <w:r>
        <w:rPr>
          <w:rFonts w:ascii="Times New Roman;sans-serif" w:hAnsi="Times New Roman;sans-serif"/>
          <w:b w:val="false"/>
          <w:color w:val="000000"/>
          <w:sz w:val="24"/>
        </w:rPr>
        <w:t>; capitalized terms used and not defined herein shall have the meanings assigned to such terms in the Credit Agreement), among ITRON, INC., a Washington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FOREIGN BORROWERS and GUARANTORS party thereto, the LENDERS and ISSUING LENDERS party thereto and WELLS FARGO BANK, NATIONAL ASSOCIATION (“</w:t>
      </w:r>
      <w:r>
        <w:rPr>
          <w:rFonts w:ascii="Times New Roman;sans-serif" w:hAnsi="Times New Roman;sans-serif"/>
          <w:b w:val="false"/>
          <w:color w:val="000000"/>
          <w:sz w:val="24"/>
          <w:u w:val="single"/>
        </w:rPr>
        <w:t>Wells Fargo</w:t>
      </w:r>
      <w:r>
        <w:rPr>
          <w:color w:val="000000"/>
        </w:rPr>
        <w:t>”</w:t>
      </w:r>
      <w:r>
        <w:rPr>
          <w:rFonts w:ascii="Times New Roman;sans-serif" w:hAnsi="Times New Roman;sans-serif"/>
          <w:b w:val="false"/>
          <w:color w:val="000000"/>
          <w:sz w:val="24"/>
        </w:rPr>
        <w:t>), as Administrative Agent (in such capacity, the “</w:t>
      </w:r>
      <w:r>
        <w:rPr>
          <w:rFonts w:ascii="Times New Roman;sans-serif" w:hAnsi="Times New Roman;sans-serif"/>
          <w:b w:val="false"/>
          <w:color w:val="000000"/>
          <w:sz w:val="24"/>
          <w:u w:val="single"/>
        </w:rPr>
        <w:t>Administrative Agent</w:t>
      </w:r>
      <w:r>
        <w:rPr>
          <w:color w:val="000000"/>
        </w:rPr>
        <w:t>”</w:t>
      </w:r>
      <w:r>
        <w:rPr>
          <w:rFonts w:ascii="Times New Roman;sans-serif" w:hAnsi="Times New Roman;sans-serif"/>
          <w:b w:val="false"/>
          <w:color w:val="000000"/>
          <w:sz w:val="24"/>
        </w:rPr>
        <w:t>).</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the Credit Agreement, the Lenders and the Issuing Lenders have agreed to extend credit to the Borrower on the terms and subject to the conditions set forth therein; and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has requested that certain provisions of the Credit Agreement be amended as set forth herein; and</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undersigned Lenders are willing to amend such provisions of the Credit Agreement, in each case on the terms and subject to the conditions set forth herein.</w: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Rules of Interpretation.</w:t>
      </w:r>
      <w:r>
        <w:rPr>
          <w:color w:val="000000"/>
        </w:rPr>
        <w:t xml:space="preserve"> </w:t>
      </w:r>
      <w:r>
        <w:rPr>
          <w:rFonts w:ascii="Times New Roman;sans-serif" w:hAnsi="Times New Roman;sans-serif"/>
          <w:b w:val="false"/>
          <w:color w:val="000000"/>
          <w:sz w:val="24"/>
        </w:rPr>
        <w:t xml:space="preserve">The rules of interpretation set forth in Section 1.2 of the Credit Agreement are hereby incorporated by reference herein, </w:t>
      </w:r>
      <w:r>
        <w:rPr>
          <w:rFonts w:ascii="Times New Roman;sans-serif" w:hAnsi="Times New Roman;sans-serif"/>
          <w:b w:val="false"/>
          <w:color w:val="000000"/>
          <w:sz w:val="24"/>
          <w:u w:val="single"/>
        </w:rPr>
        <w:t>mutatis</w:t>
      </w:r>
      <w:r>
        <w:rPr>
          <w:color w:val="000000"/>
        </w:rPr>
        <w:t xml:space="preserve"> </w:t>
      </w:r>
      <w:r>
        <w:rPr>
          <w:rFonts w:ascii="Times New Roman;sans-serif" w:hAnsi="Times New Roman;sans-serif"/>
          <w:b w:val="false"/>
          <w:color w:val="000000"/>
          <w:sz w:val="24"/>
          <w:u w:val="single"/>
        </w:rPr>
        <w:t>mutandis</w:t>
      </w:r>
      <w:r>
        <w:rPr>
          <w:rFonts w:ascii="Times New Roman;sans-serif" w:hAnsi="Times New Roman;sans-serif"/>
          <w:b w:val="false"/>
          <w:color w:val="000000"/>
          <w:sz w:val="24"/>
        </w:rPr>
        <w: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Amendments to the Credit Agreement.</w:t>
      </w:r>
      <w:r>
        <w:rPr>
          <w:color w:val="000000"/>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rPr>
        <w:t>Section 1.1 of the Credit Agreement is hereby amended by restating clause (b)(v) of the definition of “Consolidated EBITDA” to read in its entirety as follows:</w:t>
      </w:r>
    </w:p>
    <w:p>
      <w:pPr>
        <w:pStyle w:val="TextBody"/>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(A) non-recurring cash expenses related to acquisitions and restructurings for such period not to exceed 10.0% of Consolidated EBITDA for such four (4) consecutive fiscal quarter period, and, with respect to restructurings (other than the Restructure and the addbacks permitted by clause (B) below), not to exceed $100,000,000 in the aggregate during the term of this Agreement (with respect to all such four (4) fiscal quarter periods ending after the Restatement Effective Date), and </w:t>
      </w:r>
      <w:r>
        <w:br w:type="page"/>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25780"/>
                <wp:effectExtent l="0" t="0" r="0" b="0"/>
                <wp:wrapNone/>
                <wp:docPr id="113" name="Frame112"/>
                <a:graphic xmlns:a="http://schemas.openxmlformats.org/drawingml/2006/main">
                  <a:graphicData uri="http://schemas.microsoft.com/office/word/2010/wordprocessingShape">
                    <wps:wsp>
                      <wps:cNvSpPr txBox="1"/>
                      <wps:spPr>
                        <a:xfrm>
                          <a:off x="0" y="0"/>
                          <a:ext cx="6480175" cy="525780"/>
                        </a:xfrm>
                        <a:prstGeom prst="rect"/>
                      </wps:spPr>
                      <wps:txbx>
                        <w:txbxContent>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 non-recurring cash expenses related to restructurings to the extent incurred during the fiscal quarter of the Company ended December 31, 2021, in an amount not to exceed $60,000,000;</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rPr>
        <w:t>Section 6.13 of the Credit Agreement is hereby amended by replacing the table in paragraph (a) of such Section with the following table:</w:t>
      </w:r>
    </w:p>
    <w:tbl>
      <w:tblPr>
        <w:tblW w:w="6960" w:type="dxa"/>
        <w:jc w:val="left"/>
        <w:tblInd w:w="0" w:type="dxa"/>
        <w:tblCellMar>
          <w:top w:w="28" w:type="dxa"/>
          <w:left w:w="28" w:type="dxa"/>
          <w:bottom w:w="28" w:type="dxa"/>
          <w:right w:w="28" w:type="dxa"/>
        </w:tblCellMar>
      </w:tblPr>
      <w:tblGrid>
        <w:gridCol w:w="1588"/>
        <w:gridCol w:w="1401"/>
        <w:gridCol w:w="1406"/>
        <w:gridCol w:w="750"/>
        <w:gridCol w:w="750"/>
        <w:gridCol w:w="1065"/>
      </w:tblGrid>
      <w:tr>
        <w:trPr/>
        <w:tc>
          <w:tcPr>
            <w:tcW w:w="1588"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406"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Date of Fiscal Quarter End</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Total Net Leverage Ratio</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31, 2018 through June 30, 2019</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4.75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September 30, 2019 through June 30, 2020</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4.50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September 30, 2020</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4.25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December 31, 2020 through March 31, 2021</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4.75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June 30, 2021 through December 31, 2021</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4.50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31, 2022 through September 30, 2022</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4.75 to 1.00</w:t>
            </w:r>
          </w:p>
        </w:tc>
      </w:tr>
      <w:tr>
        <w:trPr/>
        <w:tc>
          <w:tcPr>
            <w:tcW w:w="4395"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December 31, 2022</w:t>
            </w:r>
          </w:p>
        </w:tc>
        <w:tc>
          <w:tcPr>
            <w:tcW w:w="2565"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4.50 to 1.00</w:t>
            </w:r>
          </w:p>
        </w:tc>
      </w:tr>
      <w:tr>
        <w:trPr/>
        <w:tc>
          <w:tcPr>
            <w:tcW w:w="4395" w:type="dxa"/>
            <w:gridSpan w:val="3"/>
            <w:tcBorders>
              <w:top w:val="single" w:sz="4" w:space="0" w:color="000000"/>
              <w:left w:val="single" w:sz="4" w:space="0" w:color="000000"/>
              <w:bottom w:val="single" w:sz="4" w:space="0" w:color="000000"/>
            </w:tcBorders>
            <w:shd w:fill="auto" w:val="clear"/>
            <w:tcMar>
              <w:top w:w="3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March 31, 2023 through the Maturity Date</w:t>
            </w:r>
          </w:p>
        </w:tc>
        <w:tc>
          <w:tcPr>
            <w:tcW w:w="2565"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4.00 to 1.00</w:t>
            </w:r>
          </w:p>
        </w:tc>
      </w:tr>
    </w:tbl>
    <w:p>
      <w:pPr>
        <w:pStyle w:val="TextBody"/>
        <w:spacing w:before="0" w:after="240"/>
        <w:jc w:val="both"/>
        <w:rPr/>
      </w:pPr>
      <w:r>
        <w:rPr/>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3. </w:t>
      </w:r>
      <w:r>
        <w:rPr>
          <w:rFonts w:ascii="Times New Roman;sans-serif" w:hAnsi="Times New Roman;sans-serif"/>
          <w:b w:val="false"/>
          <w:color w:val="000000"/>
          <w:sz w:val="24"/>
          <w:u w:val="single"/>
        </w:rPr>
        <w:t>Representations and Warranties.</w:t>
      </w:r>
      <w:r>
        <w:rPr>
          <w:color w:val="000000"/>
        </w:rPr>
        <w:t xml:space="preserve"> </w:t>
      </w:r>
      <w:r>
        <w:rPr>
          <w:rFonts w:ascii="Times New Roman;sans-serif" w:hAnsi="Times New Roman;sans-serif"/>
          <w:b w:val="false"/>
          <w:color w:val="000000"/>
          <w:sz w:val="24"/>
        </w:rPr>
        <w:t>Each of the Credit Parties represents and warrants to the Administrative Agent and to each of the Lenders and Issuing Lenders that: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rPr>
        <w:t xml:space="preserve">The execution, delivery and performance by the Credit Parties of this Amendment, and the consummation of the transactions contemplated hereby, (i) are within each of the Credit Party’s company powers, (ii) require no consent or approval of (including any exchange control approval) or action by or in respect of, or registration or filing with, any Governmental Authority, agency or official, except such as have been obtained or made and are in full force and effect, (iii) do not contravene, or constitute a default under, any provision of applicable law, regulation or order of any Governmental Authority or the organizational documents of any Credit Party or of any judgment, injunction, order or decree binding upon any Credit Party, (iv) do not result in the creation or imposition of any Lien on any asset of a Credit Party except Liens in favor of </w:t>
      </w:r>
      <w:r>
        <w:br w:type="page"/>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Administrative Agent and/or the Collateral Agent (for the benefit of the Secured Parties) and (v) will not violate or result in a default under any indenture, loan agreement or other material agreement or instrument binding upon any Credit Party or its assets, or give rise to a right thereunder to require any payment to be made by a Credit Party.</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rPr>
        <w:t>This Amendment has been duly authorized, executed and delivered by it and each of this Amendment and the Credit Agreement, as amended hereby, constitutes its legal, valid and binding obligation, enforceable against such Credit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(c) </w:t>
      </w:r>
      <w:r>
        <w:rPr>
          <w:rFonts w:ascii="Times New Roman;sans-serif" w:hAnsi="Times New Roman;sans-serif"/>
          <w:b w:val="false"/>
          <w:color w:val="000000"/>
          <w:sz w:val="24"/>
        </w:rPr>
        <w:t>The representations and warranties made by the Credit Parties in the Credit Agreement and the other Credit Documents shall (i) with respect to representations and warranties that contain a materiality qualification or are qualified by Material Adverse Effect, be true and correct and (ii) with respect to representations and warranties that do not contain a materiality qualification and are not qualified by Material Adverse Effect, be true and correct in all material respects, in each case as of the Amendment Effective Date as if made on and as of such date, except for any representation or warranty made as of an earlier date, which representation and warranty shall (x) with respect to representations and warranties that contain a materiality qualification or are qualified by Material Adverse Effect, be true and correct as of such earlier date and (y) with respect to representations and warranties that do not contain a materiality qualification and are not qualified by Material Adverse Effect, be true and correct in all material respects as of such earlier date.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(d) </w:t>
      </w:r>
      <w:r>
        <w:rPr>
          <w:rFonts w:ascii="Times New Roman;sans-serif" w:hAnsi="Times New Roman;sans-serif"/>
          <w:b w:val="false"/>
          <w:color w:val="000000"/>
          <w:sz w:val="24"/>
        </w:rPr>
        <w:t>At the time of and immediately after giving effect to this Amendment, no Default or Event of Default shall have occurred and be continuing on and as of the Amendment Effective Date.</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4. </w:t>
      </w:r>
      <w:r>
        <w:rPr>
          <w:rFonts w:ascii="Times New Roman;sans-serif" w:hAnsi="Times New Roman;sans-serif"/>
          <w:b w:val="false"/>
          <w:color w:val="000000"/>
          <w:sz w:val="24"/>
          <w:u w:val="single"/>
        </w:rPr>
        <w:t>Effectiveness.</w:t>
      </w:r>
      <w:r>
        <w:rPr>
          <w:color w:val="000000"/>
        </w:rPr>
        <w:t xml:space="preserve"> </w:t>
      </w:r>
      <w:r>
        <w:rPr>
          <w:rFonts w:ascii="Times New Roman;sans-serif" w:hAnsi="Times New Roman;sans-serif"/>
          <w:b w:val="false"/>
          <w:color w:val="000000"/>
          <w:sz w:val="24"/>
        </w:rPr>
        <w:t>This Amendment shall become effective as of the date first above written (the “</w:t>
      </w:r>
      <w:r>
        <w:rPr>
          <w:rFonts w:ascii="Times New Roman;sans-serif" w:hAnsi="Times New Roman;sans-serif"/>
          <w:b w:val="false"/>
          <w:color w:val="000000"/>
          <w:sz w:val="24"/>
          <w:u w:val="single"/>
        </w:rPr>
        <w:t>Amendment Effective Date</w:t>
      </w:r>
      <w:r>
        <w:rPr>
          <w:color w:val="000000"/>
        </w:rPr>
        <w:t>”</w:t>
      </w:r>
      <w:r>
        <w:rPr>
          <w:rFonts w:ascii="Times New Roman;sans-serif" w:hAnsi="Times New Roman;sans-serif"/>
          <w:b w:val="false"/>
          <w:color w:val="000000"/>
          <w:sz w:val="24"/>
        </w:rPr>
        <w:t>) when (a) the Administrative Agent shall have received counterparts of this Amendment that, when taken together, bear the signatures of (i) the Company and each other Credit Party party hereto and (ii) Lenders comprising the Required Lenders immediately prior to the Amendment Effective Date, (b) each of the representations and warranties set forth in Section 3 hereof shall be true and correct and (c) the Administrative Agent shall have received payment of all fees and expenses required to be paid or reimbursed by the Company under or in connection with this Amendment, including those fees and expenses set forth in Section 9 hereof.</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5. </w:t>
      </w:r>
      <w:r>
        <w:rPr>
          <w:rFonts w:ascii="Times New Roman;sans-serif" w:hAnsi="Times New Roman;sans-serif"/>
          <w:b w:val="false"/>
          <w:color w:val="000000"/>
          <w:sz w:val="24"/>
          <w:u w:val="single"/>
        </w:rPr>
        <w:t>Reaffirmation.</w:t>
      </w:r>
      <w:r>
        <w:rPr>
          <w:color w:val="000000"/>
        </w:rPr>
        <w:t xml:space="preserve"> </w:t>
      </w:r>
      <w:r>
        <w:rPr>
          <w:rFonts w:ascii="Times New Roman;sans-serif" w:hAnsi="Times New Roman;sans-serif"/>
          <w:b w:val="false"/>
          <w:color w:val="000000"/>
          <w:sz w:val="24"/>
        </w:rPr>
        <w:t xml:space="preserve">Each of the Company and each other Credit Party hereby (a) reaffirms its obligations under the Credit Agreement and each other Credit Document to which it is a party, in each case as amended by this Amendment, (b) reaffirms all Liens on the Collateral which have been granted by it in favor of the Administrative Agent and/or the Collateral Agent (for the benefit of the Secured Parties) </w:t>
      </w:r>
      <w:r>
        <w:br w:type="page"/>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Credit Documents and (c) acknowledges and agrees that the grants of security interests by and the guarantees of the Credit Parties contained in the Security Agreement and the other Security Documents are, and shall remain, in full force and effect immediately after giving effect to this Amendment.</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6. </w:t>
      </w:r>
      <w:r>
        <w:rPr>
          <w:rFonts w:ascii="Times New Roman;sans-serif" w:hAnsi="Times New Roman;sans-serif"/>
          <w:b w:val="false"/>
          <w:color w:val="000000"/>
          <w:sz w:val="24"/>
          <w:u w:val="single"/>
        </w:rPr>
        <w:t>Credit Agreement.</w:t>
      </w:r>
      <w:r>
        <w:rPr>
          <w:color w:val="000000"/>
        </w:rPr>
        <w:t xml:space="preserve"> </w:t>
      </w:r>
      <w:r>
        <w:rPr>
          <w:rFonts w:ascii="Times New Roman;sans-serif" w:hAnsi="Times New Roman;sans-serif"/>
          <w:b w:val="false"/>
          <w:color w:val="000000"/>
          <w:sz w:val="24"/>
        </w:rPr>
        <w:t>Except as expressly set forth herein, this Amendment (a) shall not by implication or otherwise limit, impair, constitute a waiver of or otherwise affect the rights and remedies of the Lenders, the Issuing Lenders, the Administrative Agent or any Credit Party under the Credit Agreement or any other Credit Document and (b) shall not alter, modify, amend or in any way affect any of the terms, conditions, obligations, covenants or agreements contained in the Credit Agreement or any other Credit Document, all of which are ratified and affirmed in all respects and shall continue in full force and effect. Nothing herein shall be deemed to entitle any Credit Party to any future consent to, or waiver, amendment, modification or other change of, any of the terms, conditions, obligations, covenants or agreements contained in the Credit Agreement or any other Credit Document in similar or different circumstances. After the Amendment Effective Date, each reference in the Credit Agreement to “this Agreement”, “hereunder”, “hereof” or words of like import referring to the Credit Agreement, and each reference in the other Credit Documents to “the Credit Agreement”, “thereunder”, “thereof” or words of like import referring to the Credit Agreement, shall mean and be a reference to the Credit Agreement as modified hereby. This Amendment shall constitute a “Credit Document” for all purposes of the Credit Agreement and the other Credit Documents.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7. </w:t>
      </w:r>
      <w:r>
        <w:rPr>
          <w:rFonts w:ascii="Times New Roman;sans-serif" w:hAnsi="Times New Roman;sans-serif"/>
          <w:b w:val="false"/>
          <w:color w:val="000000"/>
          <w:sz w:val="24"/>
          <w:u w:val="single"/>
        </w:rPr>
        <w:t>Applicable Law; Waiver of Jury Trial.</w:t>
      </w:r>
      <w:r>
        <w:rPr>
          <w:color w:val="000000"/>
        </w:rPr>
        <w:t xml:space="preserve"> </w:t>
      </w:r>
      <w:r>
        <w:rPr>
          <w:rFonts w:ascii="Times New Roman;sans-serif" w:hAnsi="Times New Roman;sans-serif"/>
          <w:b/>
          <w:color w:val="000000"/>
          <w:sz w:val="24"/>
        </w:rPr>
        <w:t>THIS AMENDMENT AND ANY CLAIM, CONTROVERSY OR DISPUTE ARISING OUT OF OR RELATING TO THIS AMENDMENT AND THE TRANSACTIONS CONTEMPLATED HEREBY SHALL BE GOVERNED BY, AND CONSTRUED IN ACCORDANCE WITH, THE LAWS OF THE STATE OF NEW YORK.</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color w:val="000000"/>
          <w:sz w:val="24"/>
        </w:rPr>
        <w:t>EACH PARTY HERETO HEREBY AGREES AS SET FORTH IN SECTIONS 10.13 AND 10.16 OF THE CREDIT AGREEMENT (AS IN EFFECT ON THE DATE HEREOF) AS IF SUCH SECTIONS WERE SET FORTH IN FULL HEREIN.</w:t>
      </w:r>
      <w:r>
        <w:rPr>
          <w:color w:val="000000"/>
        </w:rPr>
        <w:t xml:space="preserve"> </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8. </w:t>
      </w:r>
      <w:r>
        <w:rPr>
          <w:rFonts w:ascii="Times New Roman;sans-serif" w:hAnsi="Times New Roman;sans-serif"/>
          <w:b w:val="false"/>
          <w:color w:val="000000"/>
          <w:sz w:val="24"/>
          <w:u w:val="single"/>
        </w:rPr>
        <w:t>Counterparts; Amendment.</w:t>
      </w:r>
      <w:r>
        <w:rPr>
          <w:color w:val="000000"/>
        </w:rPr>
        <w:t xml:space="preserve"> </w:t>
      </w:r>
      <w:r>
        <w:rPr>
          <w:rFonts w:ascii="Times New Roman;sans-serif" w:hAnsi="Times New Roman;sans-serif"/>
          <w:b w:val="false"/>
          <w:color w:val="000000"/>
          <w:sz w:val="24"/>
        </w:rPr>
        <w:t xml:space="preserve">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facsimile transmission or other electronic imaging shall be effective as delivery of an original executed counterpart of this Amendment. This Amendment may not be amended nor may any provision hereof be waived except pursuant to a writing signed by the Credit Parties, the Administrative Agent, the Issuing Lenders and the Lenders party hereto. The words “execution”, “signed”, “signature”, “delivery” and words of like import in or relating to this Amendment and/or any documents to be signed </w:t>
      </w:r>
      <w:r>
        <w:br w:type="page"/>
      </w: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jc w:val="both"/>
        <w:rPr/>
      </w:pPr>
      <w:r>
        <w:rPr>
          <w:rFonts w:ascii="Times New Roman;sans-serif" w:hAnsi="Times New Roman;sans-serif"/>
          <w:b w:val="false"/>
          <w:color w:val="000000"/>
          <w:sz w:val="24"/>
        </w:rPr>
        <w:t>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page, physical delivery thereof or the use of a paper-based recording system, as the case may be. As used herein, “</w:t>
      </w:r>
      <w:r>
        <w:rPr>
          <w:rFonts w:ascii="Times New Roman;sans-serif" w:hAnsi="Times New Roman;sans-serif"/>
          <w:b w:val="false"/>
          <w:color w:val="000000"/>
          <w:sz w:val="24"/>
          <w:u w:val="single"/>
        </w:rPr>
        <w:t>Electronic Signatures</w:t>
      </w:r>
      <w:r>
        <w:rPr>
          <w:color w:val="000000"/>
        </w:rPr>
        <w:t xml:space="preserve">” </w:t>
      </w:r>
      <w:r>
        <w:rPr>
          <w:rFonts w:ascii="Times New Roman;sans-serif" w:hAnsi="Times New Roman;sans-serif"/>
          <w:b w:val="false"/>
          <w:color w:val="000000"/>
          <w:sz w:val="24"/>
        </w:rPr>
        <w:t>means any electronic symbol or process attached to, or associated with, any contract or other record and adopted by a person with the intent to sign, authenticate or accept such contract or record.</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SECTION 9. </w:t>
      </w:r>
      <w:r>
        <w:rPr>
          <w:rFonts w:ascii="Times New Roman;sans-serif" w:hAnsi="Times New Roman;sans-serif"/>
          <w:b w:val="false"/>
          <w:color w:val="000000"/>
          <w:sz w:val="24"/>
          <w:u w:val="single"/>
        </w:rPr>
        <w:t>Fees and Expenses.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(a) </w:t>
      </w:r>
      <w:r>
        <w:rPr>
          <w:rFonts w:ascii="Times New Roman;sans-serif" w:hAnsi="Times New Roman;sans-serif"/>
          <w:b w:val="false"/>
          <w:color w:val="000000"/>
          <w:sz w:val="24"/>
        </w:rPr>
        <w:t>The Company hereby agrees to pay to the Administrative Agent on the Amendment Effective Date, for the account of each applicable party, all fees separately agreed to by the Company and Wells Fargo (or any of its Affiliates) in respect of this Amendment including any consent fees previously disclosed to the Lenders.</w:t>
      </w:r>
    </w:p>
    <w:p>
      <w:pPr>
        <w:pStyle w:val="TextBody"/>
        <w:spacing w:lineRule="auto" w:line="288" w:before="0" w:after="240"/>
        <w:ind w:left="0" w:right="0" w:firstLine="1440"/>
        <w:jc w:val="both"/>
        <w:rPr/>
      </w:pPr>
      <w:r>
        <w:rPr>
          <w:rFonts w:ascii="Times New Roman;sans-serif" w:hAnsi="Times New Roman;sans-serif"/>
          <w:b w:val="false"/>
          <w:color w:val="000000"/>
          <w:sz w:val="24"/>
        </w:rPr>
        <w:t xml:space="preserve">(b) </w:t>
      </w:r>
      <w:r>
        <w:rPr>
          <w:rFonts w:ascii="Times New Roman;sans-serif" w:hAnsi="Times New Roman;sans-serif"/>
          <w:b w:val="false"/>
          <w:color w:val="000000"/>
          <w:sz w:val="24"/>
        </w:rPr>
        <w:t>The Company agrees to reimburse the Administrative Agent for its reasonable out-of-pocket expenses in connection with this Amendment to the extent required under Section 10.5(a) of the Credit Agreement.</w:t>
      </w:r>
    </w:p>
    <w:p>
      <w:pPr>
        <w:pStyle w:val="TextBody"/>
        <w:spacing w:lineRule="auto" w:line="288" w:before="0" w:after="0"/>
        <w:ind w:left="0" w:right="0" w:firstLine="1440"/>
        <w:jc w:val="both"/>
        <w:rPr/>
      </w:pPr>
      <w:r>
        <w:rPr>
          <w:rFonts w:ascii="Times New Roman;sans-serif" w:hAnsi="Times New Roman;sans-serif"/>
          <w:b w:val="false"/>
          <w:color w:val="000000"/>
          <w:sz w:val="24"/>
        </w:rPr>
        <w:t xml:space="preserve">SECTION 10. </w:t>
      </w:r>
      <w:r>
        <w:rPr>
          <w:rFonts w:ascii="Times New Roman;sans-serif" w:hAnsi="Times New Roman;sans-serif"/>
          <w:b w:val="false"/>
          <w:color w:val="000000"/>
          <w:sz w:val="24"/>
          <w:u w:val="single"/>
        </w:rPr>
        <w:t>Headings.</w:t>
      </w:r>
      <w:r>
        <w:rPr>
          <w:color w:val="000000"/>
        </w:rPr>
        <w:t xml:space="preserve"> </w:t>
      </w:r>
      <w:r>
        <w:rPr>
          <w:rFonts w:ascii="Times New Roman;sans-serif" w:hAnsi="Times New Roman;sans-serif"/>
          <w:b w:val="false"/>
          <w:color w:val="000000"/>
          <w:sz w:val="24"/>
        </w:rPr>
        <w:t>The Section headings used herein are for convenience of reference only, are not part of this Amendment and are not to affect the construction of, or to be taken into consideration in interpreting, this Amendment.</w:t>
      </w:r>
    </w:p>
    <w:p>
      <w:pPr>
        <w:pStyle w:val="TextBody"/>
        <w:spacing w:before="0" w:after="0"/>
        <w:ind w:left="0" w:right="0" w:firstLine="144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Amendment to be duly executed by their respective authorized officers as of the day and year first written above.</w:t>
      </w:r>
    </w:p>
    <w:p>
      <w:pPr>
        <w:pStyle w:val="TextBody"/>
        <w:spacing w:before="0" w:after="0"/>
        <w:jc w:val="both"/>
        <w:rPr/>
      </w:pPr>
      <w:r>
        <w:rPr/>
      </w:r>
    </w:p>
    <w:tbl>
      <w:tblPr>
        <w:tblW w:w="2504" w:type="dxa"/>
        <w:jc w:val="left"/>
        <w:tblInd w:w="0" w:type="dxa"/>
        <w:tblCellMar>
          <w:top w:w="28" w:type="dxa"/>
          <w:left w:w="28" w:type="dxa"/>
          <w:bottom w:w="28" w:type="dxa"/>
          <w:right w:w="28" w:type="dxa"/>
        </w:tblCellMar>
      </w:tblPr>
      <w:tblGrid>
        <w:gridCol w:w="262"/>
        <w:gridCol w:w="229"/>
        <w:gridCol w:w="229"/>
        <w:gridCol w:w="516"/>
        <w:gridCol w:w="516"/>
        <w:gridCol w:w="752"/>
      </w:tblGrid>
      <w:tr>
        <w:trPr/>
        <w:tc>
          <w:tcPr>
            <w:tcW w:w="26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r>
      <w:tr>
        <w:trPr/>
        <w:tc>
          <w:tcPr>
            <w:tcW w:w="250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ITRON, INC.</w:t>
            </w:r>
          </w:p>
        </w:tc>
      </w:tr>
      <w:tr>
        <w:trPr/>
        <w:tc>
          <w:tcPr>
            <w:tcW w:w="250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JOEL VACH</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178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Joel Vach</w:t>
            </w:r>
          </w:p>
        </w:tc>
      </w:tr>
      <w:tr>
        <w:trPr/>
        <w:tc>
          <w:tcPr>
            <w:tcW w:w="720"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81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    </w:t>
            </w:r>
          </w:p>
        </w:tc>
      </w:tr>
    </w:tbl>
    <w:p>
      <w:pPr>
        <w:pStyle w:val="TextBody"/>
        <w:spacing w:before="0" w:after="0"/>
        <w:jc w:val="both"/>
        <w:rPr/>
      </w:pPr>
      <w:r>
        <w:rPr/>
      </w:r>
    </w:p>
    <w:p>
      <w:pPr>
        <w:pStyle w:val="TextBody"/>
        <w:spacing w:before="0" w:after="0"/>
        <w:jc w:val="both"/>
        <w:rPr/>
      </w:pPr>
      <w:r>
        <w:rPr/>
      </w:r>
    </w:p>
    <w:tbl>
      <w:tblPr>
        <w:tblW w:w="4556" w:type="dxa"/>
        <w:jc w:val="left"/>
        <w:tblInd w:w="0" w:type="dxa"/>
        <w:tblCellMar>
          <w:top w:w="28" w:type="dxa"/>
          <w:left w:w="28" w:type="dxa"/>
          <w:bottom w:w="28" w:type="dxa"/>
          <w:right w:w="28" w:type="dxa"/>
        </w:tblCellMar>
      </w:tblPr>
      <w:tblGrid>
        <w:gridCol w:w="790"/>
        <w:gridCol w:w="694"/>
        <w:gridCol w:w="694"/>
        <w:gridCol w:w="694"/>
        <w:gridCol w:w="694"/>
        <w:gridCol w:w="990"/>
      </w:tblGrid>
      <w:tr>
        <w:trPr/>
        <w:tc>
          <w:tcPr>
            <w:tcW w:w="79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r>
      <w:tr>
        <w:trPr/>
        <w:tc>
          <w:tcPr>
            <w:tcW w:w="455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ITRON NETWORKED SOLUTIONS, INC.</w:t>
            </w:r>
          </w:p>
        </w:tc>
      </w:tr>
      <w:tr>
        <w:trPr/>
        <w:tc>
          <w:tcPr>
            <w:tcW w:w="455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217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23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JOEL VACH</w:t>
            </w:r>
          </w:p>
        </w:tc>
      </w:tr>
      <w:tr>
        <w:trPr/>
        <w:tc>
          <w:tcPr>
            <w:tcW w:w="217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2378"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Joel Vach</w:t>
            </w:r>
          </w:p>
        </w:tc>
      </w:tr>
      <w:tr>
        <w:trPr/>
        <w:tc>
          <w:tcPr>
            <w:tcW w:w="217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237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    </w:t>
            </w:r>
          </w:p>
        </w:tc>
      </w:tr>
    </w:tbl>
    <w:p>
      <w:pPr>
        <w:pStyle w:val="TextBody"/>
        <w:spacing w:before="0" w:after="0"/>
        <w:jc w:val="both"/>
        <w:rPr/>
      </w:pPr>
      <w:r>
        <w:rPr/>
      </w:r>
    </w:p>
    <w:p>
      <w:pPr>
        <w:pStyle w:val="TextBody"/>
        <w:spacing w:before="0" w:after="0"/>
        <w:jc w:val="both"/>
        <w:rPr/>
      </w:pPr>
      <w:r>
        <w:rPr/>
      </w:r>
    </w:p>
    <w:tbl>
      <w:tblPr>
        <w:tblW w:w="5787" w:type="dxa"/>
        <w:jc w:val="left"/>
        <w:tblInd w:w="0" w:type="dxa"/>
        <w:tblCellMar>
          <w:top w:w="28" w:type="dxa"/>
          <w:left w:w="28" w:type="dxa"/>
          <w:bottom w:w="28" w:type="dxa"/>
          <w:right w:w="28" w:type="dxa"/>
        </w:tblCellMar>
      </w:tblPr>
      <w:tblGrid>
        <w:gridCol w:w="948"/>
        <w:gridCol w:w="830"/>
        <w:gridCol w:w="830"/>
        <w:gridCol w:w="926"/>
        <w:gridCol w:w="926"/>
        <w:gridCol w:w="1327"/>
      </w:tblGrid>
      <w:tr>
        <w:trPr/>
        <w:tc>
          <w:tcPr>
            <w:tcW w:w="948"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r>
      <w:tr>
        <w:trPr/>
        <w:tc>
          <w:tcPr>
            <w:tcW w:w="57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ITRON METERING SOLUTIONS LUXEMBOURG</w:t>
            </w:r>
          </w:p>
        </w:tc>
      </w:tr>
      <w:tr>
        <w:trPr/>
        <w:tc>
          <w:tcPr>
            <w:tcW w:w="5787"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260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W. HARTMAN</w:t>
            </w:r>
          </w:p>
        </w:tc>
      </w:tr>
      <w:tr>
        <w:trPr/>
        <w:tc>
          <w:tcPr>
            <w:tcW w:w="260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Christopher W. Hartman</w:t>
            </w:r>
          </w:p>
        </w:tc>
      </w:tr>
      <w:tr>
        <w:trPr/>
        <w:tc>
          <w:tcPr>
            <w:tcW w:w="2608"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tc>
      </w:tr>
    </w:tbl>
    <w:p>
      <w:pPr>
        <w:pStyle w:val="TextBody"/>
        <w:spacing w:before="0" w:after="0"/>
        <w:jc w:val="both"/>
        <w:rPr/>
      </w:pPr>
      <w:r>
        <w:rPr/>
      </w:r>
    </w:p>
    <w:p>
      <w:pPr>
        <w:pStyle w:val="TextBody"/>
        <w:spacing w:before="0" w:after="0"/>
        <w:jc w:val="both"/>
        <w:rPr/>
      </w:pPr>
      <w:r>
        <w:rPr/>
      </w:r>
    </w:p>
    <w:tbl>
      <w:tblPr>
        <w:tblW w:w="4124" w:type="dxa"/>
        <w:jc w:val="left"/>
        <w:tblInd w:w="0" w:type="dxa"/>
        <w:tblCellMar>
          <w:top w:w="28" w:type="dxa"/>
          <w:left w:w="28" w:type="dxa"/>
          <w:bottom w:w="28" w:type="dxa"/>
          <w:right w:w="28" w:type="dxa"/>
        </w:tblCellMar>
      </w:tblPr>
      <w:tblGrid>
        <w:gridCol w:w="343"/>
        <w:gridCol w:w="301"/>
        <w:gridCol w:w="301"/>
        <w:gridCol w:w="923"/>
        <w:gridCol w:w="923"/>
        <w:gridCol w:w="1333"/>
      </w:tblGrid>
      <w:tr>
        <w:trPr/>
        <w:tc>
          <w:tcPr>
            <w:tcW w:w="34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r>
      <w:tr>
        <w:trPr/>
        <w:tc>
          <w:tcPr>
            <w:tcW w:w="41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ITRON GLOBAL</w:t>
            </w:r>
          </w:p>
        </w:tc>
      </w:tr>
      <w:tr>
        <w:trPr/>
        <w:tc>
          <w:tcPr>
            <w:tcW w:w="412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W. HARTMAN</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Christopher W. Hartman</w:t>
            </w:r>
          </w:p>
        </w:tc>
      </w:tr>
      <w:tr>
        <w:trPr/>
        <w:tc>
          <w:tcPr>
            <w:tcW w:w="945"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Manager</w:t>
            </w:r>
          </w:p>
        </w:tc>
      </w:tr>
    </w:tbl>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72465"/>
                <wp:effectExtent l="0" t="0" r="0" b="0"/>
                <wp:wrapNone/>
                <wp:docPr id="118" name="Frame117"/>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both"/>
        <w:rPr/>
      </w:pPr>
      <w:r>
        <w:rPr/>
      </w:r>
    </w:p>
    <w:tbl>
      <w:tblPr>
        <w:tblW w:w="9449" w:type="dxa"/>
        <w:jc w:val="left"/>
        <w:tblInd w:w="0" w:type="dxa"/>
        <w:tblCellMar>
          <w:top w:w="28" w:type="dxa"/>
          <w:left w:w="28" w:type="dxa"/>
          <w:bottom w:w="28" w:type="dxa"/>
          <w:right w:w="28" w:type="dxa"/>
        </w:tblCellMar>
      </w:tblPr>
      <w:tblGrid>
        <w:gridCol w:w="1640"/>
        <w:gridCol w:w="1442"/>
        <w:gridCol w:w="1442"/>
        <w:gridCol w:w="1442"/>
        <w:gridCol w:w="1442"/>
        <w:gridCol w:w="2041"/>
      </w:tblGrid>
      <w:tr>
        <w:trPr/>
        <w:tc>
          <w:tcPr>
            <w:tcW w:w="1640"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1442"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9449" w:type="dxa"/>
            <w:gridSpan w:val="6"/>
            <w:tcBorders/>
            <w:shd w:fill="auto" w:val="clear"/>
            <w:tcMar>
              <w:top w:w="0" w:type="dxa"/>
              <w:left w:w="0" w:type="dxa"/>
              <w:bottom w:w="0" w:type="dxa"/>
              <w:right w:w="0" w:type="dxa"/>
            </w:tcMar>
            <w:vAlign w:val="center"/>
          </w:tcPr>
          <w:p>
            <w:pPr>
              <w:pStyle w:val="TableContents"/>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WELLS FARGO BANK, NATIONAL ASSOCIATION, as Administrative Agent and a Lender</w:t>
            </w:r>
          </w:p>
        </w:tc>
      </w:tr>
      <w:tr>
        <w:trPr/>
        <w:tc>
          <w:tcPr>
            <w:tcW w:w="944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524"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4925"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JIM TEICHMAN</w:t>
            </w:r>
          </w:p>
        </w:tc>
      </w:tr>
      <w:tr>
        <w:trPr/>
        <w:tc>
          <w:tcPr>
            <w:tcW w:w="4524"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492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Jim Teichman</w:t>
            </w:r>
          </w:p>
        </w:tc>
      </w:tr>
      <w:tr>
        <w:trPr/>
        <w:tc>
          <w:tcPr>
            <w:tcW w:w="4524"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492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tc>
      </w:tr>
      <w:tr>
        <w:trPr/>
        <w:tc>
          <w:tcPr>
            <w:tcW w:w="4524" w:type="dxa"/>
            <w:gridSpan w:val="3"/>
            <w:tcBorders/>
            <w:shd w:fill="auto" w:val="clear"/>
            <w:tcMar>
              <w:top w:w="0" w:type="dxa"/>
              <w:left w:w="0" w:type="dxa"/>
              <w:bottom w:w="0" w:type="dxa"/>
              <w:right w:w="0" w:type="dxa"/>
            </w:tcMar>
            <w:vAlign w:val="center"/>
          </w:tcPr>
          <w:p>
            <w:pPr>
              <w:pStyle w:val="TableContents"/>
              <w:spacing w:before="0" w:after="0"/>
              <w:jc w:val="both"/>
              <w:rPr/>
            </w:pPr>
            <w:r>
              <w:rPr/>
            </w:r>
          </w:p>
        </w:tc>
        <w:tc>
          <w:tcPr>
            <w:tcW w:w="4925" w:type="dxa"/>
            <w:gridSpan w:val="3"/>
            <w:tcBorders/>
            <w:shd w:fill="auto" w:val="clear"/>
            <w:tcMar>
              <w:top w:w="0" w:type="dxa"/>
              <w:left w:w="0" w:type="dxa"/>
              <w:bottom w:w="0" w:type="dxa"/>
              <w:right w:w="0" w:type="dxa"/>
            </w:tcMar>
            <w:vAlign w:val="center"/>
          </w:tcPr>
          <w:p>
            <w:pPr>
              <w:pStyle w:val="TableContents"/>
              <w:spacing w:before="0" w:after="0"/>
              <w:ind w:left="0" w:right="0" w:hanging="720"/>
              <w:jc w:val="both"/>
              <w:rPr/>
            </w:pPr>
            <w:r>
              <w:rPr/>
            </w:r>
          </w:p>
        </w:tc>
      </w:tr>
    </w:tbl>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72465"/>
                <wp:effectExtent l="0" t="0" r="0" b="0"/>
                <wp:wrapNone/>
                <wp:docPr id="119" name="Frame118"/>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JP MORGAN CHASE, N.A.</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LYNN BRAUN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Lynn Braun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24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72465"/>
                <wp:effectExtent l="0" t="0" r="0" b="0"/>
                <wp:wrapNone/>
                <wp:docPr id="120" name="Frame119"/>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BANK NATIONAL ASSOCIATION</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L. SAWYER</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Steven L. Sawyer</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672465"/>
                <wp:effectExtent l="0" t="0" r="0" b="0"/>
                <wp:wrapNone/>
                <wp:docPr id="121" name="Frame120"/>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6"/>
        <w:gridCol w:w="1553"/>
        <w:gridCol w:w="1553"/>
        <w:gridCol w:w="1562"/>
        <w:gridCol w:w="1553"/>
        <w:gridCol w:w="2218"/>
      </w:tblGrid>
      <w:tr>
        <w:trPr/>
        <w:tc>
          <w:tcPr>
            <w:tcW w:w="1766"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2218"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ING BANK N.V., DUBLIN BRANCH</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33"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CORMAC LANGFORD</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Cormac Langford</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2112" w:type="dxa"/>
        <w:jc w:val="left"/>
        <w:tblInd w:w="0" w:type="dxa"/>
        <w:tblCellMar>
          <w:top w:w="28" w:type="dxa"/>
          <w:left w:w="28" w:type="dxa"/>
          <w:bottom w:w="28" w:type="dxa"/>
          <w:right w:w="28" w:type="dxa"/>
        </w:tblCellMar>
      </w:tblPr>
      <w:tblGrid>
        <w:gridCol w:w="124"/>
        <w:gridCol w:w="109"/>
        <w:gridCol w:w="109"/>
        <w:gridCol w:w="518"/>
        <w:gridCol w:w="518"/>
        <w:gridCol w:w="73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r>
      <w:tr>
        <w:trPr/>
        <w:tc>
          <w:tcPr>
            <w:tcW w:w="211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HASSETT</w:t>
            </w:r>
          </w:p>
        </w:tc>
      </w:tr>
      <w:tr>
        <w:trPr/>
        <w:tc>
          <w:tcPr>
            <w:tcW w:w="211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Sean Hassett</w:t>
            </w:r>
          </w:p>
        </w:tc>
      </w:tr>
      <w:tr>
        <w:trPr/>
        <w:tc>
          <w:tcPr>
            <w:tcW w:w="2112"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672465"/>
                <wp:effectExtent l="0" t="0" r="0" b="0"/>
                <wp:wrapNone/>
                <wp:docPr id="122" name="Frame121"/>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CITIZENS BANK, N.A.</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EARL KWAK</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Earl Kwak</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672465"/>
                <wp:effectExtent l="0" t="0" r="0" b="0"/>
                <wp:wrapNone/>
                <wp:docPr id="123" name="Frame122"/>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HSBC BANK USA, NATIONAL ASSOCIATION, AS A LENDER</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MARY BETH DAM</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Mary Beth Dam</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 22710</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672465"/>
                <wp:effectExtent l="0" t="0" r="0" b="0"/>
                <wp:wrapNone/>
                <wp:docPr id="124" name="Frame123"/>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56"/>
        <w:gridCol w:w="1544"/>
        <w:gridCol w:w="1544"/>
        <w:gridCol w:w="1613"/>
        <w:gridCol w:w="1544"/>
        <w:gridCol w:w="2204"/>
      </w:tblGrid>
      <w:tr>
        <w:trPr/>
        <w:tc>
          <w:tcPr>
            <w:tcW w:w="1756"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220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BMO HARRIS BANK N.A.</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1"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BERRYMAN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Andrew Berryman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672465"/>
                <wp:effectExtent l="0" t="0" r="0" b="0"/>
                <wp:wrapNone/>
                <wp:docPr id="125" name="Frame124"/>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CITIBANK, N.A.</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HANS LIN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Hans Lin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672465"/>
                <wp:effectExtent l="0" t="0" r="0" b="0"/>
                <wp:wrapNone/>
                <wp:docPr id="126" name="Frame125"/>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FIFTH THIRD BANK, NATIONAL ASSOCIATION</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JOHNSON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Shane Johnson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Executive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672465"/>
                <wp:effectExtent l="0" t="0" r="0" b="0"/>
                <wp:wrapNone/>
                <wp:docPr id="127" name="Frame126"/>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PNC BANK, NATIONAL ASSOCIATION</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LARRY JACKSON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Larry Jackson</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SVP</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672465"/>
                <wp:effectExtent l="0" t="0" r="0" b="0"/>
                <wp:wrapNone/>
                <wp:docPr id="128" name="Frame127"/>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TD BANK, N.A., AS A LENDER</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BERNADETTE COLLINS</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Bernadette Collins</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672465"/>
                <wp:effectExtent l="0" t="0" r="0" b="0"/>
                <wp:wrapNone/>
                <wp:docPr id="129" name="Frame128"/>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MUFG UNION BANK, N.A.</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MENG ZHANG</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Meng Zhang</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672465"/>
                <wp:effectExtent l="0" t="0" r="0" b="0"/>
                <wp:wrapNone/>
                <wp:docPr id="130" name="Frame129"/>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BNP PARIBAS</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GEORGE KO</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George Ko</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2518" w:type="dxa"/>
        <w:jc w:val="left"/>
        <w:tblInd w:w="0" w:type="dxa"/>
        <w:tblCellMar>
          <w:top w:w="28" w:type="dxa"/>
          <w:left w:w="28" w:type="dxa"/>
          <w:bottom w:w="28" w:type="dxa"/>
          <w:right w:w="28" w:type="dxa"/>
        </w:tblCellMar>
      </w:tblPr>
      <w:tblGrid>
        <w:gridCol w:w="128"/>
        <w:gridCol w:w="112"/>
        <w:gridCol w:w="112"/>
        <w:gridCol w:w="632"/>
        <w:gridCol w:w="632"/>
        <w:gridCol w:w="902"/>
      </w:tblGrid>
      <w:tr>
        <w:trPr/>
        <w:tc>
          <w:tcPr>
            <w:tcW w:w="12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r>
      <w:tr>
        <w:trPr/>
        <w:tc>
          <w:tcPr>
            <w:tcW w:w="251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6"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THEODORE OLSON</w:t>
            </w:r>
          </w:p>
        </w:tc>
      </w:tr>
      <w:tr>
        <w:trPr/>
        <w:tc>
          <w:tcPr>
            <w:tcW w:w="251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Theodore Olson</w:t>
            </w:r>
          </w:p>
        </w:tc>
      </w:tr>
      <w:tr>
        <w:trPr/>
        <w:tc>
          <w:tcPr>
            <w:tcW w:w="251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672465"/>
                <wp:effectExtent l="0" t="0" r="0" b="0"/>
                <wp:wrapNone/>
                <wp:docPr id="131" name="Frame130"/>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68"/>
        <w:gridCol w:w="1554"/>
        <w:gridCol w:w="1554"/>
        <w:gridCol w:w="1554"/>
        <w:gridCol w:w="1554"/>
        <w:gridCol w:w="2221"/>
      </w:tblGrid>
      <w:tr>
        <w:trPr/>
        <w:tc>
          <w:tcPr>
            <w:tcW w:w="1768"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2221"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BANK OF THE WEST</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8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LENI WELSCH</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Leni Welsch</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Director, Market Manager</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672465"/>
                <wp:effectExtent l="0" t="0" r="0" b="0"/>
                <wp:wrapNone/>
                <wp:docPr id="132" name="Frame131"/>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39"/>
        <w:gridCol w:w="1529"/>
        <w:gridCol w:w="1529"/>
        <w:gridCol w:w="1696"/>
        <w:gridCol w:w="1529"/>
        <w:gridCol w:w="2183"/>
      </w:tblGrid>
      <w:tr>
        <w:trPr/>
        <w:tc>
          <w:tcPr>
            <w:tcW w:w="173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183"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LENDERS</w:t>
            </w:r>
          </w:p>
          <w:p>
            <w:pPr>
              <w:pStyle w:val="TableContents"/>
              <w:spacing w:before="0" w:after="0"/>
              <w:jc w:val="left"/>
              <w:rPr/>
            </w:pPr>
            <w:r>
              <w:rPr/>
            </w:r>
          </w:p>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TO AMENDMENT NO. 4 TO THE SECOND AMENDED AND RESTATED CREDIT AGREEMENT DATED AS OF JANUARY 5, 2018, AMONG ITRON, INC., THE FOREIGN BORROWERS AND GUARANTORS PARTY THERETO, THE LENDERS AND ISSUING LENDERS PARTY THERETO AND WELLS FARGO BANK, NATIONAL ASSOCIATION, AS ADMINISTRATIVE AGENT</w:t>
            </w:r>
          </w:p>
          <w:p>
            <w:pPr>
              <w:pStyle w:val="TableContents"/>
              <w:spacing w:before="0" w:after="0"/>
              <w:jc w:val="both"/>
              <w:rPr/>
            </w:pPr>
            <w:r>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of Institution:</w:t>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KEYBANK NATIONAL ASSOCIATION</w:t>
            </w:r>
          </w:p>
        </w:tc>
      </w:tr>
      <w:tr>
        <w:trPr/>
        <w:tc>
          <w:tcPr>
            <w:tcW w:w="10205" w:type="dxa"/>
            <w:gridSpan w:val="6"/>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47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8"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TAD L. STAINBROOK</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Tad L. Stainbrook</w:t>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For institutions that require a second signature:</w:t>
      </w:r>
    </w:p>
    <w:p>
      <w:pPr>
        <w:pStyle w:val="TextBody"/>
        <w:spacing w:before="0" w:after="0"/>
        <w:jc w:val="both"/>
        <w:rPr/>
      </w:pPr>
      <w:r>
        <w:rPr/>
      </w:r>
    </w:p>
    <w:tbl>
      <w:tblPr>
        <w:tblW w:w="795" w:type="dxa"/>
        <w:jc w:val="left"/>
        <w:tblInd w:w="0" w:type="dxa"/>
        <w:tblCellMar>
          <w:top w:w="28" w:type="dxa"/>
          <w:left w:w="28" w:type="dxa"/>
          <w:bottom w:w="28" w:type="dxa"/>
          <w:right w:w="28" w:type="dxa"/>
        </w:tblCellMar>
      </w:tblPr>
      <w:tblGrid>
        <w:gridCol w:w="137"/>
        <w:gridCol w:w="121"/>
        <w:gridCol w:w="121"/>
        <w:gridCol w:w="121"/>
        <w:gridCol w:w="121"/>
        <w:gridCol w:w="174"/>
      </w:tblGrid>
      <w:tr>
        <w:trPr/>
        <w:tc>
          <w:tcPr>
            <w:tcW w:w="137"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r>
      <w:tr>
        <w:trPr/>
        <w:tc>
          <w:tcPr>
            <w:tcW w:w="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tc>
      </w:tr>
      <w:tr>
        <w:trPr/>
        <w:tc>
          <w:tcPr>
            <w:tcW w:w="79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tc>
      </w:tr>
    </w:tbl>
    <w:p>
      <w:pPr>
        <w:pStyle w:val="TextBody"/>
        <w:spacing w:before="0" w:after="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10.36</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672465"/>
                <wp:effectExtent l="0" t="0" r="0" b="0"/>
                <wp:wrapNone/>
                <wp:docPr id="133" name="Frame132"/>
                <a:graphic xmlns:a="http://schemas.openxmlformats.org/drawingml/2006/main">
                  <a:graphicData uri="http://schemas.microsoft.com/office/word/2010/wordprocessingShape">
                    <wps:wsp>
                      <wps:cNvSpPr txBox="1"/>
                      <wps:spPr>
                        <a:xfrm>
                          <a:off x="0" y="0"/>
                          <a:ext cx="6480175" cy="672465"/>
                        </a:xfrm>
                        <a:prstGeom prst="rect"/>
                      </wps:spPr>
                      <wps:txb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[Amendment No. 4 to Second Amended and Restated Credit Agreement Signature Page]</w:t>
                      </w:r>
                    </w:p>
                    <w:p>
                      <w:pPr>
                        <w:pStyle w:val="TextBody"/>
                        <w:spacing w:before="0" w:after="0"/>
                        <w:rPr/>
                      </w:pPr>
                      <w:r>
                        <w:rPr/>
                      </w:r>
                    </w:p>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drawing>
          <wp:inline distT="0" distB="63500" distL="0" distR="0">
            <wp:extent cx="7762875" cy="2914650"/>
            <wp:effectExtent l="0" t="0" r="0" b="0"/>
            <wp:docPr id="1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 descr=""/>
                    <pic:cNvPicPr>
                      <a:picLocks noChangeAspect="1" noChangeArrowheads="1"/>
                    </pic:cNvPicPr>
                  </pic:nvPicPr>
                  <pic:blipFill>
                    <a:blip r:embed="rId109"/>
                    <a:stretch>
                      <a:fillRect/>
                    </a:stretch>
                  </pic:blipFill>
                  <pic:spPr bwMode="auto">
                    <a:xfrm>
                      <a:off x="0" y="0"/>
                      <a:ext cx="7762875" cy="2914650"/>
                    </a:xfrm>
                    <a:prstGeom prst="rect">
                      <a:avLst/>
                    </a:prstGeom>
                  </pic:spPr>
                </pic:pic>
              </a:graphicData>
            </a:graphic>
          </wp:inline>
        </w:drawing>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Overview</w:t>
      </w:r>
    </w:p>
    <w:p>
      <w:pPr>
        <w:pStyle w:val="TextBody"/>
        <w:spacing w:lineRule="auto" w:line="240" w:before="0" w:after="0"/>
        <w:jc w:val="both"/>
        <w:rPr/>
      </w:pPr>
      <w:r>
        <w:rPr>
          <w:rFonts w:ascii="Arial;sans-serif" w:hAnsi="Arial;sans-serif"/>
          <w:b w:val="false"/>
          <w:color w:val="000000"/>
          <w:sz w:val="22"/>
        </w:rPr>
        <w:t>The Itron Incentive Plan (“IIP”, or “Plan”) provides a cash award to eligible participants based on attainment of financial metrics and an assessment of individual performance. The period of January 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through December 31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(“Performance Period”) is used to establish metrics and measure results. The Financial metrics are collectively referred to in the IIP document as (“Performance Metrics”).</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The Performance metrics are established to measure the degree of business achievement during the Performance Period. The Company Performance metrics are set forth in Exhibit A (“2022 Itron Performance Metrics”) attached hereto and incorporated herein by this reference. Following the completion of the Performance Period, actual performance relative to the Performance metrics will be assessed. Each participant’s individual performance will also be assessed and used to adjust their individual award payout through the application of an Individual Performance Factor (“IPF”). Payouts (the “IIP Award”), if any, will be determined in accordance with the award formula as defined in Exhibit A. </w:t>
      </w:r>
    </w:p>
    <w:p>
      <w:pPr>
        <w:pStyle w:val="TextBody"/>
        <w:spacing w:before="0" w:after="0"/>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To the maximum extent permitted by the applicable law, the Plan shall apply on a global scale to all subsidiaries of Itron, Inc. worldwide. If any of the provisions of the IIP contravene a mandatory law in a particular country, such mandatory law shall apply in that country.</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Eligibility</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Participation in the plan is reviewed annually and is based on the position that the employee holds at that time. Final eligibility is determined by the SVP of Human Resources.</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Except as set forth below, each IIP Participant must be an Eligible Employee as of the first day of the Performance Period and be actively employed by Itron during the Performance Period and on the date IIP awards, if any, are paid. IIP Participants who do not actively work during the entire Performance Period will receive a reduced payout which will be pro-rated for the absence period, unless any such deductions are prohibited by applicable law or stated otherwise in this Plan.</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Any employee who becomes an Eligible Employee as a result of a new hire (including as the result of an acquisition or merger) after the first day of a Performance Period may become eligible to participate in the Plan and receive a IIP Award. The award will be pro-rated based on the number of calendar days that the employee qualified as an Eligible Employee during the Performance Period. Similarly, if during a Performance Period an Eligible Employee is transferred to another role for which different performance measures apply, his/her IIP Award, if any, will be calculated by taking into account the performance measures for each role. The time will be pro-rated based on the actual time that the Eligible Employee spent in each role during the Performance Period.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35915"/>
                <wp:effectExtent l="0" t="0" r="0" b="0"/>
                <wp:wrapNone/>
                <wp:docPr id="135" name="Frame133"/>
                <a:graphic xmlns:a="http://schemas.openxmlformats.org/drawingml/2006/main">
                  <a:graphicData uri="http://schemas.microsoft.com/office/word/2010/wordprocessingShape">
                    <wps:wsp>
                      <wps:cNvSpPr txBox="1"/>
                      <wps:spPr>
                        <a:xfrm>
                          <a:off x="0" y="0"/>
                          <a:ext cx="6480175" cy="33591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 of 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 of 7</w:t>
                      </w:r>
                    </w:p>
                    <w:p>
                      <w:pPr>
                        <w:pStyle w:val="TextBody"/>
                        <w:spacing w:before="0" w:after="0"/>
                        <w:rPr/>
                      </w:pPr>
                      <w:r>
                        <w:rPr/>
                      </w:r>
                    </w:p>
                  </w:txbxContent>
                </v:textbox>
              </v:rect>
            </w:pict>
          </mc:Fallback>
        </mc:AlternateContent>
      </w:r>
    </w:p>
    <w:p>
      <w:pPr>
        <w:pStyle w:val="TextBody"/>
        <w:spacing w:lineRule="auto" w:line="240" w:before="0" w:after="2"/>
        <w:jc w:val="both"/>
        <w:rPr>
          <w:rFonts w:ascii="Arial;sans-serif" w:hAnsi="Arial;sans-serif"/>
          <w:b w:val="false"/>
          <w:color w:val="000000"/>
          <w:sz w:val="22"/>
        </w:rPr>
      </w:pPr>
      <w:r>
        <w:rPr>
          <w:rFonts w:ascii="Arial;sans-serif" w:hAnsi="Arial;sans-serif"/>
          <w:b w:val="false"/>
          <w:color w:val="000000"/>
          <w:sz w:val="22"/>
        </w:rPr>
        <w:t xml:space="preserve">Any employee who becomes an Eligible Employee as a result of a promotion after the first day of a Performance Period may become eligible to participate in the Plan and receive an IIP Award. The entire Performance Period shall be used as the basis for any payment under the Plan. </w:t>
      </w:r>
    </w:p>
    <w:p>
      <w:pPr>
        <w:pStyle w:val="TextBody"/>
        <w:spacing w:before="0" w:after="0"/>
        <w:jc w:val="both"/>
        <w:rPr/>
      </w:pPr>
      <w:r>
        <w:rPr/>
      </w:r>
    </w:p>
    <w:p>
      <w:pPr>
        <w:pStyle w:val="TextBody"/>
        <w:spacing w:lineRule="auto" w:line="240" w:before="0" w:after="0"/>
        <w:jc w:val="both"/>
        <w:rPr/>
      </w:pPr>
      <w:r>
        <w:rPr>
          <w:rFonts w:ascii="Arial;sans-serif" w:hAnsi="Arial;sans-serif"/>
          <w:b w:val="false"/>
          <w:color w:val="000000"/>
          <w:sz w:val="22"/>
        </w:rPr>
        <w:t>Participants must be in a IIP eligible position on or before October 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of the Performance Period in order to be eligible for payment under the Plan. Final approval of IIP Participants and IIP award payments are approved by the Senior Vice President Human Resources and/or President &amp; CEO as delegated by the Compensation Committee of the Itron Board of Directors.</w:t>
      </w:r>
    </w:p>
    <w:p>
      <w:pPr>
        <w:pStyle w:val="TextBody"/>
        <w:spacing w:before="0" w:after="0"/>
        <w:jc w:val="both"/>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Award Opportunities</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Each IIP Participant shall have the opportunity to earn his/her IIP award based upon the achievement of predetermined Performance metrics, which are comprised of Performance Objectives and an assessment of a participant’s individual performance. The Performance Period has an Overall Plan Threshold (“Threshold”), as defined in Exhibit A, which must be achieved in order for any of the Performance Objectives to be earned and paid.</w:t>
      </w:r>
    </w:p>
    <w:p>
      <w:pPr>
        <w:pStyle w:val="TextBody"/>
        <w:spacing w:before="0" w:after="0"/>
        <w:rPr/>
      </w:pPr>
      <w:r>
        <w:rPr/>
      </w:r>
    </w:p>
    <w:p>
      <w:pPr>
        <w:pStyle w:val="TextBody"/>
        <w:spacing w:lineRule="auto" w:line="240" w:before="0" w:after="0"/>
        <w:jc w:val="both"/>
        <w:rPr/>
      </w:pPr>
      <w:r>
        <w:rPr>
          <w:rFonts w:ascii="Arial;sans-serif" w:hAnsi="Arial;sans-serif"/>
          <w:b w:val="false"/>
          <w:color w:val="000000"/>
          <w:sz w:val="22"/>
        </w:rPr>
        <w:t>If the overall EBITDA threshold as defined in Exhibit A is met for the period January 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through December 31</w:t>
      </w:r>
      <w:r>
        <w:rPr>
          <w:rFonts w:ascii="Arial;sans-serif" w:hAnsi="Arial;sans-serif"/>
          <w:b w:val="false"/>
          <w:color w:val="000000"/>
          <w:sz w:val="14"/>
        </w:rPr>
        <w:t>st</w:t>
      </w:r>
      <w:r>
        <w:rPr>
          <w:color w:val="000000"/>
        </w:rPr>
        <w:t xml:space="preserve"> </w:t>
      </w:r>
      <w:r>
        <w:rPr>
          <w:rFonts w:ascii="Arial;sans-serif" w:hAnsi="Arial;sans-serif"/>
          <w:b w:val="false"/>
          <w:color w:val="000000"/>
          <w:sz w:val="22"/>
        </w:rPr>
        <w:t xml:space="preserve">Performance Period, the IIP Award will be considered for payment. The Performance metrics are set forth in Exhibit A (“2022 Itron Performance Metrics”). The definition of each metric and its measurement is provided in the Definitions section of this Plan which is attached hereto as Exhibit B (the “Definitions”) and are incorporated herein by this reference. </w:t>
      </w:r>
      <w:r>
        <w:rPr>
          <w:rFonts w:ascii="Arial;sans-serif" w:hAnsi="Arial;sans-serif"/>
          <w:b/>
          <w:i/>
          <w:color w:val="000000"/>
          <w:sz w:val="22"/>
        </w:rPr>
        <w:t xml:space="preserve">No Awards will be earned for any Performance metric of the Plan if the Overall Plan Threshold, as defined in Exhibit A, is not achieved. </w:t>
      </w:r>
      <w:r>
        <w:rPr>
          <w:rFonts w:ascii="Arial;sans-serif" w:hAnsi="Arial;sans-serif"/>
          <w:b w:val="false"/>
          <w:color w:val="000000"/>
          <w:sz w:val="22"/>
        </w:rPr>
        <w:t>Maximum payout percentages for each element of the 2022 Itron Performance metrics of the IIP are also set forth in Exhibit A.</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Plan also includes an Individual Performance Factor (“IPF”) that is applied based on the participant’s annual performance as defined in Exhibit A. The Participant’s manager will assess the Participant’s individual performance and an IPF will be assigned reflecting the manager’s assessment by applying a multiplier (range of 0.0 – 1.5) against the calculated payout. The calculated payout is determined based on how the plan has performed and applied to an individual’s target award. The IPF is then applied after the calculated payout is established.</w:t>
      </w:r>
    </w:p>
    <w:p>
      <w:pPr>
        <w:pStyle w:val="TextBody"/>
        <w:spacing w:before="0" w:after="0"/>
        <w:rPr/>
      </w:pPr>
      <w:r>
        <w:rPr/>
      </w:r>
    </w:p>
    <w:p>
      <w:pPr>
        <w:pStyle w:val="TextBody"/>
        <w:spacing w:lineRule="auto" w:line="240" w:before="0" w:after="0"/>
        <w:jc w:val="both"/>
        <w:rPr/>
      </w:pPr>
      <w:r>
        <w:rPr>
          <w:rFonts w:ascii="Arial;sans-serif" w:hAnsi="Arial;sans-serif"/>
          <w:b w:val="false"/>
          <w:color w:val="000000"/>
          <w:sz w:val="22"/>
        </w:rPr>
        <w:t>Each IIP Participant shall be assigned a percentage of his or her base salary (“Target Percentage”) commensurate with their position’s organizational level that will be used in calculating the amount of his or her IIP Target Award, if any. The IIP Participant’s base salary and Target Percentage as of December 31</w:t>
      </w:r>
      <w:r>
        <w:rPr>
          <w:rFonts w:ascii="Arial;sans-serif" w:hAnsi="Arial;sans-serif"/>
          <w:b w:val="false"/>
          <w:color w:val="000000"/>
          <w:sz w:val="14"/>
        </w:rPr>
        <w:t>st</w:t>
      </w:r>
      <w:r>
        <w:rPr>
          <w:rFonts w:ascii="Arial;sans-serif" w:hAnsi="Arial;sans-serif"/>
          <w:b w:val="false"/>
          <w:color w:val="000000"/>
          <w:sz w:val="22"/>
        </w:rPr>
        <w:t xml:space="preserve">, 2022, will be used for purposes of the IIP calculation. </w:t>
      </w:r>
    </w:p>
    <w:p>
      <w:pPr>
        <w:pStyle w:val="TextBody"/>
        <w:spacing w:before="0" w:after="0"/>
        <w:rPr/>
      </w:pPr>
      <w:r>
        <w:rPr/>
      </w:r>
    </w:p>
    <w:p>
      <w:pPr>
        <w:pStyle w:val="TextBody"/>
        <w:spacing w:lineRule="auto" w:line="240" w:before="0" w:after="0"/>
        <w:jc w:val="both"/>
        <w:rPr/>
      </w:pPr>
      <w:r>
        <w:rPr>
          <w:rFonts w:ascii="Arial;sans-serif" w:hAnsi="Arial;sans-serif"/>
          <w:b/>
          <w:color w:val="000000"/>
          <w:sz w:val="22"/>
        </w:rPr>
        <w:t>Adjustments to Performance Objectives:</w:t>
      </w:r>
      <w:r>
        <w:rPr>
          <w:color w:val="000000"/>
        </w:rPr>
        <w:t xml:space="preserve"> </w:t>
      </w:r>
      <w:r>
        <w:rPr>
          <w:rFonts w:ascii="Arial;sans-serif" w:hAnsi="Arial;sans-serif"/>
          <w:b w:val="false"/>
          <w:color w:val="000000"/>
          <w:sz w:val="22"/>
        </w:rPr>
        <w:t>To the extent applicable, the Compensation Committee or Designee may adjust the Company financial results achieved during the Performance Period for the purposes of determining the attainment of Performance Objectives. Such adjustments may include or exclude, without limitation, one or more of the following: foreign exchange rates, items that are extraordinary or unusual in nature or infrequent in occurrence, including one-time or non-recurring items; items related to a change in accounting principles under GAAP; items related to changes in law or regulatory requirements; items related to financing activities; expenses for restructuring or productivity initiatives; other non-operating items; items related to acquisitions, including transaction-related charges and amortization; items attributable to the business operations of any entity acquired by the Company during the Performance Period; items related to the disposal of a business or segment of a business; items related to discontinued operations that do not qualify as a segment of a business under GAAP; expenses related to natural disasters, pandemics, and other disasters; litigation related expenses; taxes; stock-based compensation; non-cash items; and any other items of significant income or expense which are determined to be appropriate adjustments.</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Payouts</w:t>
      </w:r>
    </w:p>
    <w:p>
      <w:pPr>
        <w:pStyle w:val="TextBody"/>
        <w:spacing w:lineRule="auto" w:line="240"/>
        <w:jc w:val="both"/>
        <w:rPr/>
      </w:pPr>
      <w:r>
        <w:rPr>
          <w:rFonts w:ascii="Arial;sans-serif" w:hAnsi="Arial;sans-serif"/>
          <w:b w:val="false"/>
          <w:color w:val="000000"/>
          <w:sz w:val="22"/>
        </w:rPr>
        <w:t>Final IIP Awards, if any, will be communicated and paid to the IIP Participants within a reasonable period after the end of the Performance Period and in any event on or before March 15</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 xml:space="preserve">following the end of the Performance Period. Any corrections or revisions to an IIP Participant’s IIP Award must be </w:t>
      </w:r>
      <w:r>
        <w:br w:type="page"/>
      </w: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06705"/>
                <wp:effectExtent l="0" t="0" r="0" b="0"/>
                <wp:wrapNone/>
                <wp:docPr id="136" name="Frame134"/>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p>
      <w:pPr>
        <w:pStyle w:val="TextBody"/>
        <w:spacing w:lineRule="auto" w:line="240" w:before="0" w:after="0"/>
        <w:jc w:val="both"/>
        <w:rPr/>
      </w:pPr>
      <w:r>
        <w:rPr>
          <w:rFonts w:ascii="Arial;sans-serif" w:hAnsi="Arial;sans-serif"/>
          <w:b w:val="false"/>
          <w:color w:val="000000"/>
          <w:sz w:val="22"/>
        </w:rPr>
        <w:t>requested by the IIP Participant or his/her manager before May 1</w:t>
      </w:r>
      <w:r>
        <w:rPr>
          <w:rFonts w:ascii="Arial;sans-serif" w:hAnsi="Arial;sans-serif"/>
          <w:b w:val="false"/>
          <w:color w:val="000000"/>
          <w:sz w:val="14"/>
        </w:rPr>
        <w:t xml:space="preserve">st </w:t>
      </w:r>
      <w:r>
        <w:rPr>
          <w:rFonts w:ascii="Arial;sans-serif" w:hAnsi="Arial;sans-serif"/>
          <w:b w:val="false"/>
          <w:color w:val="000000"/>
          <w:sz w:val="22"/>
        </w:rPr>
        <w:t xml:space="preserve">of the year in which the IIP Award is paid. </w:t>
      </w:r>
    </w:p>
    <w:p>
      <w:pPr>
        <w:pStyle w:val="TextBody"/>
        <w:spacing w:before="0" w:after="0"/>
        <w:jc w:val="both"/>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Tax Consequences</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Company shall have the right to deduct applicable taxes from any IIP Award and withhold, at the time of delivery of the IIP Award, if any, under the IIP, an appropriate amount for payment of taxes required by applicable law or to take such other action as may be necessary or advisable in the opinion of the Company to satisfy all tax withholding obligations of the IIP Participants.</w:t>
      </w:r>
    </w:p>
    <w:p>
      <w:pPr>
        <w:pStyle w:val="TextBody"/>
        <w:spacing w:before="0" w:after="0"/>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Section 409A. The IIP is intended to satisfy the short-term deferral exception to the application of Internal Revenue Code Section 409A (26 U.S. Code § 409A). To the extent any provision of the IIP becomes subject to Internal Revenue Code Section 409A and the applicable regulations and guidance issued thereunder, it shall be construed, and payments made hereunder, as the Compensation Committee or Designee deems necessary to comply with Internal Revenue Code Section 409A. </w:t>
      </w:r>
    </w:p>
    <w:p>
      <w:pPr>
        <w:pStyle w:val="TextBody"/>
        <w:spacing w:before="0" w:after="0"/>
        <w:jc w:val="both"/>
        <w:rPr/>
      </w:pPr>
      <w:r>
        <w:rPr/>
      </w:r>
    </w:p>
    <w:p>
      <w:pPr>
        <w:pStyle w:val="TextBody"/>
        <w:spacing w:before="0" w:after="0"/>
        <w:jc w:val="both"/>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Changes in Employment / Earning of Award</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Termination of Employment</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Death, Disability &amp; Retirement</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IIP Participants whose employment relationship with Itron terminates as a result of death, disability, or retirement will be eligible to earn a prorated IIP Award based on the actual IIP Award payouts. In such case, the IIP Award, if any, will be paid at the time when other IIP Participants receive their respective IIP Awards, if any. For the purposes of the IIP, “retirement” in the United States shall mean the earlier of the age 65 or the age 55 with at least 10 years of service with Itron. “Retirement” in other jurisdictions/locations shall be determined in accordance with the applicable provisions of the law in the country of employment of the IIP Participant. For those IIP Participants whose employment terminates as a result of death, the IIP Award, if any, will be issued to the employee’s estate, unless required otherwise by applicable law. </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Reductions in Force</w:t>
      </w:r>
    </w:p>
    <w:p>
      <w:pPr>
        <w:pStyle w:val="TextBody"/>
        <w:spacing w:before="0" w:after="0"/>
        <w:jc w:val="both"/>
        <w:rPr/>
      </w:pPr>
      <w:r>
        <w:rPr/>
      </w:r>
    </w:p>
    <w:p>
      <w:pPr>
        <w:pStyle w:val="TextBody"/>
        <w:spacing w:lineRule="auto" w:line="240" w:before="0" w:after="0"/>
        <w:jc w:val="both"/>
        <w:rPr/>
      </w:pPr>
      <w:r>
        <w:rPr>
          <w:rFonts w:ascii="Arial;sans-serif" w:hAnsi="Arial;sans-serif"/>
          <w:b/>
          <w:color w:val="000000"/>
          <w:sz w:val="22"/>
        </w:rPr>
        <w:t>After the Completion of the Performance Period:</w:t>
      </w:r>
      <w:r>
        <w:rPr>
          <w:color w:val="000000"/>
        </w:rPr>
        <w:t xml:space="preserve"> </w:t>
      </w:r>
      <w:r>
        <w:rPr>
          <w:rFonts w:ascii="Arial;sans-serif" w:hAnsi="Arial;sans-serif"/>
          <w:b w:val="false"/>
          <w:color w:val="000000"/>
          <w:sz w:val="22"/>
        </w:rPr>
        <w:t>Unless otherwise required by mandatory provisions of local law, in the event an IIP Participant’s employment with Itron terminates due to a reduction in force after the completion of the Performance Period but prior to the payout of the IIP Award, the IIP Participant will be entitled to receive the IIP Award, if and when any such IIP Award is earned, approved by the Compensation Committee of the Board of Directors or designee, and payable in accordance with the terms of this Plan. The IIP Award, if any, will be paid at the time when other IIP Participants receive their respective IIP Awards.</w:t>
      </w:r>
    </w:p>
    <w:p>
      <w:pPr>
        <w:pStyle w:val="TextBody"/>
        <w:spacing w:before="0" w:after="0"/>
        <w:jc w:val="both"/>
        <w:rPr/>
      </w:pPr>
      <w:r>
        <w:rPr/>
      </w:r>
    </w:p>
    <w:p>
      <w:pPr>
        <w:pStyle w:val="TextBody"/>
        <w:spacing w:lineRule="auto" w:line="240" w:before="0" w:after="0"/>
        <w:jc w:val="both"/>
        <w:rPr/>
      </w:pPr>
      <w:r>
        <w:rPr>
          <w:rFonts w:ascii="Arial;sans-serif" w:hAnsi="Arial;sans-serif"/>
          <w:b/>
          <w:color w:val="000000"/>
          <w:sz w:val="22"/>
        </w:rPr>
        <w:t>Prior to the Completion of the Performance Period:</w:t>
      </w:r>
      <w:r>
        <w:rPr>
          <w:color w:val="000000"/>
        </w:rPr>
        <w:t xml:space="preserve"> </w:t>
      </w:r>
      <w:r>
        <w:rPr>
          <w:rFonts w:ascii="Arial;sans-serif" w:hAnsi="Arial;sans-serif"/>
          <w:b w:val="false"/>
          <w:color w:val="000000"/>
          <w:sz w:val="22"/>
        </w:rPr>
        <w:t>Unless otherwise required by mandatory provisions of local law, in the event an IIP Participant’s employment with Itron terminates due to a reduction in force prior the completion of the Performance Period, the IIP Participant will not be entitled to receive any portion of the IIP Award for the Performance Period.</w:t>
      </w:r>
    </w:p>
    <w:p>
      <w:pPr>
        <w:pStyle w:val="TextBody"/>
        <w:spacing w:before="0" w:after="0"/>
        <w:jc w:val="both"/>
        <w:rPr/>
      </w:pPr>
      <w:r>
        <w:rPr/>
      </w:r>
    </w:p>
    <w:p>
      <w:pPr>
        <w:pStyle w:val="TextBody"/>
        <w:spacing w:lineRule="auto" w:line="240"/>
        <w:jc w:val="both"/>
        <w:rPr/>
      </w:pPr>
      <w:r>
        <w:rPr>
          <w:rFonts w:ascii="Arial;sans-serif" w:hAnsi="Arial;sans-serif"/>
          <w:b/>
          <w:color w:val="000000"/>
          <w:sz w:val="22"/>
        </w:rPr>
        <w:t>All Other Types of Terminations or Resignations:</w:t>
      </w:r>
      <w:r>
        <w:rPr>
          <w:color w:val="000000"/>
        </w:rPr>
        <w:t xml:space="preserve"> </w:t>
      </w:r>
      <w:r>
        <w:rPr>
          <w:rFonts w:ascii="Arial;sans-serif" w:hAnsi="Arial;sans-serif"/>
          <w:b w:val="false"/>
          <w:color w:val="000000"/>
          <w:sz w:val="22"/>
        </w:rPr>
        <w:t xml:space="preserve">IIP Participants who voluntarily resign or whose employment is terminated for any reason other than death, disability or retirement prior to the distribution of the IIP Award, if any, shall not be eligible to earn or receive an IIP Award, unless required by mandatory provisions of local law. In those countries where payment of a prorated IIP Award is required when an IIP Participant’s employment is terminated for reasons other than death, disability, or retirement prior to the distribution of the IIP Award, the IIP Participant will be eligible to earn an IIP Award on a prorated basis depending on the actual number of days employed during the Performance Period by the IIP Participant during the Performance Period. In such case, the IIP Award, if any, will be due and payable only upon completion of the Performance Period, and will be calculated based on the </w:t>
      </w:r>
      <w:r>
        <w:br w:type="page"/>
      </w: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06705"/>
                <wp:effectExtent l="0" t="0" r="0" b="0"/>
                <wp:wrapNone/>
                <wp:docPr id="137" name="Frame135"/>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actual results, achievement of the Performance Objectives as determined upon completion of the Performance Period and application of the Individual Performance Factor, in accordance with the Plan and the Award Formula. Determination of the Individual Performance Factor will be based upon the performance assessment completed and documented on or around the last date of employment of the IIP Participant. All IIP Awards and payouts are subject to approval of the Compensation Committee or Designee. </w:t>
      </w:r>
    </w:p>
    <w:p>
      <w:pPr>
        <w:pStyle w:val="TextBody"/>
        <w:spacing w:before="0" w:after="0"/>
        <w:jc w:val="both"/>
        <w:rPr/>
      </w:pPr>
      <w:r>
        <w:rPr/>
      </w:r>
    </w:p>
    <w:p>
      <w:pPr>
        <w:pStyle w:val="TextBody"/>
        <w:spacing w:before="0" w:after="0"/>
        <w:jc w:val="both"/>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Performance Period</w:t>
      </w:r>
    </w:p>
    <w:p>
      <w:pPr>
        <w:pStyle w:val="TextBody"/>
        <w:spacing w:lineRule="auto" w:line="240" w:before="0" w:after="240"/>
        <w:jc w:val="both"/>
        <w:rPr>
          <w:rFonts w:ascii="Arial;sans-serif" w:hAnsi="Arial;sans-serif"/>
          <w:b w:val="false"/>
          <w:color w:val="000000"/>
          <w:sz w:val="22"/>
        </w:rPr>
      </w:pPr>
      <w:r>
        <w:rPr>
          <w:rFonts w:ascii="Arial;sans-serif" w:hAnsi="Arial;sans-serif"/>
          <w:b w:val="false"/>
          <w:color w:val="000000"/>
          <w:sz w:val="22"/>
        </w:rPr>
        <w:t xml:space="preserve">Following the commencement of any Performance Period or any designated fiscal period or period of service, the administrator will (a) designate the IIP Participant to receive such award, (b) select the Performance Criteria (as defined in the MIP) applicable to the Performance Period, (c) establish the performance goals (and any exclusions), and amounts of such awards, as applicable, which may be earned for such Performance Period based on the Performance Criteria, and (d) specify the relationship between Performance Criteria and the performance goals and the amounts of such awards, as applicable, to be earned by each Participant for such Performance Period. </w:t>
      </w:r>
    </w:p>
    <w:p>
      <w:pPr>
        <w:pStyle w:val="TextBody"/>
        <w:spacing w:lineRule="auto" w:line="300" w:before="90" w:after="160"/>
        <w:jc w:val="both"/>
        <w:rPr>
          <w:rFonts w:ascii="Arial;sans-serif" w:hAnsi="Arial;sans-serif"/>
          <w:b w:val="false"/>
          <w:color w:val="000000"/>
          <w:sz w:val="22"/>
        </w:rPr>
      </w:pPr>
      <w:r>
        <w:rPr>
          <w:rFonts w:ascii="Arial;sans-serif" w:hAnsi="Arial;sans-serif"/>
          <w:b w:val="false"/>
          <w:color w:val="000000"/>
          <w:sz w:val="22"/>
        </w:rPr>
        <w:t>Following the completion of the Performance Period, the administrator will certify whether and the extent to which the applicable performance goals have been achieved for such Performance Period.</w:t>
      </w:r>
    </w:p>
    <w:p>
      <w:pPr>
        <w:pStyle w:val="TextBody"/>
        <w:spacing w:lineRule="auto" w:line="240" w:before="0" w:after="0"/>
        <w:jc w:val="both"/>
        <w:rPr/>
      </w:pPr>
      <w:r>
        <w:rPr>
          <w:rFonts w:ascii="Arial;sans-serif" w:hAnsi="Arial;sans-serif"/>
          <w:b w:val="false"/>
          <w:color w:val="000000"/>
          <w:sz w:val="22"/>
        </w:rPr>
        <w:t xml:space="preserve">Notwithstanding anything to the contrary as set forth herein, as set forth in </w:t>
      </w:r>
      <w:r>
        <w:rPr>
          <w:rFonts w:ascii="Arial;sans-serif" w:hAnsi="Arial;sans-serif"/>
          <w:b w:val="false"/>
          <w:color w:val="000000"/>
          <w:sz w:val="22"/>
          <w:u w:val="single"/>
        </w:rPr>
        <w:t>Exhibit A</w:t>
      </w:r>
      <w:r>
        <w:rPr>
          <w:rFonts w:ascii="Arial;sans-serif" w:hAnsi="Arial;sans-serif"/>
          <w:b w:val="false"/>
          <w:color w:val="000000"/>
          <w:sz w:val="22"/>
        </w:rPr>
        <w:t>, the administrator will approve an initial Performance Criteria and performance goal(s) that must be achieved in order to fund any bonus payments for Participants (the “Threshold Goal”). If the Threshold Goal is not achieved, then no payments shall be payable to any IIP Participant for the applicable Performance Period. If the Threshold Goal is achieved, the bonus pool will fund at the annual operating level and in the course of determining payouts, the administrator may make performance-based adjustments.</w:t>
      </w:r>
    </w:p>
    <w:p>
      <w:pPr>
        <w:pStyle w:val="TextBody"/>
        <w:spacing w:before="0" w:after="0"/>
        <w:jc w:val="both"/>
        <w:rPr/>
      </w:pPr>
      <w:r>
        <w:rPr/>
      </w:r>
    </w:p>
    <w:p>
      <w:pPr>
        <w:pStyle w:val="TextBody"/>
        <w:spacing w:before="0" w:after="0"/>
        <w:rPr/>
      </w:pPr>
      <w:r>
        <w:rPr/>
      </w:r>
    </w:p>
    <w:p>
      <w:pPr>
        <w:pStyle w:val="TextBody"/>
        <w:rPr/>
      </w:pPr>
      <w:r>
        <w:rPr/>
      </w:r>
      <w:r>
        <w:br w:type="page"/>
      </w: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06705"/>
                <wp:effectExtent l="0" t="0" r="0" b="0"/>
                <wp:wrapNone/>
                <wp:docPr id="138" name="Frame136"/>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p>
      <w:pPr>
        <w:pStyle w:val="TextBody"/>
        <w:spacing w:lineRule="auto" w:line="240" w:before="0" w:after="0"/>
        <w:rPr>
          <w:rFonts w:ascii="Arial;sans-serif" w:hAnsi="Arial;sans-serif"/>
          <w:b/>
          <w:color w:val="FF0000"/>
          <w:sz w:val="28"/>
        </w:rPr>
      </w:pPr>
      <w:r>
        <w:rPr>
          <w:rFonts w:ascii="Arial;sans-serif" w:hAnsi="Arial;sans-serif"/>
          <w:b/>
          <w:color w:val="FF0000"/>
          <w:sz w:val="28"/>
        </w:rPr>
        <w:t>Other Conditions</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Eligibility for, or actual participation in, the IIP shall not, and is in no way intended to, create an agreement of employment for a definite term. Nothing herein shall, or is intended to, (i) obligate the Company to offer any employee participation in the IIP or any other management incentive program or similar arrangement in the future, and/or (ii) act as a modification of any employee’s existing terms and conditions of employment. Except as expressly set forth herein, the IIP shall be subject to and administered in accordance with the terms and conditions of the IIP.</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Governance</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This document is intended only as a summary of the shareholder approved IIP Plan. The Compensation Committee or Designee shall be responsible for the administration and governance of the Plan. The decisions made by the Compensation Committee or Designee shall be conclusive and binding on all IIP Participants.</w:t>
      </w:r>
    </w:p>
    <w:p>
      <w:pPr>
        <w:pStyle w:val="TextBody"/>
        <w:spacing w:before="0" w:after="0"/>
        <w:rPr/>
      </w:pPr>
      <w:r>
        <w:rPr/>
      </w:r>
    </w:p>
    <w:p>
      <w:pPr>
        <w:pStyle w:val="TextBody"/>
        <w:spacing w:before="0" w:after="0"/>
        <w:rPr/>
      </w:pPr>
      <w:r>
        <w:rPr/>
      </w:r>
    </w:p>
    <w:p>
      <w:pPr>
        <w:pStyle w:val="TextBody"/>
        <w:spacing w:lineRule="auto" w:line="240" w:before="0" w:after="0"/>
        <w:rPr>
          <w:rFonts w:ascii="Arial;sans-serif" w:hAnsi="Arial;sans-serif"/>
          <w:b/>
          <w:color w:val="FF0000"/>
          <w:sz w:val="28"/>
        </w:rPr>
      </w:pPr>
      <w:r>
        <w:rPr>
          <w:rFonts w:ascii="Arial;sans-serif" w:hAnsi="Arial;sans-serif"/>
          <w:b/>
          <w:color w:val="FF0000"/>
          <w:sz w:val="28"/>
        </w:rPr>
        <w:t>Amendment, Modification, Payments or Termination of the Plan</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 xml:space="preserve">Itron reserves the right to amend, modify, payments, or terminate the Plan at any time at its sole discretion. </w:t>
      </w:r>
    </w:p>
    <w:p>
      <w:pPr>
        <w:pStyle w:val="TextBody"/>
        <w:spacing w:before="0" w:after="0"/>
        <w:rPr/>
      </w:pPr>
      <w:r>
        <w:rPr/>
      </w:r>
    </w:p>
    <w:p>
      <w:pPr>
        <w:pStyle w:val="TextBody"/>
        <w:spacing w:before="0" w:after="160"/>
        <w:rPr/>
      </w:pPr>
      <w:r>
        <w:rPr/>
      </w:r>
      <w:r>
        <w:br w:type="page"/>
      </w: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06705"/>
                <wp:effectExtent l="0" t="0" r="0" b="0"/>
                <wp:wrapNone/>
                <wp:docPr id="139" name="Frame137"/>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p>
      <w:pPr>
        <w:pStyle w:val="TextBody"/>
        <w:spacing w:lineRule="auto" w:line="240" w:before="0" w:after="0"/>
        <w:jc w:val="center"/>
        <w:rPr>
          <w:rFonts w:ascii="Arial;sans-serif" w:hAnsi="Arial;sans-serif"/>
          <w:b/>
          <w:color w:val="FF0000"/>
          <w:sz w:val="28"/>
        </w:rPr>
      </w:pPr>
      <w:r>
        <w:rPr>
          <w:rFonts w:ascii="Arial;sans-serif" w:hAnsi="Arial;sans-serif"/>
          <w:b/>
          <w:color w:val="FF0000"/>
          <w:sz w:val="28"/>
        </w:rPr>
        <w:t>Exhibit A</w:t>
      </w:r>
    </w:p>
    <w:p>
      <w:pPr>
        <w:pStyle w:val="TextBody"/>
        <w:spacing w:before="0" w:after="0"/>
        <w:jc w:val="center"/>
        <w:rPr/>
      </w:pPr>
      <w:r>
        <w:rPr/>
      </w:r>
    </w:p>
    <w:p>
      <w:pPr>
        <w:pStyle w:val="TextBody"/>
        <w:spacing w:lineRule="auto" w:line="240" w:before="0" w:after="0"/>
        <w:jc w:val="center"/>
        <w:rPr>
          <w:rFonts w:ascii="Arial;sans-serif" w:hAnsi="Arial;sans-serif"/>
          <w:b/>
          <w:color w:val="FF0000"/>
          <w:sz w:val="28"/>
        </w:rPr>
      </w:pPr>
      <w:r>
        <w:rPr>
          <w:rFonts w:ascii="Arial;sans-serif" w:hAnsi="Arial;sans-serif"/>
          <w:b/>
          <w:color w:val="FF0000"/>
          <w:sz w:val="28"/>
        </w:rPr>
        <w:t>2022 Itron Performance Metrics</w:t>
      </w:r>
    </w:p>
    <w:p>
      <w:pPr>
        <w:pStyle w:val="TextBody"/>
        <w:spacing w:before="0" w:after="0"/>
        <w:rPr/>
      </w:pPr>
      <w:r>
        <w:rPr/>
      </w:r>
    </w:p>
    <w:p>
      <w:pPr>
        <w:pStyle w:val="TextBody"/>
        <w:spacing w:before="0" w:after="0"/>
        <w:rPr/>
      </w:pPr>
      <w:r>
        <w:rPr/>
      </w:r>
    </w:p>
    <w:p>
      <w:pPr>
        <w:pStyle w:val="TextBody"/>
        <w:spacing w:lineRule="auto" w:line="240" w:before="0" w:after="0"/>
        <w:jc w:val="both"/>
        <w:rPr/>
      </w:pPr>
      <w:r>
        <w:rPr>
          <w:rFonts w:ascii="Arial;sans-serif" w:hAnsi="Arial;sans-serif"/>
          <w:b/>
          <w:color w:val="000000"/>
          <w:sz w:val="22"/>
          <w:u w:val="single"/>
        </w:rPr>
        <w:t>Overall Plan Threshold</w:t>
      </w:r>
      <w:r>
        <w:rPr>
          <w:color w:val="000000"/>
        </w:rPr>
        <w:t xml:space="preserve"> </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Total Company Adjusted EBITDA dollar threshold must be achieved before any portion of the 2022 IIP is payable.</w:t>
      </w:r>
    </w:p>
    <w:p>
      <w:pPr>
        <w:pStyle w:val="TextBody"/>
        <w:spacing w:before="0" w:after="0"/>
        <w:rPr/>
      </w:pPr>
      <w:r>
        <w:rPr/>
      </w:r>
    </w:p>
    <w:p>
      <w:pPr>
        <w:pStyle w:val="TextBody"/>
        <w:spacing w:before="0" w:after="0"/>
        <w:rPr/>
      </w:pPr>
      <w:r>
        <w:rPr/>
      </w:r>
    </w:p>
    <w:tbl>
      <w:tblPr>
        <w:tblW w:w="7337" w:type="dxa"/>
        <w:jc w:val="left"/>
        <w:tblInd w:w="0" w:type="dxa"/>
        <w:tblCellMar>
          <w:top w:w="28" w:type="dxa"/>
          <w:left w:w="28" w:type="dxa"/>
          <w:bottom w:w="28" w:type="dxa"/>
          <w:right w:w="28" w:type="dxa"/>
        </w:tblCellMar>
      </w:tblPr>
      <w:tblGrid>
        <w:gridCol w:w="2080"/>
        <w:gridCol w:w="1830"/>
        <w:gridCol w:w="1835"/>
        <w:gridCol w:w="466"/>
        <w:gridCol w:w="466"/>
        <w:gridCol w:w="660"/>
      </w:tblGrid>
      <w:tr>
        <w:trPr/>
        <w:tc>
          <w:tcPr>
            <w:tcW w:w="2080"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top w:val="single" w:sz="4" w:space="0" w:color="000000"/>
              <w:left w:val="single" w:sz="4" w:space="0" w:color="000000"/>
            </w:tcBorders>
            <w:shd w:fill="000000" w:val="clear"/>
            <w:tcMar>
              <w:top w:w="30" w:type="dxa"/>
              <w:bottom w:w="0" w:type="dxa"/>
              <w:right w:w="0" w:type="dxa"/>
            </w:tcMar>
            <w:vAlign w:val="center"/>
          </w:tcPr>
          <w:p>
            <w:pPr>
              <w:pStyle w:val="TableContents"/>
              <w:spacing w:lineRule="auto" w:line="300" w:before="0" w:after="283"/>
              <w:jc w:val="center"/>
              <w:rPr>
                <w:rFonts w:ascii="Arial;sans-serif" w:hAnsi="Arial;sans-serif"/>
                <w:b/>
                <w:color w:val="FFFFFF"/>
                <w:sz w:val="19"/>
              </w:rPr>
            </w:pPr>
            <w:r>
              <w:rPr>
                <w:rFonts w:ascii="Arial;sans-serif" w:hAnsi="Arial;sans-serif"/>
                <w:b/>
                <w:color w:val="FFFFFF"/>
                <w:sz w:val="19"/>
              </w:rPr>
              <w:t>Performance Objectives</w:t>
            </w:r>
          </w:p>
        </w:tc>
        <w:tc>
          <w:tcPr>
            <w:tcW w:w="1592" w:type="dxa"/>
            <w:gridSpan w:val="3"/>
            <w:tcBorders>
              <w:top w:val="single" w:sz="4" w:space="0" w:color="000000"/>
              <w:left w:val="single" w:sz="4" w:space="0" w:color="000000"/>
              <w:bottom w:val="single" w:sz="4" w:space="0" w:color="000000"/>
              <w:right w:val="single" w:sz="4" w:space="0" w:color="000000"/>
            </w:tcBorders>
            <w:shd w:fill="000000" w:val="clear"/>
            <w:tcMar>
              <w:top w:w="30" w:type="dxa"/>
              <w:bottom w:w="30" w:type="dxa"/>
            </w:tcMar>
            <w:vAlign w:val="center"/>
          </w:tcPr>
          <w:p>
            <w:pPr>
              <w:pStyle w:val="TableContents"/>
              <w:spacing w:lineRule="auto" w:line="300" w:before="0" w:after="283"/>
              <w:jc w:val="center"/>
              <w:rPr>
                <w:rFonts w:ascii="Arial;sans-serif" w:hAnsi="Arial;sans-serif"/>
                <w:b/>
                <w:color w:val="FFFFFF"/>
                <w:sz w:val="19"/>
              </w:rPr>
            </w:pPr>
            <w:r>
              <w:rPr>
                <w:rFonts w:ascii="Arial;sans-serif" w:hAnsi="Arial;sans-serif"/>
                <w:b/>
                <w:color w:val="FFFFFF"/>
                <w:sz w:val="19"/>
              </w:rPr>
              <w:t>Weighting</w:t>
            </w:r>
          </w:p>
        </w:tc>
      </w:tr>
      <w:tr>
        <w:trPr/>
        <w:tc>
          <w:tcPr>
            <w:tcW w:w="7337" w:type="dxa"/>
            <w:gridSpan w:val="6"/>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Payout % Based on Financial Objective Attainments</w:t>
            </w:r>
          </w:p>
        </w:tc>
      </w:tr>
      <w:tr>
        <w:trPr/>
        <w:tc>
          <w:tcPr>
            <w:tcW w:w="574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All Segments, Total Company, Consolidated Adjusted EBITDA $</w:t>
            </w:r>
          </w:p>
        </w:tc>
        <w:tc>
          <w:tcPr>
            <w:tcW w:w="159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60%</w:t>
            </w:r>
          </w:p>
        </w:tc>
      </w:tr>
      <w:tr>
        <w:trPr/>
        <w:tc>
          <w:tcPr>
            <w:tcW w:w="574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All Segments, Total Company, Consolidated Revenue $</w:t>
            </w:r>
          </w:p>
        </w:tc>
        <w:tc>
          <w:tcPr>
            <w:tcW w:w="159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30%</w:t>
            </w:r>
          </w:p>
        </w:tc>
      </w:tr>
      <w:tr>
        <w:trPr/>
        <w:tc>
          <w:tcPr>
            <w:tcW w:w="5745" w:type="dxa"/>
            <w:gridSpan w:val="3"/>
            <w:tcBorders>
              <w:top w:val="single" w:sz="4" w:space="0" w:color="000000"/>
              <w:left w:val="single" w:sz="4"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All Segments, Total Company, Free Cash Flow</w:t>
            </w:r>
          </w:p>
        </w:tc>
        <w:tc>
          <w:tcPr>
            <w:tcW w:w="1592"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5745" w:type="dxa"/>
            <w:gridSpan w:val="3"/>
            <w:tcBorders>
              <w:top w:val="single" w:sz="4" w:space="0" w:color="000000"/>
              <w:left w:val="single" w:sz="4" w:space="0" w:color="000000"/>
              <w:bottom w:val="single" w:sz="4" w:space="0" w:color="000000"/>
            </w:tcBorders>
            <w:shd w:fill="D9D9D9" w:val="clear"/>
            <w:tcMar>
              <w:top w:w="30" w:type="dxa"/>
              <w:left w:w="75" w:type="dxa"/>
              <w:bottom w:w="30" w:type="dxa"/>
              <w:right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TOTAL</w:t>
            </w:r>
          </w:p>
        </w:tc>
        <w:tc>
          <w:tcPr>
            <w:tcW w:w="1592"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spacing w:lineRule="auto" w:line="300" w:before="0" w:after="283"/>
              <w:jc w:val="center"/>
              <w:rPr>
                <w:rFonts w:ascii="Arial;sans-serif" w:hAnsi="Arial;sans-serif"/>
                <w:b/>
                <w:color w:val="000000"/>
                <w:sz w:val="20"/>
              </w:rPr>
            </w:pPr>
            <w:r>
              <w:rPr>
                <w:rFonts w:ascii="Arial;sans-serif" w:hAnsi="Arial;sans-serif"/>
                <w:b/>
                <w:color w:val="000000"/>
                <w:sz w:val="20"/>
              </w:rPr>
              <w:t>100%</w:t>
            </w:r>
          </w:p>
        </w:tc>
      </w:tr>
    </w:tbl>
    <w:p>
      <w:pPr>
        <w:pStyle w:val="TextBody"/>
        <w:spacing w:before="0" w:after="0"/>
        <w:rPr/>
      </w:pPr>
      <w:r>
        <w:rPr/>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Final determination of the IIP Award and its payout are subject to the approval of the Compensation Committee or Designee.</w:t>
      </w:r>
    </w:p>
    <w:p>
      <w:pPr>
        <w:pStyle w:val="TextBody"/>
        <w:spacing w:before="0" w:after="0"/>
        <w:rPr/>
      </w:pPr>
      <w:r>
        <w:rPr/>
      </w:r>
    </w:p>
    <w:p>
      <w:pPr>
        <w:pStyle w:val="TextBody"/>
        <w:spacing w:lineRule="auto" w:line="240" w:before="0" w:after="0"/>
        <w:rPr>
          <w:rFonts w:ascii="Arial;sans-serif" w:hAnsi="Arial;sans-serif"/>
          <w:b/>
          <w:color w:val="000000"/>
          <w:sz w:val="22"/>
          <w:u w:val="single"/>
        </w:rPr>
      </w:pPr>
      <w:r>
        <w:rPr>
          <w:rFonts w:ascii="Arial;sans-serif" w:hAnsi="Arial;sans-serif"/>
          <w:b/>
          <w:color w:val="000000"/>
          <w:sz w:val="22"/>
          <w:u w:val="single"/>
        </w:rPr>
        <w:t>Threshold Goal</w:t>
      </w:r>
    </w:p>
    <w:p>
      <w:pPr>
        <w:pStyle w:val="TextBody"/>
        <w:spacing w:before="0" w:after="0"/>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“Threshold” goal for 2022 is 70% of EBITDA dollars at metric performance. Notwithstanding the foregoing, the Threshold Goal described above must be achieved in order for any payments to be made to Participants under the Plan.</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Final determination of the IIP Award and its payout are subject to the approval of the Compensation Committee or Designee.</w:t>
      </w:r>
    </w:p>
    <w:p>
      <w:pPr>
        <w:pStyle w:val="TextBody"/>
        <w:spacing w:before="0" w:after="0"/>
        <w:jc w:val="center"/>
        <w:rPr/>
      </w:pPr>
      <w:r>
        <w:rPr/>
      </w:r>
    </w:p>
    <w:p>
      <w:pPr>
        <w:pStyle w:val="TextBody"/>
        <w:spacing w:before="0" w:after="160"/>
        <w:rPr/>
      </w:pPr>
      <w:r>
        <w:rPr/>
      </w:r>
      <w:r>
        <w:br w:type="page"/>
      </w:r>
    </w:p>
    <w:p>
      <w:pPr>
        <w:pStyle w:val="TextBody"/>
        <w:spacing w:lineRule="auto" w:line="276" w:before="0" w:after="0"/>
        <w:rPr>
          <w:rFonts w:ascii="Arial;sans-serif" w:hAnsi="Arial;sans-serif"/>
          <w:b/>
          <w:color w:val="000000"/>
          <w:sz w:val="22"/>
        </w:rPr>
      </w:pPr>
      <w:r>
        <w:rPr>
          <w:rFonts w:ascii="Arial;sans-serif" w:hAnsi="Arial;sans-serif"/>
          <w:b/>
          <w:color w:val="000000"/>
          <w:sz w:val="22"/>
        </w:rPr>
        <w:t>2</w:t>
      </w:r>
      <w:r>
        <w:rPr>
          <w:rFonts w:ascii="Arial;sans-serif" w:hAnsi="Arial;sans-serif"/>
          <w:b/>
          <w:color w:val="000000"/>
          <w:sz w:val="22"/>
        </w:rPr>
        <w:t>022 ITRON INCENTIVE PLAN (IIP)</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06705"/>
                <wp:effectExtent l="0" t="0" r="0" b="0"/>
                <wp:wrapNone/>
                <wp:docPr id="140" name="Frame138"/>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p>
      <w:pPr>
        <w:pStyle w:val="TextBody"/>
        <w:spacing w:lineRule="auto" w:line="240" w:before="0" w:after="0"/>
        <w:jc w:val="center"/>
        <w:rPr>
          <w:rFonts w:ascii="Arial;sans-serif" w:hAnsi="Arial;sans-serif"/>
          <w:b/>
          <w:color w:val="FF0000"/>
          <w:sz w:val="28"/>
        </w:rPr>
      </w:pPr>
      <w:r>
        <w:rPr>
          <w:rFonts w:ascii="Arial;sans-serif" w:hAnsi="Arial;sans-serif"/>
          <w:b/>
          <w:color w:val="FF0000"/>
          <w:sz w:val="28"/>
        </w:rPr>
        <w:t>Exhibit B</w:t>
      </w:r>
    </w:p>
    <w:p>
      <w:pPr>
        <w:pStyle w:val="TextBody"/>
        <w:spacing w:before="0" w:after="0"/>
        <w:jc w:val="center"/>
        <w:rPr/>
      </w:pPr>
      <w:r>
        <w:rPr/>
      </w:r>
    </w:p>
    <w:p>
      <w:pPr>
        <w:pStyle w:val="TextBody"/>
        <w:spacing w:lineRule="auto" w:line="240" w:before="0" w:after="0"/>
        <w:jc w:val="center"/>
        <w:rPr>
          <w:rFonts w:ascii="Arial;sans-serif" w:hAnsi="Arial;sans-serif"/>
          <w:b/>
          <w:color w:val="FF0000"/>
          <w:sz w:val="28"/>
        </w:rPr>
      </w:pPr>
      <w:r>
        <w:rPr>
          <w:rFonts w:ascii="Arial;sans-serif" w:hAnsi="Arial;sans-serif"/>
          <w:b/>
          <w:color w:val="FF0000"/>
          <w:sz w:val="28"/>
        </w:rPr>
        <w:t>Definitions</w:t>
      </w:r>
    </w:p>
    <w:p>
      <w:pPr>
        <w:pStyle w:val="TextBody"/>
        <w:spacing w:before="0" w:after="0"/>
        <w:jc w:val="center"/>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 xml:space="preserve">PERFORMANCE PERIOD </w:t>
      </w:r>
    </w:p>
    <w:p>
      <w:pPr>
        <w:pStyle w:val="TextBody"/>
        <w:spacing w:lineRule="auto" w:line="240" w:before="0" w:after="0"/>
        <w:ind w:left="0" w:right="0" w:firstLine="720"/>
        <w:jc w:val="both"/>
        <w:rPr>
          <w:rFonts w:ascii="Arial;sans-serif" w:hAnsi="Arial;sans-serif"/>
          <w:b w:val="false"/>
          <w:color w:val="000000"/>
          <w:sz w:val="22"/>
        </w:rPr>
      </w:pPr>
      <w:r>
        <w:rPr>
          <w:rFonts w:ascii="Arial;sans-serif" w:hAnsi="Arial;sans-serif"/>
          <w:b w:val="false"/>
          <w:color w:val="000000"/>
          <w:sz w:val="22"/>
        </w:rPr>
        <w:t>January 1, 2022 through December 31, 2022</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THRESHOLD</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Overall Plan Threshold</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A financial threshold of Total Company Adjusted EBITDA dollar attainment is pre-determined for the Financial Objective Performance Period. This established threshold must be achieved in order for any of the Performance Objectives of the Plan to be earned.</w:t>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FINANCIAL OBJECTIVES</w:t>
      </w:r>
    </w:p>
    <w:p>
      <w:pPr>
        <w:pStyle w:val="TextBody"/>
        <w:spacing w:before="0" w:after="0"/>
        <w:jc w:val="both"/>
        <w:rPr/>
      </w:pPr>
      <w:r>
        <w:rPr/>
      </w:r>
    </w:p>
    <w:p>
      <w:pPr>
        <w:pStyle w:val="TextBody"/>
        <w:spacing w:lineRule="auto" w:line="240" w:before="0" w:after="0"/>
        <w:rPr>
          <w:rFonts w:ascii="Arial;sans-serif" w:hAnsi="Arial;sans-serif"/>
          <w:b/>
          <w:color w:val="000000"/>
          <w:sz w:val="22"/>
        </w:rPr>
      </w:pPr>
      <w:r>
        <w:rPr>
          <w:rFonts w:ascii="Arial;sans-serif" w:hAnsi="Arial;sans-serif"/>
          <w:b/>
          <w:color w:val="000000"/>
          <w:sz w:val="22"/>
        </w:rPr>
        <w:t xml:space="preserve">Total Company Consolidated Adjusted EBITDA </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Total Company Adjusted EBITDA (GAAP Net Income or loss minus interest income, plus interest expense, plus depreciation and amortization, plus restructuring expense, plus acquisition-related expenses plus goodwill impairment and excluding income tax provisions or benefits).</w:t>
      </w:r>
    </w:p>
    <w:p>
      <w:pPr>
        <w:pStyle w:val="TextBody"/>
        <w:spacing w:before="0" w:after="0"/>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Total Company Consolidated Revenue</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Total Company Consolidated Revenues as recognized in accordance with U.S. generally accepted accounting principles (US GAAP).</w:t>
      </w:r>
    </w:p>
    <w:p>
      <w:pPr>
        <w:pStyle w:val="TextBody"/>
        <w:spacing w:before="0" w:after="0"/>
        <w:jc w:val="both"/>
        <w:rPr/>
      </w:pPr>
      <w:r>
        <w:rPr/>
      </w:r>
    </w:p>
    <w:p>
      <w:pPr>
        <w:pStyle w:val="TextBody"/>
        <w:spacing w:lineRule="auto" w:line="240" w:before="0" w:after="0"/>
        <w:jc w:val="both"/>
        <w:rPr/>
      </w:pPr>
      <w:r>
        <w:rPr>
          <w:color w:val="000000"/>
        </w:rPr>
        <w:t>    </w:t>
      </w:r>
      <w:r>
        <w:rPr>
          <w:rFonts w:ascii="Arial;sans-serif" w:hAnsi="Arial;sans-serif"/>
          <w:b/>
          <w:color w:val="000000"/>
          <w:sz w:val="22"/>
        </w:rPr>
        <w:t>Total Company Free Cash Flow</w:t>
      </w:r>
    </w:p>
    <w:p>
      <w:pPr>
        <w:pStyle w:val="TextBody"/>
        <w:spacing w:lineRule="auto" w:line="240" w:before="0" w:after="0"/>
        <w:rPr>
          <w:rFonts w:ascii="Arial;sans-serif" w:hAnsi="Arial;sans-serif"/>
          <w:b w:val="false"/>
          <w:color w:val="000000"/>
          <w:sz w:val="22"/>
        </w:rPr>
      </w:pPr>
      <w:r>
        <w:rPr>
          <w:rFonts w:ascii="Arial;sans-serif" w:hAnsi="Arial;sans-serif"/>
          <w:b w:val="false"/>
          <w:color w:val="000000"/>
          <w:sz w:val="22"/>
        </w:rPr>
        <w:t>Total Company Free Cash Flow is defined as GAAP Operating Cash Flow minus CAPEX spend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Arial;sans-serif" w:hAnsi="Arial;sans-serif"/>
          <w:b/>
          <w:color w:val="000000"/>
          <w:sz w:val="22"/>
          <w:u w:val="single"/>
        </w:rPr>
      </w:pPr>
      <w:r>
        <w:rPr>
          <w:rFonts w:ascii="Arial;sans-serif" w:hAnsi="Arial;sans-serif"/>
          <w:b/>
          <w:color w:val="000000"/>
          <w:sz w:val="22"/>
          <w:u w:val="single"/>
        </w:rPr>
        <w:t>PERFORMANCE OBJECTIVES</w:t>
      </w:r>
    </w:p>
    <w:p>
      <w:pPr>
        <w:pStyle w:val="TextBody"/>
        <w:spacing w:before="0" w:after="0"/>
        <w:jc w:val="both"/>
        <w:rPr/>
      </w:pPr>
      <w:r>
        <w:rPr/>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The elements of Financial Objectives are collectively referred to as the Performance Objectives.</w:t>
      </w:r>
    </w:p>
    <w:p>
      <w:pPr>
        <w:pStyle w:val="TextBody"/>
        <w:spacing w:before="0" w:after="0"/>
        <w:rPr/>
      </w:pPr>
      <w:r>
        <w:rPr/>
      </w:r>
    </w:p>
    <w:p>
      <w:pPr>
        <w:pStyle w:val="TextBody"/>
        <w:spacing w:lineRule="auto" w:line="240" w:before="0" w:after="0"/>
        <w:rPr>
          <w:rFonts w:ascii="Arial;sans-serif" w:hAnsi="Arial;sans-serif"/>
          <w:b/>
          <w:color w:val="000000"/>
          <w:sz w:val="22"/>
          <w:u w:val="single"/>
        </w:rPr>
      </w:pPr>
      <w:r>
        <w:rPr>
          <w:rFonts w:ascii="Arial;sans-serif" w:hAnsi="Arial;sans-serif"/>
          <w:b/>
          <w:color w:val="000000"/>
          <w:sz w:val="22"/>
          <w:u w:val="single"/>
        </w:rPr>
        <w:t>OTHER</w:t>
      </w:r>
    </w:p>
    <w:p>
      <w:pPr>
        <w:pStyle w:val="TextBody"/>
        <w:spacing w:before="0" w:after="0"/>
        <w:rPr/>
      </w:pPr>
      <w:r>
        <w:rPr/>
      </w:r>
    </w:p>
    <w:p>
      <w:pPr>
        <w:pStyle w:val="TextBody"/>
        <w:spacing w:lineRule="auto" w:line="240" w:before="0" w:after="0"/>
        <w:jc w:val="both"/>
        <w:rPr>
          <w:rFonts w:ascii="Arial;sans-serif" w:hAnsi="Arial;sans-serif"/>
          <w:b/>
          <w:color w:val="000000"/>
          <w:sz w:val="22"/>
        </w:rPr>
      </w:pPr>
      <w:r>
        <w:rPr>
          <w:rFonts w:ascii="Arial;sans-serif" w:hAnsi="Arial;sans-serif"/>
          <w:b/>
          <w:color w:val="000000"/>
          <w:sz w:val="22"/>
        </w:rPr>
        <w:t>Individual Performance Factor (IPF)</w:t>
      </w:r>
    </w:p>
    <w:p>
      <w:pPr>
        <w:pStyle w:val="TextBody"/>
        <w:spacing w:lineRule="auto" w:line="240" w:before="0" w:after="0"/>
        <w:jc w:val="both"/>
        <w:rPr>
          <w:rFonts w:ascii="Arial;sans-serif" w:hAnsi="Arial;sans-serif"/>
          <w:b w:val="false"/>
          <w:color w:val="000000"/>
          <w:sz w:val="22"/>
        </w:rPr>
      </w:pPr>
      <w:r>
        <w:rPr>
          <w:rFonts w:ascii="Arial;sans-serif" w:hAnsi="Arial;sans-serif"/>
          <w:b w:val="false"/>
          <w:color w:val="000000"/>
          <w:sz w:val="22"/>
        </w:rPr>
        <w:t>An annual assessment of the Participant’s performance by the Participant’s manager. The Individual Performance Factor is applied to the calculated Performance Objectives award result and will vary by each participant based on their individual performance. The IPF can range from zero (0) to one point five (1.5).</w:t>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21.1</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06705"/>
                <wp:effectExtent l="0" t="0" r="0" b="0"/>
                <wp:wrapNone/>
                <wp:docPr id="141" name="Frame139"/>
                <a:graphic xmlns:a="http://schemas.openxmlformats.org/drawingml/2006/main">
                  <a:graphicData uri="http://schemas.microsoft.com/office/word/2010/wordprocessingShape">
                    <wps:wsp>
                      <wps:cNvSpPr txBox="1"/>
                      <wps:spPr>
                        <a:xfrm>
                          <a:off x="0" y="0"/>
                          <a:ext cx="6480175" cy="30670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 of 7</w:t>
                      </w:r>
                    </w:p>
                    <w:p>
                      <w:pPr>
                        <w:pStyle w:val="TextBody"/>
                        <w:spacing w:lineRule="auto" w:line="240" w:before="0" w:after="0"/>
                        <w:rPr>
                          <w:rFonts w:ascii="Arial;sans-serif" w:hAnsi="Arial;sans-serif"/>
                          <w:b/>
                          <w:color w:val="FF0000"/>
                          <w:sz w:val="20"/>
                        </w:rPr>
                      </w:pPr>
                      <w:r>
                        <w:rPr>
                          <w:rFonts w:ascii="Arial;sans-serif" w:hAnsi="Arial;sans-serif"/>
                          <w:b/>
                          <w:color w:val="FF0000"/>
                          <w:sz w:val="20"/>
                        </w:rPr>
                        <w:t>CONFIDENTIAL</w:t>
                      </w:r>
                    </w:p>
                  </w:txbxContent>
                </v:textbox>
              </v:rect>
            </w:pict>
          </mc:Fallback>
        </mc:AlternateContent>
      </w:r>
    </w:p>
    <w:tbl>
      <w:tblPr>
        <w:tblW w:w="8070" w:type="dxa"/>
        <w:jc w:val="center"/>
        <w:tblInd w:w="0" w:type="dxa"/>
        <w:tblCellMar>
          <w:top w:w="28" w:type="dxa"/>
          <w:left w:w="28" w:type="dxa"/>
          <w:bottom w:w="28" w:type="dxa"/>
          <w:right w:w="28" w:type="dxa"/>
        </w:tblCellMar>
      </w:tblPr>
      <w:tblGrid>
        <w:gridCol w:w="1456"/>
        <w:gridCol w:w="1282"/>
        <w:gridCol w:w="1282"/>
        <w:gridCol w:w="1182"/>
        <w:gridCol w:w="1182"/>
        <w:gridCol w:w="1686"/>
      </w:tblGrid>
      <w:tr>
        <w:trPr/>
        <w:tc>
          <w:tcPr>
            <w:tcW w:w="1456"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r>
      <w:tr>
        <w:trPr/>
        <w:tc>
          <w:tcPr>
            <w:tcW w:w="8070"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SUBSIDIARIES OF THE REGISTRANT AT DECEMBER 31, 2021</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Itron, Inc. Domestic Subsidiaries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State of Incorporation</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International, LLC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Networked Solutions, Inc.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SSN Holdings, LLC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Global LLC dba Itron Global Trading</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 Cautivo Insurance, Inc.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Itron, Inc. International Subsidiaries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 or Organization</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Australasia Pty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Austria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Belgium SA</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Belgium</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Canada, Inc.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Spring Networks International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Cayman Island</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Solutions (Suzhou) Co.,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Systems (Suzhou) Co.,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Comverge International,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Cyprus</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Czech Republic s.r.o.</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Czech Republic</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Denmark ApS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Denmark</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Itron France S.A.S – Dubai U.A.E. Branch Office</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Dubai</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Asais S.A.S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Asais Conseil S.A.S.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France S.A.S.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Holding France S.A.S.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France</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Holding Germany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Zähler &amp; Systemtechnik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Unterstutzungskasse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Allmess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Unterstutzungseinrichtung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SEWA GmbH</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Germany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Ganz Meter Company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Labs Kft</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Hungary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India Private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Solutions India Private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Spring Networks India LLP</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PT Mecoindo (J.V.)</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Indonesia</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Management Services Ireland,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Temetra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SELC Group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SELC Ireland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Ireland</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Italia SpA</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Italy</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Japan Co.,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Solutions Luxembourg SARL</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Global SARL</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Luxembourg</w:t>
            </w:r>
          </w:p>
        </w:tc>
      </w:tr>
      <w:tr>
        <w:trPr/>
        <w:tc>
          <w:tcPr>
            <w:tcW w:w="40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Metertek Sdn Bhd (J.V. 100% indirectly owned)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tbl>
      <w:tblPr>
        <w:tblW w:w="8505" w:type="dxa"/>
        <w:jc w:val="center"/>
        <w:tblInd w:w="0" w:type="dxa"/>
        <w:tblCellMar>
          <w:top w:w="28" w:type="dxa"/>
          <w:left w:w="28" w:type="dxa"/>
          <w:bottom w:w="28" w:type="dxa"/>
          <w:right w:w="28" w:type="dxa"/>
        </w:tblCellMar>
      </w:tblPr>
      <w:tblGrid>
        <w:gridCol w:w="1613"/>
        <w:gridCol w:w="1419"/>
        <w:gridCol w:w="1423"/>
        <w:gridCol w:w="1184"/>
        <w:gridCol w:w="1184"/>
        <w:gridCol w:w="1682"/>
      </w:tblGrid>
      <w:tr>
        <w:trPr/>
        <w:tc>
          <w:tcPr>
            <w:tcW w:w="1613"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Itron, Inc. International Subsidiaries</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 of Incorporation or Organization</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 Spring Networks Malaysia Sdn. Bhd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Malaysia</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Servicios, S.A. de C.V.</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Mexico</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Nederland B.V.</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Netherlands</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New Zealand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Zealand</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Polska SP ZOO</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Poland</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Portugal, Unipessoal, LDA.</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Imobiliaria, Unipessoal, LDA.</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Sistemas de Medição Lda.</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Measurement and Systems (Proprietary) Limited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Republic of South Africa</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LLC</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Belgium (Rwandan Branch Office)</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Rwanda</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Systems Singapore Pte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Spain SLU</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Spain</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Sweden AB</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Sweden</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Solutions (Thailand) Co.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Thailand</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Ukraine</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Ukrgas Meters Company (J.V. Majority)</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Metering Solutions UK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Itron Development UK Ltd.</w:t>
            </w:r>
          </w:p>
        </w:tc>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44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16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23.1</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160"/>
        <w:jc w:val="right"/>
        <w:rPr/>
      </w:pPr>
      <w:r>
        <w:rPr/>
      </w:r>
    </w:p>
    <w:p>
      <w:pPr>
        <w:pStyle w:val="TextBody"/>
        <w:spacing w:before="0" w:after="160"/>
        <w:jc w:val="center"/>
        <w:rPr/>
      </w:pPr>
      <w:r>
        <w:rPr/>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Registration Statement Nos. 333-253986, 333-40356, 333-89966, 333-97571, 333-110703, 333-115987, 333-125461, 333-134749, 333-143048, 333-166601, 333-181685, 333-193970, 333-195633, 333-218086, 333-222480, and 333-226020 on Form S-8 of our reports dated February 28, 2022, relating to the financial statements of Itron, Inc. and the effectiveness of the Itron, Inc.’s internal control over financial reporting appearing in this Annual Report on Form 10-K for the year ended December 31, 2021.</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 DELOITTE &amp; TOUCHE LLP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spacing w:lineRule="auto" w:line="288" w:before="0" w:after="16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 xml:space="preserve">xhibit 31.1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Thomas L. Deitrich,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Itron,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80" w:after="283"/>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0" w:after="0"/>
        <w:jc w:val="both"/>
        <w:rPr>
          <w:color w:val="000000"/>
        </w:rPr>
      </w:pPr>
      <w:r>
        <w:rPr>
          <w:color w:val="000000"/>
        </w:rPr>
        <w:t> </w:t>
      </w:r>
    </w:p>
    <w:tbl>
      <w:tblPr>
        <w:tblW w:w="4076" w:type="dxa"/>
        <w:jc w:val="left"/>
        <w:tblInd w:w="0" w:type="dxa"/>
        <w:tblCellMar>
          <w:top w:w="28" w:type="dxa"/>
          <w:left w:w="28" w:type="dxa"/>
          <w:bottom w:w="28" w:type="dxa"/>
          <w:right w:w="28" w:type="dxa"/>
        </w:tblCellMar>
      </w:tblPr>
      <w:tblGrid>
        <w:gridCol w:w="151"/>
        <w:gridCol w:w="134"/>
        <w:gridCol w:w="135"/>
        <w:gridCol w:w="109"/>
        <w:gridCol w:w="109"/>
        <w:gridCol w:w="109"/>
        <w:gridCol w:w="516"/>
        <w:gridCol w:w="516"/>
        <w:gridCol w:w="516"/>
        <w:gridCol w:w="516"/>
        <w:gridCol w:w="516"/>
        <w:gridCol w:w="749"/>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32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 xml:space="preserve">xhibit 31.2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Joan S. Hooper, certify that: </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Itron, Inc.;</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lineRule="auto" w:line="288" w:before="180" w:after="283"/>
        <w:jc w:val="both"/>
        <w:rPr>
          <w:color w:val="000000"/>
        </w:rPr>
      </w:pPr>
      <w:r>
        <w:rPr>
          <w:color w:val="000000"/>
        </w:rPr>
        <w:t> </w:t>
      </w:r>
    </w:p>
    <w:p>
      <w:pPr>
        <w:pStyle w:val="TextBody"/>
        <w:spacing w:lineRule="auto" w:line="288" w:before="0" w:after="0"/>
        <w:jc w:val="right"/>
        <w:rPr>
          <w:color w:val="000000"/>
        </w:rPr>
      </w:pPr>
      <w:r>
        <w:rPr>
          <w:color w:val="000000"/>
        </w:rPr>
        <w:t> </w:t>
      </w:r>
    </w:p>
    <w:tbl>
      <w:tblPr>
        <w:tblW w:w="5066" w:type="dxa"/>
        <w:jc w:val="right"/>
        <w:tblInd w:w="0" w:type="dxa"/>
        <w:tblCellMar>
          <w:top w:w="28" w:type="dxa"/>
          <w:left w:w="28" w:type="dxa"/>
          <w:bottom w:w="28" w:type="dxa"/>
          <w:right w:w="28" w:type="dxa"/>
        </w:tblCellMar>
      </w:tblPr>
      <w:tblGrid>
        <w:gridCol w:w="151"/>
        <w:gridCol w:w="134"/>
        <w:gridCol w:w="135"/>
        <w:gridCol w:w="109"/>
        <w:gridCol w:w="109"/>
        <w:gridCol w:w="109"/>
        <w:gridCol w:w="669"/>
        <w:gridCol w:w="669"/>
        <w:gridCol w:w="669"/>
        <w:gridCol w:w="669"/>
        <w:gridCol w:w="669"/>
        <w:gridCol w:w="974"/>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ITRON, INC.</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319"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1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r>
    </w:tbl>
    <w:p>
      <w:pPr>
        <w:pStyle w:val="TextBody"/>
        <w:spacing w:lineRule="auto" w:line="288" w:before="18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2022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180" w:after="283"/>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32.1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180" w:after="283"/>
        <w:jc w:val="right"/>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906 OF THE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SARBANES-OXLEY ACT OF 2002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certification set forth below is being submitted in connection with the Annual Report of Itron, Inc. (the Company) on Form 10-K for the year ended December 31, 2021 (the Report) for the purpose of complying with Rule 13a-14(b) or Rule 15d-14(b) of the Securities Exchange Act of 1934 and Section 1350 of Chapter 63 of Title 18 of the United States Code. </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Thomas L. Deitrich, the Chief Executive Officer and Joan S. Hooper, the Chief Financial Officer of the Company, each certifies that to the best of his or her knowledge: </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fully complies with the requirements of Section 13(a) or 15(d) of the Securities Exchange Act of 1934; and </w:t>
      </w:r>
    </w:p>
    <w:p>
      <w:pPr>
        <w:pStyle w:val="TextBody"/>
        <w:spacing w:lineRule="auto" w:line="288" w:before="0" w:after="0"/>
        <w:jc w:val="both"/>
        <w:rPr>
          <w:color w:val="000000"/>
        </w:rPr>
      </w:pPr>
      <w:r>
        <w:rPr>
          <w:color w:val="000000"/>
        </w:rPr>
        <w:t> </w:t>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spacing w:before="0" w:after="0"/>
        <w:ind w:left="0" w:right="0" w:hanging="450"/>
        <w:rPr/>
      </w:pPr>
      <w:r>
        <w:rPr/>
      </w:r>
    </w:p>
    <w:p>
      <w:pPr>
        <w:pStyle w:val="TextBody"/>
        <w:spacing w:lineRule="auto" w:line="288" w:before="0" w:after="0"/>
        <w:rPr>
          <w:color w:val="000000"/>
        </w:rPr>
      </w:pPr>
      <w:r>
        <w:rPr>
          <w:color w:val="000000"/>
        </w:rPr>
        <w:t> </w:t>
      </w:r>
    </w:p>
    <w:tbl>
      <w:tblPr>
        <w:tblW w:w="4335" w:type="dxa"/>
        <w:jc w:val="left"/>
        <w:tblInd w:w="0" w:type="dxa"/>
        <w:tblCellMar>
          <w:top w:w="28" w:type="dxa"/>
          <w:left w:w="28" w:type="dxa"/>
          <w:bottom w:w="28" w:type="dxa"/>
          <w:right w:w="28" w:type="dxa"/>
        </w:tblCellMar>
      </w:tblPr>
      <w:tblGrid>
        <w:gridCol w:w="1387"/>
        <w:gridCol w:w="1219"/>
        <w:gridCol w:w="1729"/>
      </w:tblGrid>
      <w:tr>
        <w:trPr/>
        <w:tc>
          <w:tcPr>
            <w:tcW w:w="1387"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729" w:type="dxa"/>
            <w:tcBorders/>
            <w:shd w:fill="auto" w:val="cle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THOMAS L. DEITRICH</w:t>
            </w:r>
          </w:p>
        </w:tc>
      </w:tr>
      <w:tr>
        <w:trPr/>
        <w:tc>
          <w:tcPr>
            <w:tcW w:w="4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Thomas L. Deitrich</w:t>
              <w:br/>
              <w:t>President and Chief Executive Officer</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28, 2022</w:t>
            </w:r>
          </w:p>
        </w:tc>
      </w:tr>
      <w:tr>
        <w:trPr/>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JOAN S. HOOPER</w:t>
            </w:r>
          </w:p>
        </w:tc>
      </w:tr>
      <w:tr>
        <w:trPr/>
        <w:tc>
          <w:tcPr>
            <w:tcW w:w="4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Joan S. Hooper</w:t>
              <w:br/>
              <w:t>Senior Vice President and Chief Financial Officer</w:t>
            </w:r>
          </w:p>
        </w:tc>
      </w:tr>
      <w:tr>
        <w:trPr/>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February 28, 2022</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780571/000119312517286810/d457477dex21.htm" TargetMode="External"/><Relationship Id="rId4" Type="http://schemas.openxmlformats.org/officeDocument/2006/relationships/hyperlink" Target="http://www.sec.gov/Archives/edgar/data/780571/000103221003000460/dex31.txt" TargetMode="External"/><Relationship Id="rId5" Type="http://schemas.openxmlformats.org/officeDocument/2006/relationships/hyperlink" Target="http://www.sec.gov/Archives/edgar/data/780571/000103221003000460/dex31.txt" TargetMode="External"/><Relationship Id="rId6" Type="http://schemas.openxmlformats.org/officeDocument/2006/relationships/hyperlink" Target="http://www.sec.gov/Archives/edgar/data/780571/000103221003000460/dex31.txt" TargetMode="External"/><Relationship Id="rId7" Type="http://schemas.openxmlformats.org/officeDocument/2006/relationships/hyperlink" Target="https://www.sec.gov/Archives/edgar/data/780571/000119312522055079/d315685dex32.htm" TargetMode="External"/><Relationship Id="rId8" Type="http://schemas.openxmlformats.org/officeDocument/2006/relationships/hyperlink" Target="http://www.sec.gov/Archives/edgar/data/780571/000078057111000007/itriex-428811.htm" TargetMode="External"/><Relationship Id="rId9" Type="http://schemas.openxmlformats.org/officeDocument/2006/relationships/hyperlink" Target="http://www.sec.gov/Archives/edgar/data/780571/000078057115000024/itriex-426232015.htm" TargetMode="External"/><Relationship Id="rId10" Type="http://schemas.openxmlformats.org/officeDocument/2006/relationships/hyperlink" Target="http://www.sec.gov/Archives/edgar/data/780571/000078057115000024/itriex-426232015.htm" TargetMode="External"/><Relationship Id="rId11" Type="http://schemas.openxmlformats.org/officeDocument/2006/relationships/hyperlink" Target="http://www.sec.gov/Archives/edgar/data/780571/000078057115000024/itriex-426232015.htm" TargetMode="External"/><Relationship Id="rId12" Type="http://schemas.openxmlformats.org/officeDocument/2006/relationships/hyperlink" Target="http://www.sec.gov/Archives/edgar/data/780571/000119312517377716/d455839dex41.htm" TargetMode="External"/><Relationship Id="rId13" Type="http://schemas.openxmlformats.org/officeDocument/2006/relationships/hyperlink" Target="http://www.sec.gov/Archives/edgar/data/780571/000078057118000004/ex41secondamendedandrestat.htm" TargetMode="External"/><Relationship Id="rId14" Type="http://schemas.openxmlformats.org/officeDocument/2006/relationships/hyperlink" Target="http://www.sec.gov/Archives/edgar/data/780571/000115752319002091/a52116724ex4_1.htm" TargetMode="External"/><Relationship Id="rId15" Type="http://schemas.openxmlformats.org/officeDocument/2006/relationships/hyperlink" Target="http://www.sec.gov/Archives/edgar/data/780571/000078057120000025/itriex-4109302020.htm" TargetMode="External"/><Relationship Id="rId16" Type="http://schemas.openxmlformats.org/officeDocument/2006/relationships/hyperlink" Target="https://www.sec.gov/Archives/edgar/data/780571/000119312521079864/d143502dex103.htm" TargetMode="External"/><Relationship Id="rId17" Type="http://schemas.openxmlformats.org/officeDocument/2006/relationships/hyperlink" Target="https://www.sec.gov/Archives/edgar/data/780571/000119312521079864/d143502dex103.htm" TargetMode="External"/><Relationship Id="rId18" Type="http://schemas.openxmlformats.org/officeDocument/2006/relationships/hyperlink" Target="https://www.sec.gov/Archives/edgar/data/780571/000119312521079864/d143502dex103.htm" TargetMode="External"/><Relationship Id="rId19" Type="http://schemas.openxmlformats.org/officeDocument/2006/relationships/hyperlink" Target="https://www.sec.gov/Archives/edgar/data/780571/000119312521079864/d143502dex103.htm" TargetMode="External"/><Relationship Id="rId20" Type="http://schemas.openxmlformats.org/officeDocument/2006/relationships/hyperlink" Target="https://www.sec.gov/Archives/edgar/data/780571/000119312521079864/d143502dex103.htm" TargetMode="External"/><Relationship Id="rId21" Type="http://schemas.openxmlformats.org/officeDocument/2006/relationships/hyperlink" Target="https://www.sec.gov/Archives/edgar/data/780571/000119312521079864/d143502dex103.htm" TargetMode="External"/><Relationship Id="rId22" Type="http://schemas.openxmlformats.org/officeDocument/2006/relationships/hyperlink" Target="https://www.sec.gov/Archives/edgar/data/780571/000119312521079864/d143502dex103.htm" TargetMode="External"/><Relationship Id="rId23" Type="http://schemas.openxmlformats.org/officeDocument/2006/relationships/hyperlink" Target="https://www.sec.gov/Archives/edgar/data/780571/000119312521079864/d143502dex103.htm" TargetMode="External"/><Relationship Id="rId24" Type="http://schemas.openxmlformats.org/officeDocument/2006/relationships/hyperlink" Target="https://www.sec.gov/Archives/edgar/data/780571/000119312521079864/d143502dex103.htm" TargetMode="External"/><Relationship Id="rId25" Type="http://schemas.openxmlformats.org/officeDocument/2006/relationships/hyperlink" Target="https://www.sec.gov/Archives/edgar/data/780571/000119312521079864/d143502dex41.htm" TargetMode="External"/><Relationship Id="rId26" Type="http://schemas.openxmlformats.org/officeDocument/2006/relationships/hyperlink" Target="https://www.sec.gov/Archives/edgar/data/780571/000119312521079864/d143502dex41.htm" TargetMode="External"/><Relationship Id="rId27" Type="http://schemas.openxmlformats.org/officeDocument/2006/relationships/hyperlink" Target="https://www.sec.gov/Archives/edgar/data/780571/000119312521079864/d143502dex101.htm" TargetMode="External"/><Relationship Id="rId28" Type="http://schemas.openxmlformats.org/officeDocument/2006/relationships/hyperlink" Target="http://www.sec.gov/Archives/edgar/data/780571/000119312521079864/d143502dex102.htm" TargetMode="External"/><Relationship Id="rId29" Type="http://schemas.openxmlformats.org/officeDocument/2006/relationships/hyperlink" Target="http://www.sec.gov/Archives/edgar/data/780571/000078057121000009/itriex-4712312020exdescrip.htm" TargetMode="External"/><Relationship Id="rId30" Type="http://schemas.openxmlformats.org/officeDocument/2006/relationships/hyperlink" Target="http://www.sec.gov/Archives/edgar/data/780571/000078057113000004/itriex-101123112.htm" TargetMode="External"/><Relationship Id="rId31" Type="http://schemas.openxmlformats.org/officeDocument/2006/relationships/hyperlink" Target="http://www.sec.gov/Archives/edgar/data/780571/000078057113000004/itriex-101123112.htm" TargetMode="External"/><Relationship Id="rId32" Type="http://schemas.openxmlformats.org/officeDocument/2006/relationships/hyperlink" Target="http://www.sec.gov/Archives/edgar/data/780571/000078057113000004/itriex-101123112.htm" TargetMode="External"/><Relationship Id="rId33" Type="http://schemas.openxmlformats.org/officeDocument/2006/relationships/hyperlink" Target="http://www.sec.gov/Archives/edgar/data/780571/000078057100000013/0000780571-00-000013.txt" TargetMode="External"/><Relationship Id="rId34" Type="http://schemas.openxmlformats.org/officeDocument/2006/relationships/hyperlink" Target="http://www.sec.gov/Archives/edgar/data/780571/000078057100000013/0000780571-00-000013.txt" TargetMode="External"/><Relationship Id="rId35" Type="http://schemas.openxmlformats.org/officeDocument/2006/relationships/hyperlink" Target="http://www.sec.gov/Archives/edgar/data/780571/000078057100000013/0000780571-00-000013.txt" TargetMode="External"/><Relationship Id="rId36" Type="http://schemas.openxmlformats.org/officeDocument/2006/relationships/hyperlink" Target="http://www.sec.gov/Archives/edgar/data/780571/000119312514097231/d658410ddef14a.htm" TargetMode="External"/><Relationship Id="rId37" Type="http://schemas.openxmlformats.org/officeDocument/2006/relationships/hyperlink" Target="http://www.sec.gov/Archives/edgar/data/780571/000119312514097231/d658410ddef14a.htm" TargetMode="External"/><Relationship Id="rId38" Type="http://schemas.openxmlformats.org/officeDocument/2006/relationships/hyperlink" Target="http://www.sec.gov/Archives/edgar/data/780571/000119312514097231/d658410ddef14a.htm" TargetMode="External"/><Relationship Id="rId39" Type="http://schemas.openxmlformats.org/officeDocument/2006/relationships/hyperlink" Target="http://www.sec.gov/Archives/edgar/data/780571/000119312517095570/d291730ddef14a.htm" TargetMode="External"/><Relationship Id="rId40" Type="http://schemas.openxmlformats.org/officeDocument/2006/relationships/hyperlink" Target="http://www.sec.gov/Archives/edgar/data/780571/000078057114000027/itriex-10660314.htm" TargetMode="External"/><Relationship Id="rId41" Type="http://schemas.openxmlformats.org/officeDocument/2006/relationships/hyperlink" Target="http://www.sec.gov/Archives/edgar/data/780571/000078057108000042/ex_10-4.htm" TargetMode="External"/><Relationship Id="rId42" Type="http://schemas.openxmlformats.org/officeDocument/2006/relationships/hyperlink" Target="http://www.sec.gov/Archives/edgar/data/780571/000078057108000042/ex_10-4.htm" TargetMode="External"/><Relationship Id="rId43" Type="http://schemas.openxmlformats.org/officeDocument/2006/relationships/hyperlink" Target="http://www.sec.gov/Archives/edgar/data/780571/000078057108000042/ex_10-4.htm" TargetMode="External"/><Relationship Id="rId44" Type="http://schemas.openxmlformats.org/officeDocument/2006/relationships/hyperlink" Target="http://www.sec.gov/Archives/edgar/data/780571/000078057110000002/exhibit_10-6.htm" TargetMode="External"/><Relationship Id="rId45" Type="http://schemas.openxmlformats.org/officeDocument/2006/relationships/hyperlink" Target="http://www.sec.gov/Archives/edgar/data/780571/000078057110000002/exhibit_10-6.htm" TargetMode="External"/><Relationship Id="rId46" Type="http://schemas.openxmlformats.org/officeDocument/2006/relationships/hyperlink" Target="http://www.sec.gov/Archives/edgar/data/780571/000078057110000002/exhibit_10-6.htm" TargetMode="External"/><Relationship Id="rId47" Type="http://schemas.openxmlformats.org/officeDocument/2006/relationships/hyperlink" Target="http://www.sec.gov/Archives/edgar/data/780571/000078057110000002/exhibit_10-1.htm" TargetMode="External"/><Relationship Id="rId48" Type="http://schemas.openxmlformats.org/officeDocument/2006/relationships/hyperlink" Target="http://www.sec.gov/Archives/edgar/data/780571/000078057110000002/exhibit_10-1.htm" TargetMode="External"/><Relationship Id="rId49" Type="http://schemas.openxmlformats.org/officeDocument/2006/relationships/hyperlink" Target="http://www.sec.gov/Archives/edgar/data/780571/000078057110000002/exhibit_10-1.htm" TargetMode="External"/><Relationship Id="rId50" Type="http://schemas.openxmlformats.org/officeDocument/2006/relationships/hyperlink" Target="http://www.sec.gov/Archives/edgar/data/780571/000078057110000002/exhibit_10-1.htm" TargetMode="External"/><Relationship Id="rId51" Type="http://schemas.openxmlformats.org/officeDocument/2006/relationships/hyperlink" Target="http://www.sec.gov/Archives/edgar/data/780571/000078057110000002/exhibit_10-1.htm" TargetMode="External"/><Relationship Id="rId52" Type="http://schemas.openxmlformats.org/officeDocument/2006/relationships/hyperlink" Target="http://www.sec.gov/Archives/edgar/data/780571/000078057110000002/exhibit_10-2.htm" TargetMode="External"/><Relationship Id="rId53" Type="http://schemas.openxmlformats.org/officeDocument/2006/relationships/hyperlink" Target="http://www.sec.gov/Archives/edgar/data/780571/000078057110000002/exhibit_10-2.htm" TargetMode="External"/><Relationship Id="rId54" Type="http://schemas.openxmlformats.org/officeDocument/2006/relationships/hyperlink" Target="http://www.sec.gov/Archives/edgar/data/780571/000078057110000002/exhibit_10-2.htm" TargetMode="External"/><Relationship Id="rId55" Type="http://schemas.openxmlformats.org/officeDocument/2006/relationships/hyperlink" Target="http://www.sec.gov/Archives/edgar/data/780571/000078057110000002/exhibit_10-2.htm" TargetMode="External"/><Relationship Id="rId56" Type="http://schemas.openxmlformats.org/officeDocument/2006/relationships/hyperlink" Target="http://www.sec.gov/Archives/edgar/data/780571/000078057110000002/exhibit_10-2.htm" TargetMode="External"/><Relationship Id="rId57" Type="http://schemas.openxmlformats.org/officeDocument/2006/relationships/hyperlink" Target="http://www.sec.gov/Archives/edgar/data/780571/000078057110000002/exhibit_10-3.htm" TargetMode="External"/><Relationship Id="rId58" Type="http://schemas.openxmlformats.org/officeDocument/2006/relationships/hyperlink" Target="http://www.sec.gov/Archives/edgar/data/780571/000078057110000002/exhibit_10-3.htm" TargetMode="External"/><Relationship Id="rId59" Type="http://schemas.openxmlformats.org/officeDocument/2006/relationships/hyperlink" Target="http://www.sec.gov/Archives/edgar/data/780571/000078057110000002/exhibit_10-3.htm" TargetMode="External"/><Relationship Id="rId60" Type="http://schemas.openxmlformats.org/officeDocument/2006/relationships/hyperlink" Target="http://www.sec.gov/Archives/edgar/data/780571/000078057110000002/exhibit_10-4.htm" TargetMode="External"/><Relationship Id="rId61" Type="http://schemas.openxmlformats.org/officeDocument/2006/relationships/hyperlink" Target="http://www.sec.gov/Archives/edgar/data/780571/000078057110000002/exhibit_10-4.htm" TargetMode="External"/><Relationship Id="rId62" Type="http://schemas.openxmlformats.org/officeDocument/2006/relationships/hyperlink" Target="http://www.sec.gov/Archives/edgar/data/780571/000078057110000002/exhibit_10-4.htm" TargetMode="External"/><Relationship Id="rId63" Type="http://schemas.openxmlformats.org/officeDocument/2006/relationships/hyperlink" Target="http://www.sec.gov/Archives/edgar/data/780571/000078057110000002/exhibit_10-5.htm" TargetMode="External"/><Relationship Id="rId64" Type="http://schemas.openxmlformats.org/officeDocument/2006/relationships/hyperlink" Target="http://www.sec.gov/Archives/edgar/data/780571/000078057110000002/exhibit_10-5.htm" TargetMode="External"/><Relationship Id="rId65" Type="http://schemas.openxmlformats.org/officeDocument/2006/relationships/hyperlink" Target="http://www.sec.gov/Archives/edgar/data/780571/000078057110000002/exhibit_10-5.htm" TargetMode="External"/><Relationship Id="rId66" Type="http://schemas.openxmlformats.org/officeDocument/2006/relationships/hyperlink" Target="http://www.sec.gov/Archives/edgar/data/780571/000078057114000027/itriex-10463014.htm" TargetMode="External"/><Relationship Id="rId67" Type="http://schemas.openxmlformats.org/officeDocument/2006/relationships/hyperlink" Target="http://www.sec.gov/Archives/edgar/data/780571/000078057114000027/itriex-10463014.htm" TargetMode="External"/><Relationship Id="rId68" Type="http://schemas.openxmlformats.org/officeDocument/2006/relationships/hyperlink" Target="http://www.sec.gov/Archives/edgar/data/780571/000078057114000027/itriex-10463014.htm" TargetMode="External"/><Relationship Id="rId69" Type="http://schemas.openxmlformats.org/officeDocument/2006/relationships/hyperlink" Target="http://www.sec.gov/Archives/edgar/data/780571/000119312511045950/dex1019.htm" TargetMode="External"/><Relationship Id="rId70" Type="http://schemas.openxmlformats.org/officeDocument/2006/relationships/hyperlink" Target="http://www.sec.gov/Archives/edgar/data/780571/000119312511045950/dex1019.htm" TargetMode="External"/><Relationship Id="rId71" Type="http://schemas.openxmlformats.org/officeDocument/2006/relationships/hyperlink" Target="http://www.sec.gov/Archives/edgar/data/780571/000119312511045950/dex1019.htm" TargetMode="External"/><Relationship Id="rId72" Type="http://schemas.openxmlformats.org/officeDocument/2006/relationships/hyperlink" Target="http://www.sec.gov/Archives/edgar/data/780571/000078057114000027/itriex-10563014.htm" TargetMode="External"/><Relationship Id="rId73" Type="http://schemas.openxmlformats.org/officeDocument/2006/relationships/hyperlink" Target="http://www.sec.gov/Archives/edgar/data/780571/000078057114000027/itriex-10563014.htm" TargetMode="External"/><Relationship Id="rId74" Type="http://schemas.openxmlformats.org/officeDocument/2006/relationships/hyperlink" Target="http://www.sec.gov/Archives/edgar/data/780571/000078057114000027/itriex-10563014.htm" TargetMode="External"/><Relationship Id="rId75" Type="http://schemas.openxmlformats.org/officeDocument/2006/relationships/hyperlink" Target="http://www.sec.gov/Archives/edgar/data/780571/000078057114000027/itriex-10263014.htm" TargetMode="External"/><Relationship Id="rId76" Type="http://schemas.openxmlformats.org/officeDocument/2006/relationships/hyperlink" Target="http://www.sec.gov/Archives/edgar/data/780571/000078057114000027/itriex-10263014.htm" TargetMode="External"/><Relationship Id="rId77" Type="http://schemas.openxmlformats.org/officeDocument/2006/relationships/hyperlink" Target="http://www.sec.gov/Archives/edgar/data/780571/000078057114000027/itriex-10263014.htm" TargetMode="External"/><Relationship Id="rId78" Type="http://schemas.openxmlformats.org/officeDocument/2006/relationships/hyperlink" Target="http://www.sec.gov/Archives/edgar/data/780571/000078057114000027/itriex-10363014.htm" TargetMode="External"/><Relationship Id="rId79" Type="http://schemas.openxmlformats.org/officeDocument/2006/relationships/hyperlink" Target="http://www.sec.gov/Archives/edgar/data/780571/000078057114000027/itriex-10363014.htm" TargetMode="External"/><Relationship Id="rId80" Type="http://schemas.openxmlformats.org/officeDocument/2006/relationships/hyperlink" Target="http://www.sec.gov/Archives/edgar/data/780571/000078057114000027/itriex-10363014.htm" TargetMode="External"/><Relationship Id="rId81" Type="http://schemas.openxmlformats.org/officeDocument/2006/relationships/hyperlink" Target="http://www.sec.gov/Archives/edgar/data/780571/000078057113000017/itriex-10333113.htm" TargetMode="External"/><Relationship Id="rId82" Type="http://schemas.openxmlformats.org/officeDocument/2006/relationships/hyperlink" Target="http://www.sec.gov/Archives/edgar/data/780571/000078057113000017/itriex-10333113.htm" TargetMode="External"/><Relationship Id="rId83" Type="http://schemas.openxmlformats.org/officeDocument/2006/relationships/hyperlink" Target="http://www.sec.gov/Archives/edgar/data/780571/000078057113000017/itriex-10333113.htm" TargetMode="External"/><Relationship Id="rId84" Type="http://schemas.openxmlformats.org/officeDocument/2006/relationships/hyperlink" Target="http://www.sec.gov/Archives/edgar/data/780571/000078057114000027/itriex-10163014.htm" TargetMode="External"/><Relationship Id="rId85" Type="http://schemas.openxmlformats.org/officeDocument/2006/relationships/hyperlink" Target="http://www.sec.gov/Archives/edgar/data/780571/000078057114000027/itriex-10163014.htm" TargetMode="External"/><Relationship Id="rId86" Type="http://schemas.openxmlformats.org/officeDocument/2006/relationships/hyperlink" Target="http://www.sec.gov/Archives/edgar/data/780571/000078057114000027/itriex-10163014.htm" TargetMode="External"/><Relationship Id="rId87" Type="http://schemas.openxmlformats.org/officeDocument/2006/relationships/hyperlink" Target="http://www.sec.gov/Archives/edgar/data/780571/000078057116000072/itriex-10109302016.htm" TargetMode="External"/><Relationship Id="rId88" Type="http://schemas.openxmlformats.org/officeDocument/2006/relationships/hyperlink" Target="http://www.sec.gov/Archives/edgar/data/780571/000078057116000072/itriex-10109302016.htm" TargetMode="External"/><Relationship Id="rId89" Type="http://schemas.openxmlformats.org/officeDocument/2006/relationships/hyperlink" Target="http://www.sec.gov/Archives/edgar/data/780571/000078057116000072/itriex-10109302016.htm" TargetMode="External"/><Relationship Id="rId90" Type="http://schemas.openxmlformats.org/officeDocument/2006/relationships/hyperlink" Target="http://www.sec.gov/Archives/edgar/data/780571/000078057121000009/itriex-102120201231exespp.htm" TargetMode="External"/><Relationship Id="rId91" Type="http://schemas.openxmlformats.org/officeDocument/2006/relationships/hyperlink" Target="http://www.sec.gov/Archives/edgar/data/780571/000078057121000009/itriex-102120201231exespp.htm" TargetMode="External"/><Relationship Id="rId92" Type="http://schemas.openxmlformats.org/officeDocument/2006/relationships/hyperlink" Target="http://www.sec.gov/Archives/edgar/data/780571/000078057121000009/itriex-102120201231exespp.htm" TargetMode="External"/><Relationship Id="rId93" Type="http://schemas.openxmlformats.org/officeDocument/2006/relationships/hyperlink" Target="http://www.sec.gov/Archives/edgar/data/780571/000078057115000037/itriex101cooperationagreem.htm" TargetMode="External"/><Relationship Id="rId94" Type="http://schemas.openxmlformats.org/officeDocument/2006/relationships/hyperlink" Target="http://www.sec.gov/Archives/edgar/data/780571/000078057116000072/itriex-10209302016.htm" TargetMode="External"/><Relationship Id="rId95" Type="http://schemas.openxmlformats.org/officeDocument/2006/relationships/hyperlink" Target="http://www.sec.gov/Archives/edgar/data/780571/000078057116000072/itriex-10209302016.htm" TargetMode="External"/><Relationship Id="rId96" Type="http://schemas.openxmlformats.org/officeDocument/2006/relationships/hyperlink" Target="http://www.sec.gov/Archives/edgar/data/780571/000078057116000072/itriex-10209302016.htm" TargetMode="External"/><Relationship Id="rId97" Type="http://schemas.openxmlformats.org/officeDocument/2006/relationships/hyperlink" Target="http://www.sec.gov/Archives/edgar/data/780571/000078057117000031/itriex-1011112017.htm" TargetMode="External"/><Relationship Id="rId98" Type="http://schemas.openxmlformats.org/officeDocument/2006/relationships/hyperlink" Target="http://www.sec.gov/Archives/edgar/data/780571/000078057117000010/itriex-10103312017isonsoop.htm" TargetMode="External"/><Relationship Id="rId99" Type="http://schemas.openxmlformats.org/officeDocument/2006/relationships/hyperlink" Target="http://www.sec.gov/Archives/edgar/data/780571/000078057117000010/itriex-10203312017ltprsuag.htm" TargetMode="External"/><Relationship Id="rId100" Type="http://schemas.openxmlformats.org/officeDocument/2006/relationships/hyperlink" Target="http://www.sec.gov/Archives/edgar/data/780571/000078057117000010/itriex-10303312017rsuagree.htm" TargetMode="External"/><Relationship Id="rId101" Type="http://schemas.openxmlformats.org/officeDocument/2006/relationships/hyperlink" Target="http://www.sec.gov/Archives/edgar/data/780571/000078057119000007/itriex-1032f2018stocko.htm" TargetMode="External"/><Relationship Id="rId102" Type="http://schemas.openxmlformats.org/officeDocument/2006/relationships/hyperlink" Target="http://www.sec.gov/Archives/edgar/data/780571/000078057119000007/itriex-1033f2018psu.htm" TargetMode="External"/><Relationship Id="rId103" Type="http://schemas.openxmlformats.org/officeDocument/2006/relationships/hyperlink" Target="http://www.sec.gov/Archives/edgar/data/780571/000078057119000007/itriex-1034f20181xyear.htm" TargetMode="External"/><Relationship Id="rId104" Type="http://schemas.openxmlformats.org/officeDocument/2006/relationships/hyperlink" Target="http://www.sec.gov/Archives/edgar/data/780571/000078057119000007/itriex-1035f20182xyear.htm" TargetMode="External"/><Relationship Id="rId105" Type="http://schemas.openxmlformats.org/officeDocument/2006/relationships/hyperlink" Target="http://www.sec.gov/Archives/edgar/data/780571/000078057119000007/itriex-1036f20183xyear.htm" TargetMode="External"/><Relationship Id="rId106" Type="http://schemas.openxmlformats.org/officeDocument/2006/relationships/hyperlink" Target="http://www.sec.gov/Archives/edgar/data/780571/000115752319001549/a52016210ex10_1.htm" TargetMode="External"/><Relationship Id="rId107" Type="http://schemas.openxmlformats.org/officeDocument/2006/relationships/hyperlink" Target="http://www.sec.gov/Archives/edgar/data/780571/000078057120000004/itriex-103912312019.htm" TargetMode="External"/><Relationship Id="rId108" Type="http://schemas.openxmlformats.org/officeDocument/2006/relationships/hyperlink" Target="http://www.sec.gov/Archives/edgar/data/780571/000078057121000009/itriex-103620201231exrsuaw.htm" TargetMode="External"/><Relationship Id="rId109" Type="http://schemas.openxmlformats.org/officeDocument/2006/relationships/image" Target="media/image2.jpeg"/><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70256</Words>
  <CharactersWithSpaces>460895</CharactersWithSpaces>
  <Paragraphs>5935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