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July 31, 2025, Itron, Inc. issued a press release announcing its financial results for the three and six months ended June 30, 2025. A copy of this press release and accompanying financial statements are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17"/>
                <w:szCs w:val="17"/>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July 31, 2025.*</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2024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3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43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r>
    </w:tbl>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603" w:right="379" w:bottom="1440" w:gutter="0" w:footer="0" w:header="0"/>
        </w:sectPr>
      </w:pPr>
    </w:p>
    <w:bookmarkStart w:id="3" w:name="page4"/>
    <w:bookmarkEnd w:id="3"/>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Second Quarter 2025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LIBERTY LAKE, Wash., July 31, 2025 (GLOBE NEWSWIRE) -- Itron, Inc. (NASDAQ: ITRI), which is innovating the way utilities and cities manage energy and water, announced today financial results for its second quarter ended June 30, 2025. Key results for the quarter include (compared with the second quarter of 2024):</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$607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Gross profit of $224 million, increased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net income attributable to Itron, Inc. of $68 million, increased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diluted earnings per share of $1.47, increased $0.37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Non-GAAP diluted EPS of $1.62, increased $0.41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EBITDA of $90 million, increased 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Free cash flow of $91 million, increased $46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"Itron delivered solid second quarter results driving quarterly record levels of margin, profitability, and cash flow," said Tom Deitrich, Itron’s president and CEO. "The market environment remains dynamic with long-term growth, against a backdrop of near-term macroeconomic uncertainty and trade policy volatility. We remain focused on supporting our customers as they adapt to balance many competing priorities and weigh complex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Second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Total second quarter revenue of $607 million compared to $609 million in the prior year. This comparison reflects catch-up of previously constrained revenue that occurred during Q2'24.</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Device Solutions revenue decreased 5%, or 8% in constant currency, due to lower legacy electricity product sales related to portfolio optimization, partially offset by increased water sales.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Networked Solutions revenue decreased 1% when compared to the second quarter of 2024 due to no constrained revenue catch-up as well as the timing of shipments and project deployments.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Outcomes revenue increased 9%, due to increased recurring revenue and software licenses.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Gross Margin</w:t>
      </w:r>
    </w:p>
    <w:p>
      <w:pPr>
        <w:spacing w:after="0" w:line="14" w:lineRule="exact"/>
        <w:rPr>
          <w:sz w:val="20"/>
          <w:szCs w:val="20"/>
          <w:color w:val="auto"/>
        </w:rPr>
      </w:pPr>
    </w:p>
    <w:p>
      <w:pPr>
        <w:ind w:right="380"/>
        <w:spacing w:after="0" w:line="332" w:lineRule="auto"/>
        <w:rPr>
          <w:sz w:val="20"/>
          <w:szCs w:val="20"/>
          <w:color w:val="auto"/>
        </w:rPr>
      </w:pPr>
      <w:r>
        <w:rPr>
          <w:rFonts w:ascii="Times New Roman" w:cs="Times New Roman" w:eastAsia="Times New Roman" w:hAnsi="Times New Roman"/>
          <w:sz w:val="22"/>
          <w:szCs w:val="22"/>
          <w:color w:val="auto"/>
        </w:rPr>
        <w:t xml:space="preserve">Itron's second quarter gross margin of 36.9% increased 230 basis points from the prior year due to product and customer mix. </w:t>
      </w:r>
      <w:r>
        <w:rPr>
          <w:rFonts w:ascii="Times New Roman" w:cs="Times New Roman" w:eastAsia="Times New Roman" w:hAnsi="Times New Roman"/>
          <w:sz w:val="22"/>
          <w:szCs w:val="22"/>
          <w:u w:val="single" w:color="auto"/>
          <w:color w:val="auto"/>
        </w:rPr>
        <w:t>Operating Expenses and Operating Income</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GAAP operating expenses of $147 million increased $1 million from the prior year. Non-GAAP operating expenses of $141 million were unchanged compared to the prior year.</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GAAP operating income of $76 million was $12 million higher than the prior year and non-GAAP operating income of $82 million was $13 million higher than the prior year. Both increases were due to higher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income attributable to Itron, Inc. for the quarter was $68 million, or $1.47 per diluted share, compared with net income attributable to Itron, Inc. of $51 million, or $1.10 per diluted share in 2024. The increase was driven by higher GAAP operating income and higher interest income.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Non-GAAP net income attributable to Itron, Inc., which excludes the expenses associated with amortization of intangible assets, amortization of debt placement fees, restructuring, (gain) loss on sale of business, acquisition and integration related expenses, and the tax effect of excluding these expenses, was $75 million, or $1.62 per diluted share, compared with $56 million, or $1.21 per diluted share, in 2024. The increase was due to higher non-GAAP operating income and higher interest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cash provided by operating activities was $97 million in the second quarter compared with $52 million in the prior year. Free cash flow was $91 million in the second quarter compared with $45 million in the prior year. The increase in free cash flow was primarily due to higher earnings, higher interest income, and decreased tax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ectPr>
          <w:pgSz w:w="11900" w:h="16856" w:orient="portrait"/>
          <w:cols w:equalWidth="0" w:num="1">
            <w:col w:w="11240"/>
          </w:cols>
          <w:pgMar w:left="320" w:top="108" w:right="339" w:bottom="0" w:gutter="0" w:footer="0" w:header="0"/>
        </w:sectPr>
      </w:pPr>
    </w:p>
    <w:bookmarkStart w:id="4" w:name="page5"/>
    <w:bookmarkEnd w:id="4"/>
    <w:p>
      <w:pPr>
        <w:spacing w:after="0" w:line="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Total backlog at quarter end was $4.5 billion compared with $4.1 billion in the prior year. Bookings in the quarter totaled $454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Q3 2025 Outlook and Full Year 2025 Outlook Update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Outlook for the third quarter of 2025 is as follows: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$570 and $585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$1.45 and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Itron's outlook for the full year 2025 has been updated as follows: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$2.35 to $2.4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$6.00 to $6.20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Itron will host a conference call to discuss the financial results contained in this release at 10 a.m. EDT on July 31, 2025. Interested parties may listen to the conference call on a live webcast. The webcast, along with a supplemental presentation, may be accessed from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 xml:space="preserve">. Participants should access the webcast 10 minutes prior to the start of the call. A webcast replay of the conference call will be available through Aug. 7, 2025 and may be accessed on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1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Itron is transforming how the world manages energy, water and city services. Our trusted intelligent infrastructure solutions help utilities and cities improve efficiency, build resilience and deliver safe, reliable and affordable service. With edge intelligence, we connect people, data insights and devices so communities can better manage the essential resources they rely on to live and thrive. Join us as we create a more resourceful world: www.itron.com</w:t>
      </w:r>
    </w:p>
    <w:p>
      <w:pPr>
        <w:spacing w:after="0" w:line="18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2024 and other reports on file with the Securities and Exchange Commission. Itron undertakes no obligation to update or revise any information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w:t>
      </w:r>
    </w:p>
    <w:p>
      <w:pPr>
        <w:sectPr>
          <w:pgSz w:w="11900" w:h="16904" w:orient="portrait"/>
          <w:cols w:equalWidth="0" w:num="1">
            <w:col w:w="11240"/>
          </w:cols>
          <w:pgMar w:left="320" w:top="112" w:right="339" w:bottom="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(512) 560-1172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Means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jc w:val="center"/>
        <w:ind w:right="940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242-8448 </w:t>
      </w:r>
      <w:r>
        <w:rPr>
          <w:rFonts w:ascii="Times New Roman" w:cs="Times New Roman" w:eastAsia="Times New Roman" w:hAnsi="Times New Roman"/>
          <w:sz w:val="21"/>
          <w:szCs w:val="21"/>
          <w:u w:val="single" w:color="auto"/>
          <w:color w:val="auto"/>
        </w:rPr>
        <w:t>Investors@itron.com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https://www.linkedin.com/company/itroninc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X: https://twitter.com/ItronInc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Newsroom: https://itron.com/newsroom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Blog: https://itron.com/blog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25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60" w:type="dxa"/>
            <w:vAlign w:val="bottom"/>
          </w:tcPr>
          <w:p>
            <w:pPr>
              <w:spacing w:after="0"/>
              <w:rPr>
                <w:sz w:val="24"/>
                <w:szCs w:val="24"/>
                <w:color w:val="auto"/>
              </w:rPr>
            </w:pPr>
          </w:p>
        </w:tc>
        <w:tc>
          <w:tcPr>
            <w:tcW w:w="244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27"/>
        </w:trPr>
        <w:tc>
          <w:tcPr>
            <w:tcW w:w="5980" w:type="dxa"/>
            <w:vAlign w:val="bottom"/>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980" w:type="dxa"/>
            <w:vAlign w:val="bottom"/>
          </w:tcPr>
          <w:p>
            <w:pPr>
              <w:spacing w:after="0"/>
              <w:rPr>
                <w:sz w:val="24"/>
                <w:szCs w:val="24"/>
                <w:color w:val="auto"/>
              </w:rPr>
            </w:pPr>
          </w:p>
        </w:tc>
        <w:tc>
          <w:tcPr>
            <w:tcW w:w="1620" w:type="dxa"/>
            <w:vAlign w:val="bottom"/>
            <w:tcBorders>
              <w:bottom w:val="single" w:sz="8" w:color="auto"/>
            </w:tcBorders>
            <w:gridSpan w:val="2"/>
          </w:tcPr>
          <w:p>
            <w:pPr>
              <w:jc w:val="center"/>
              <w:ind w:left="712"/>
              <w:spacing w:after="0"/>
              <w:rPr>
                <w:sz w:val="20"/>
                <w:szCs w:val="20"/>
                <w:color w:val="auto"/>
              </w:rPr>
            </w:pPr>
            <w:r>
              <w:rPr>
                <w:rFonts w:ascii="Times New Roman" w:cs="Times New Roman" w:eastAsia="Times New Roman" w:hAnsi="Times New Roman"/>
                <w:sz w:val="22"/>
                <w:szCs w:val="22"/>
                <w:b w:val="1"/>
                <w:bCs w:val="1"/>
                <w:color w:val="auto"/>
                <w:w w:val="97"/>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0" w:type="dxa"/>
            <w:vAlign w:val="bottom"/>
          </w:tcPr>
          <w:p>
            <w:pPr>
              <w:spacing w:after="0"/>
              <w:rPr>
                <w:sz w:val="1"/>
                <w:szCs w:val="1"/>
                <w:color w:val="auto"/>
              </w:rPr>
            </w:pPr>
          </w:p>
        </w:tc>
      </w:tr>
      <w:tr>
        <w:trPr>
          <w:trHeight w:val="264"/>
        </w:trPr>
        <w:tc>
          <w:tcPr>
            <w:tcW w:w="5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Revenues</w:t>
            </w: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5"/>
              </w:rPr>
              <w:t>2024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48"/>
        </w:trPr>
        <w:tc>
          <w:tcPr>
            <w:tcW w:w="598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Product revenues</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  517,184</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5"/>
              </w:rPr>
              <w:t>532,907</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1,040,325</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1,060,729</w:t>
            </w:r>
          </w:p>
        </w:tc>
        <w:tc>
          <w:tcPr>
            <w:tcW w:w="0" w:type="dxa"/>
            <w:vAlign w:val="bottom"/>
          </w:tcPr>
          <w:p>
            <w:pPr>
              <w:spacing w:after="0"/>
              <w:rPr>
                <w:sz w:val="1"/>
                <w:szCs w:val="1"/>
                <w:color w:val="auto"/>
              </w:rPr>
            </w:pPr>
          </w:p>
        </w:tc>
      </w:tr>
      <w:tr>
        <w:trPr>
          <w:trHeight w:val="282"/>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Service revenues</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89,577</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76,162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173,587</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151,782</w:t>
            </w:r>
          </w:p>
        </w:tc>
        <w:tc>
          <w:tcPr>
            <w:tcW w:w="0" w:type="dxa"/>
            <w:vAlign w:val="bottom"/>
          </w:tcPr>
          <w:p>
            <w:pPr>
              <w:spacing w:after="0"/>
              <w:rPr>
                <w:sz w:val="1"/>
                <w:szCs w:val="1"/>
                <w:color w:val="auto"/>
              </w:rPr>
            </w:pPr>
          </w:p>
        </w:tc>
      </w:tr>
      <w:tr>
        <w:trPr>
          <w:trHeight w:val="251"/>
        </w:trPr>
        <w:tc>
          <w:tcPr>
            <w:tcW w:w="598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12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606,761</w:t>
            </w:r>
          </w:p>
        </w:tc>
        <w:tc>
          <w:tcPr>
            <w:tcW w:w="420" w:type="dxa"/>
            <w:vAlign w:val="bottom"/>
          </w:tcPr>
          <w:p>
            <w:pPr>
              <w:spacing w:after="0"/>
              <w:rPr>
                <w:sz w:val="21"/>
                <w:szCs w:val="21"/>
                <w:color w:val="auto"/>
              </w:rPr>
            </w:pPr>
          </w:p>
        </w:tc>
        <w:tc>
          <w:tcPr>
            <w:tcW w:w="8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5"/>
              </w:rPr>
              <w:t>609,069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1,213,912</w:t>
            </w:r>
          </w:p>
        </w:tc>
        <w:tc>
          <w:tcPr>
            <w:tcW w:w="260" w:type="dxa"/>
            <w:vAlign w:val="bottom"/>
          </w:tcPr>
          <w:p>
            <w:pPr>
              <w:spacing w:after="0"/>
              <w:rPr>
                <w:sz w:val="21"/>
                <w:szCs w:val="21"/>
                <w:color w:val="auto"/>
              </w:rPr>
            </w:pPr>
          </w:p>
        </w:tc>
        <w:tc>
          <w:tcPr>
            <w:tcW w:w="11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1,212,511</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Cost of revenues</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Product cost of revenues</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337,394</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5"/>
              </w:rPr>
              <w:t>356,747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683,836</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713,454</w:t>
            </w:r>
          </w:p>
        </w:tc>
        <w:tc>
          <w:tcPr>
            <w:tcW w:w="0" w:type="dxa"/>
            <w:vAlign w:val="bottom"/>
          </w:tcPr>
          <w:p>
            <w:pPr>
              <w:spacing w:after="0"/>
              <w:rPr>
                <w:sz w:val="1"/>
                <w:szCs w:val="1"/>
                <w:color w:val="auto"/>
              </w:rPr>
            </w:pPr>
          </w:p>
        </w:tc>
      </w:tr>
      <w:tr>
        <w:trPr>
          <w:trHeight w:val="282"/>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Service cost of revenues</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45,749</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41,862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89,239</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83,218</w:t>
            </w:r>
          </w:p>
        </w:tc>
        <w:tc>
          <w:tcPr>
            <w:tcW w:w="0" w:type="dxa"/>
            <w:vAlign w:val="bottom"/>
          </w:tcPr>
          <w:p>
            <w:pPr>
              <w:spacing w:after="0"/>
              <w:rPr>
                <w:sz w:val="1"/>
                <w:szCs w:val="1"/>
                <w:color w:val="auto"/>
              </w:rPr>
            </w:pPr>
          </w:p>
        </w:tc>
      </w:tr>
      <w:tr>
        <w:trPr>
          <w:trHeight w:val="265"/>
        </w:trPr>
        <w:tc>
          <w:tcPr>
            <w:tcW w:w="5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cost of revenues</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383,143</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5"/>
              </w:rPr>
              <w:t>398,609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773,075</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796,672</w:t>
            </w:r>
          </w:p>
        </w:tc>
        <w:tc>
          <w:tcPr>
            <w:tcW w:w="0" w:type="dxa"/>
            <w:vAlign w:val="bottom"/>
          </w:tcPr>
          <w:p>
            <w:pPr>
              <w:spacing w:after="0"/>
              <w:rPr>
                <w:sz w:val="1"/>
                <w:szCs w:val="1"/>
                <w:color w:val="auto"/>
              </w:rPr>
            </w:pPr>
          </w:p>
        </w:tc>
      </w:tr>
      <w:tr>
        <w:trPr>
          <w:trHeight w:val="276"/>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223,618</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5"/>
              </w:rPr>
              <w:t>210,460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440,837</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415,839</w:t>
            </w:r>
          </w:p>
        </w:tc>
        <w:tc>
          <w:tcPr>
            <w:tcW w:w="0" w:type="dxa"/>
            <w:vAlign w:val="bottom"/>
          </w:tcPr>
          <w:p>
            <w:pPr>
              <w:spacing w:after="0"/>
              <w:rPr>
                <w:sz w:val="1"/>
                <w:szCs w:val="1"/>
                <w:color w:val="auto"/>
              </w:rPr>
            </w:pPr>
          </w:p>
        </w:tc>
      </w:tr>
      <w:tr>
        <w:trPr>
          <w:trHeight w:val="514"/>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Sales, general and administrative</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87,615</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88,413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174,526</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174,384</w:t>
            </w: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53,810</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53,053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103,900</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105,454</w:t>
            </w: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4,543</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9,022</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8,497</w:t>
            </w: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Restructuring</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1,237</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684</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82"/>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79</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65"/>
        </w:trPr>
        <w:tc>
          <w:tcPr>
            <w:tcW w:w="5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147,205</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5"/>
              </w:rPr>
              <w:t>145,813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288,211</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288,392</w:t>
            </w:r>
          </w:p>
        </w:tc>
        <w:tc>
          <w:tcPr>
            <w:tcW w:w="0" w:type="dxa"/>
            <w:vAlign w:val="bottom"/>
          </w:tcPr>
          <w:p>
            <w:pPr>
              <w:spacing w:after="0"/>
              <w:rPr>
                <w:sz w:val="1"/>
                <w:szCs w:val="1"/>
                <w:color w:val="auto"/>
              </w:rPr>
            </w:pPr>
          </w:p>
        </w:tc>
      </w:tr>
      <w:tr>
        <w:trPr>
          <w:trHeight w:val="520"/>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76,413</w:t>
            </w:r>
          </w:p>
        </w:tc>
        <w:tc>
          <w:tcPr>
            <w:tcW w:w="4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64,647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152,626</w:t>
            </w:r>
          </w:p>
        </w:tc>
        <w:tc>
          <w:tcPr>
            <w:tcW w:w="2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127,447</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 income</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12,303</w:t>
            </w:r>
          </w:p>
        </w:tc>
        <w:tc>
          <w:tcPr>
            <w:tcW w:w="4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24,013</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8,974</w:t>
            </w:r>
          </w:p>
        </w:tc>
        <w:tc>
          <w:tcPr>
            <w:tcW w:w="0" w:type="dxa"/>
            <w:vAlign w:val="bottom"/>
          </w:tcPr>
          <w:p>
            <w:pPr>
              <w:spacing w:after="0"/>
              <w:rPr>
                <w:sz w:val="1"/>
                <w:szCs w:val="1"/>
                <w:color w:val="auto"/>
              </w:rPr>
            </w:pPr>
          </w:p>
        </w:tc>
      </w:tr>
      <w:tr>
        <w:trPr>
          <w:trHeight w:val="270"/>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(5,648)</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(11,241)</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(4,183)</w:t>
            </w:r>
          </w:p>
        </w:tc>
        <w:tc>
          <w:tcPr>
            <w:tcW w:w="0" w:type="dxa"/>
            <w:vAlign w:val="bottom"/>
          </w:tcPr>
          <w:p>
            <w:pPr>
              <w:spacing w:after="0"/>
              <w:rPr>
                <w:sz w:val="1"/>
                <w:szCs w:val="1"/>
                <w:color w:val="auto"/>
              </w:rPr>
            </w:pPr>
          </w:p>
        </w:tc>
      </w:tr>
      <w:tr>
        <w:trPr>
          <w:trHeight w:val="282"/>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 income (expense), net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414</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363</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65"/>
        </w:trPr>
        <w:tc>
          <w:tcPr>
            <w:tcW w:w="5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other income (expense)</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7,069</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2,393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13,135</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4,809</w:t>
            </w:r>
          </w:p>
        </w:tc>
        <w:tc>
          <w:tcPr>
            <w:tcW w:w="0" w:type="dxa"/>
            <w:vAlign w:val="bottom"/>
          </w:tcPr>
          <w:p>
            <w:pPr>
              <w:spacing w:after="0"/>
              <w:rPr>
                <w:sz w:val="1"/>
                <w:szCs w:val="1"/>
                <w:color w:val="auto"/>
              </w:rPr>
            </w:pPr>
          </w:p>
        </w:tc>
      </w:tr>
      <w:tr>
        <w:trPr>
          <w:trHeight w:val="520"/>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83,482</w:t>
            </w:r>
          </w:p>
        </w:tc>
        <w:tc>
          <w:tcPr>
            <w:tcW w:w="4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67,040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165,761</w:t>
            </w:r>
          </w:p>
        </w:tc>
        <w:tc>
          <w:tcPr>
            <w:tcW w:w="2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132,256</w:t>
            </w:r>
          </w:p>
        </w:tc>
        <w:tc>
          <w:tcPr>
            <w:tcW w:w="0" w:type="dxa"/>
            <w:vAlign w:val="bottom"/>
          </w:tcPr>
          <w:p>
            <w:pPr>
              <w:spacing w:after="0"/>
              <w:rPr>
                <w:sz w:val="1"/>
                <w:szCs w:val="1"/>
                <w:color w:val="auto"/>
              </w:rPr>
            </w:pPr>
          </w:p>
        </w:tc>
      </w:tr>
      <w:tr>
        <w:trPr>
          <w:trHeight w:val="282"/>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Income tax provision</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(14,730)</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(15,180)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(31,659)</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(28,609)</w:t>
            </w:r>
          </w:p>
        </w:tc>
        <w:tc>
          <w:tcPr>
            <w:tcW w:w="0" w:type="dxa"/>
            <w:vAlign w:val="bottom"/>
          </w:tcPr>
          <w:p>
            <w:pPr>
              <w:spacing w:after="0"/>
              <w:rPr>
                <w:sz w:val="1"/>
                <w:szCs w:val="1"/>
                <w:color w:val="auto"/>
              </w:rPr>
            </w:pPr>
          </w:p>
        </w:tc>
      </w:tr>
      <w:tr>
        <w:trPr>
          <w:trHeight w:val="277"/>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68,752</w:t>
            </w:r>
          </w:p>
        </w:tc>
        <w:tc>
          <w:tcPr>
            <w:tcW w:w="4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51,860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134,102</w:t>
            </w:r>
          </w:p>
        </w:tc>
        <w:tc>
          <w:tcPr>
            <w:tcW w:w="2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103,647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412</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288</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608</w:t>
            </w:r>
          </w:p>
        </w:tc>
      </w:tr>
      <w:tr>
        <w:trPr>
          <w:trHeight w:val="264"/>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Itron, Inc.</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68,340</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51,318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133,814</w:t>
            </w: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103,039</w:t>
            </w:r>
          </w:p>
        </w:tc>
      </w:tr>
      <w:tr>
        <w:trPr>
          <w:trHeight w:val="21"/>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3"/>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Basic</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2.94</w:t>
            </w: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2.25</w:t>
            </w:r>
          </w:p>
        </w:tc>
      </w:tr>
      <w:tr>
        <w:trPr>
          <w:trHeight w:val="21"/>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Diluted</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2.89</w:t>
            </w: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2.22</w:t>
            </w:r>
          </w:p>
        </w:tc>
      </w:tr>
      <w:tr>
        <w:trPr>
          <w:trHeight w:val="21"/>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0"/>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Basic</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45,633</w:t>
            </w:r>
          </w:p>
        </w:tc>
        <w:tc>
          <w:tcPr>
            <w:tcW w:w="3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45,745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45,486</w:t>
            </w:r>
          </w:p>
        </w:tc>
        <w:tc>
          <w:tcPr>
            <w:tcW w:w="38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45,698</w:t>
            </w:r>
          </w:p>
        </w:tc>
      </w:tr>
      <w:tr>
        <w:trPr>
          <w:trHeight w:val="282"/>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Diluted</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46,380</w:t>
            </w:r>
          </w:p>
        </w:tc>
        <w:tc>
          <w:tcPr>
            <w:tcW w:w="3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46,526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46,276</w:t>
            </w:r>
          </w:p>
        </w:tc>
        <w:tc>
          <w:tcPr>
            <w:tcW w:w="38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46,441</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SEGMENT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80" w:type="dxa"/>
            <w:vAlign w:val="bottom"/>
          </w:tcPr>
          <w:p>
            <w:pPr>
              <w:spacing w:after="0"/>
              <w:rPr>
                <w:sz w:val="24"/>
                <w:szCs w:val="24"/>
                <w:color w:val="auto"/>
              </w:rPr>
            </w:pPr>
          </w:p>
        </w:tc>
        <w:tc>
          <w:tcPr>
            <w:tcW w:w="3160" w:type="dxa"/>
            <w:vAlign w:val="bottom"/>
            <w:gridSpan w:val="4"/>
            <w:vMerge w:val="restart"/>
          </w:tcPr>
          <w:p>
            <w:pPr>
              <w:ind w:left="3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40" w:type="dxa"/>
            <w:vAlign w:val="bottom"/>
          </w:tcPr>
          <w:p>
            <w:pPr>
              <w:spacing w:after="0"/>
              <w:rPr>
                <w:sz w:val="24"/>
                <w:szCs w:val="24"/>
                <w:color w:val="auto"/>
              </w:rPr>
            </w:pPr>
          </w:p>
        </w:tc>
        <w:tc>
          <w:tcPr>
            <w:tcW w:w="3520" w:type="dxa"/>
            <w:vAlign w:val="bottom"/>
            <w:gridSpan w:val="3"/>
            <w:vMerge w:val="restart"/>
          </w:tcPr>
          <w:p>
            <w:pPr>
              <w:jc w:val="right"/>
              <w:ind w:right="1032"/>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27"/>
        </w:trPr>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3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3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Product revenues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37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Device Solutions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111,939</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117,929</w:t>
            </w:r>
          </w:p>
        </w:tc>
        <w:tc>
          <w:tcPr>
            <w:tcW w:w="14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237,326</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243,837</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Networked Solutions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379,481</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387,351</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754,003</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768,656</w:t>
            </w:r>
          </w:p>
        </w:tc>
        <w:tc>
          <w:tcPr>
            <w:tcW w:w="0" w:type="dxa"/>
            <w:vAlign w:val="bottom"/>
          </w:tcPr>
          <w:p>
            <w:pPr>
              <w:spacing w:after="0"/>
              <w:rPr>
                <w:sz w:val="1"/>
                <w:szCs w:val="1"/>
                <w:color w:val="auto"/>
              </w:rPr>
            </w:pPr>
          </w:p>
        </w:tc>
      </w:tr>
      <w:tr>
        <w:trPr>
          <w:trHeight w:val="283"/>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Outcomes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25,764</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27,627</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48,996</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48,236</w:t>
            </w:r>
          </w:p>
        </w:tc>
        <w:tc>
          <w:tcPr>
            <w:tcW w:w="0" w:type="dxa"/>
            <w:vAlign w:val="bottom"/>
          </w:tcPr>
          <w:p>
            <w:pPr>
              <w:spacing w:after="0"/>
              <w:rPr>
                <w:sz w:val="1"/>
                <w:szCs w:val="1"/>
                <w:color w:val="auto"/>
              </w:rPr>
            </w:pPr>
          </w:p>
        </w:tc>
      </w:tr>
      <w:tr>
        <w:trPr>
          <w:trHeight w:val="264"/>
        </w:trPr>
        <w:tc>
          <w:tcPr>
            <w:tcW w:w="3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Company</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517,184</w:t>
            </w: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532,907</w:t>
            </w:r>
          </w:p>
        </w:tc>
        <w:tc>
          <w:tcPr>
            <w:tcW w:w="140" w:type="dxa"/>
            <w:vAlign w:val="bottom"/>
          </w:tcPr>
          <w:p>
            <w:pPr>
              <w:spacing w:after="0"/>
              <w:rPr>
                <w:sz w:val="22"/>
                <w:szCs w:val="22"/>
                <w:color w:val="auto"/>
              </w:rPr>
            </w:pP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1,040,325</w:t>
            </w: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1,060,729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Service revenues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Device Solutions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821</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621</w:t>
            </w:r>
          </w:p>
        </w:tc>
        <w:tc>
          <w:tcPr>
            <w:tcW w:w="14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1,305</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1,465</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Networked Solutions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29,453</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25,353</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57,663</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51,564</w:t>
            </w:r>
          </w:p>
        </w:tc>
        <w:tc>
          <w:tcPr>
            <w:tcW w:w="0" w:type="dxa"/>
            <w:vAlign w:val="bottom"/>
          </w:tcPr>
          <w:p>
            <w:pPr>
              <w:spacing w:after="0"/>
              <w:rPr>
                <w:sz w:val="1"/>
                <w:szCs w:val="1"/>
                <w:color w:val="auto"/>
              </w:rPr>
            </w:pPr>
          </w:p>
        </w:tc>
      </w:tr>
      <w:tr>
        <w:trPr>
          <w:trHeight w:val="283"/>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Outcomes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59,303</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50,188</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114,619</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98,753</w:t>
            </w:r>
          </w:p>
        </w:tc>
        <w:tc>
          <w:tcPr>
            <w:tcW w:w="0" w:type="dxa"/>
            <w:vAlign w:val="bottom"/>
          </w:tcPr>
          <w:p>
            <w:pPr>
              <w:spacing w:after="0"/>
              <w:rPr>
                <w:sz w:val="1"/>
                <w:szCs w:val="1"/>
                <w:color w:val="auto"/>
              </w:rPr>
            </w:pPr>
          </w:p>
        </w:tc>
      </w:tr>
      <w:tr>
        <w:trPr>
          <w:trHeight w:val="264"/>
        </w:trPr>
        <w:tc>
          <w:tcPr>
            <w:tcW w:w="3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Company</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89,577</w:t>
            </w: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76,162</w:t>
            </w:r>
          </w:p>
        </w:tc>
        <w:tc>
          <w:tcPr>
            <w:tcW w:w="140" w:type="dxa"/>
            <w:vAlign w:val="bottom"/>
          </w:tcPr>
          <w:p>
            <w:pPr>
              <w:spacing w:after="0"/>
              <w:rPr>
                <w:sz w:val="22"/>
                <w:szCs w:val="22"/>
                <w:color w:val="auto"/>
              </w:rPr>
            </w:pP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173,587</w:t>
            </w: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151,782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Device Solutions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112,760</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118,550</w:t>
            </w:r>
          </w:p>
        </w:tc>
        <w:tc>
          <w:tcPr>
            <w:tcW w:w="14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238,631</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245,302</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Networked Solutions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408,934</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412,704</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811,666</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820,220</w:t>
            </w:r>
          </w:p>
        </w:tc>
        <w:tc>
          <w:tcPr>
            <w:tcW w:w="0" w:type="dxa"/>
            <w:vAlign w:val="bottom"/>
          </w:tcPr>
          <w:p>
            <w:pPr>
              <w:spacing w:after="0"/>
              <w:rPr>
                <w:sz w:val="1"/>
                <w:szCs w:val="1"/>
                <w:color w:val="auto"/>
              </w:rPr>
            </w:pPr>
          </w:p>
        </w:tc>
      </w:tr>
      <w:tr>
        <w:trPr>
          <w:trHeight w:val="283"/>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Outcomes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85,067</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77,815</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163,615</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146,989</w:t>
            </w:r>
          </w:p>
        </w:tc>
        <w:tc>
          <w:tcPr>
            <w:tcW w:w="0" w:type="dxa"/>
            <w:vAlign w:val="bottom"/>
          </w:tcPr>
          <w:p>
            <w:pPr>
              <w:spacing w:after="0"/>
              <w:rPr>
                <w:sz w:val="1"/>
                <w:szCs w:val="1"/>
                <w:color w:val="auto"/>
              </w:rPr>
            </w:pPr>
          </w:p>
        </w:tc>
      </w:tr>
      <w:tr>
        <w:trPr>
          <w:trHeight w:val="264"/>
        </w:trPr>
        <w:tc>
          <w:tcPr>
            <w:tcW w:w="3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Company</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606,761</w:t>
            </w: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609,069</w:t>
            </w:r>
          </w:p>
        </w:tc>
        <w:tc>
          <w:tcPr>
            <w:tcW w:w="140" w:type="dxa"/>
            <w:vAlign w:val="bottom"/>
          </w:tcPr>
          <w:p>
            <w:pPr>
              <w:spacing w:after="0"/>
              <w:rPr>
                <w:sz w:val="22"/>
                <w:szCs w:val="22"/>
                <w:color w:val="auto"/>
              </w:rPr>
            </w:pP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1,213,912</w:t>
            </w: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1,212,511</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Device Solutions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33,591</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31,231</w:t>
            </w:r>
          </w:p>
        </w:tc>
        <w:tc>
          <w:tcPr>
            <w:tcW w:w="14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71,344</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61,295</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Networked Solutions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157,243</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152,157</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305,957</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303,182</w:t>
            </w:r>
          </w:p>
        </w:tc>
        <w:tc>
          <w:tcPr>
            <w:tcW w:w="0" w:type="dxa"/>
            <w:vAlign w:val="bottom"/>
          </w:tcPr>
          <w:p>
            <w:pPr>
              <w:spacing w:after="0"/>
              <w:rPr>
                <w:sz w:val="1"/>
                <w:szCs w:val="1"/>
                <w:color w:val="auto"/>
              </w:rPr>
            </w:pPr>
          </w:p>
        </w:tc>
      </w:tr>
      <w:tr>
        <w:trPr>
          <w:trHeight w:val="283"/>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Outcomes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32,784</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27,072</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63,536</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51,362</w:t>
            </w:r>
          </w:p>
        </w:tc>
        <w:tc>
          <w:tcPr>
            <w:tcW w:w="0" w:type="dxa"/>
            <w:vAlign w:val="bottom"/>
          </w:tcPr>
          <w:p>
            <w:pPr>
              <w:spacing w:after="0"/>
              <w:rPr>
                <w:sz w:val="1"/>
                <w:szCs w:val="1"/>
                <w:color w:val="auto"/>
              </w:rPr>
            </w:pPr>
          </w:p>
        </w:tc>
      </w:tr>
      <w:tr>
        <w:trPr>
          <w:trHeight w:val="264"/>
        </w:trPr>
        <w:tc>
          <w:tcPr>
            <w:tcW w:w="3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Company</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223,618</w:t>
            </w: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210,460</w:t>
            </w:r>
          </w:p>
        </w:tc>
        <w:tc>
          <w:tcPr>
            <w:tcW w:w="140" w:type="dxa"/>
            <w:vAlign w:val="bottom"/>
          </w:tcPr>
          <w:p>
            <w:pPr>
              <w:spacing w:after="0"/>
              <w:rPr>
                <w:sz w:val="22"/>
                <w:szCs w:val="22"/>
                <w:color w:val="auto"/>
              </w:rPr>
            </w:pP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440,837</w:t>
            </w: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415,839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Device Solutions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25,454</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23,725</w:t>
            </w:r>
          </w:p>
        </w:tc>
        <w:tc>
          <w:tcPr>
            <w:tcW w:w="14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55,925</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45,428</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Networked Solutions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120,999</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117,444</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237,108</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234,122</w:t>
            </w:r>
          </w:p>
        </w:tc>
        <w:tc>
          <w:tcPr>
            <w:tcW w:w="0" w:type="dxa"/>
            <w:vAlign w:val="bottom"/>
          </w:tcPr>
          <w:p>
            <w:pPr>
              <w:spacing w:after="0"/>
              <w:rPr>
                <w:sz w:val="1"/>
                <w:szCs w:val="1"/>
                <w:color w:val="auto"/>
              </w:rPr>
            </w:pPr>
          </w:p>
        </w:tc>
      </w:tr>
      <w:tr>
        <w:trPr>
          <w:trHeight w:val="270"/>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Outcomes</w:t>
            </w: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15,687</w:t>
            </w:r>
          </w:p>
        </w:tc>
        <w:tc>
          <w:tcPr>
            <w:tcW w:w="5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10,651</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30,017</w:t>
            </w:r>
          </w:p>
        </w:tc>
        <w:tc>
          <w:tcPr>
            <w:tcW w:w="640" w:type="dxa"/>
            <w:vAlign w:val="bottom"/>
          </w:tcPr>
          <w:p>
            <w:pPr>
              <w:spacing w:after="0"/>
              <w:rPr>
                <w:sz w:val="23"/>
                <w:szCs w:val="23"/>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19,742</w:t>
            </w:r>
          </w:p>
        </w:tc>
        <w:tc>
          <w:tcPr>
            <w:tcW w:w="0" w:type="dxa"/>
            <w:vAlign w:val="bottom"/>
          </w:tcPr>
          <w:p>
            <w:pPr>
              <w:spacing w:after="0"/>
              <w:rPr>
                <w:sz w:val="1"/>
                <w:szCs w:val="1"/>
                <w:color w:val="auto"/>
              </w:rPr>
            </w:pPr>
          </w:p>
        </w:tc>
      </w:tr>
      <w:tr>
        <w:trPr>
          <w:trHeight w:val="283"/>
        </w:trPr>
        <w:tc>
          <w:tcPr>
            <w:tcW w:w="3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Corporate unallocated</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(85,727)</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(87,173)</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(170,424)</w:t>
            </w: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(171,845)</w:t>
            </w:r>
          </w:p>
        </w:tc>
        <w:tc>
          <w:tcPr>
            <w:tcW w:w="0" w:type="dxa"/>
            <w:vAlign w:val="bottom"/>
          </w:tcPr>
          <w:p>
            <w:pPr>
              <w:spacing w:after="0"/>
              <w:rPr>
                <w:sz w:val="1"/>
                <w:szCs w:val="1"/>
                <w:color w:val="auto"/>
              </w:rPr>
            </w:pPr>
          </w:p>
        </w:tc>
      </w:tr>
      <w:tr>
        <w:trPr>
          <w:trHeight w:val="264"/>
        </w:trPr>
        <w:tc>
          <w:tcPr>
            <w:tcW w:w="3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Company</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76,413</w:t>
            </w: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64,647</w:t>
            </w:r>
          </w:p>
        </w:tc>
        <w:tc>
          <w:tcPr>
            <w:tcW w:w="140" w:type="dxa"/>
            <w:vAlign w:val="bottom"/>
          </w:tcPr>
          <w:p>
            <w:pPr>
              <w:spacing w:after="0"/>
              <w:rPr>
                <w:sz w:val="22"/>
                <w:szCs w:val="22"/>
                <w:color w:val="auto"/>
              </w:rPr>
            </w:pP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152,626</w:t>
            </w: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127,447</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Gross Margin</w:t>
            </w:r>
          </w:p>
        </w:tc>
        <w:tc>
          <w:tcPr>
            <w:tcW w:w="36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36.9%</w:t>
            </w:r>
          </w:p>
        </w:tc>
        <w:tc>
          <w:tcPr>
            <w:tcW w:w="220" w:type="dxa"/>
            <w:vAlign w:val="bottom"/>
          </w:tcPr>
          <w:p>
            <w:pPr>
              <w:spacing w:after="0"/>
              <w:rPr>
                <w:sz w:val="24"/>
                <w:szCs w:val="24"/>
                <w:color w:val="auto"/>
              </w:rPr>
            </w:pPr>
          </w:p>
        </w:tc>
        <w:tc>
          <w:tcPr>
            <w:tcW w:w="182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w w:val="94"/>
              </w:rPr>
              <w:t>34.6%</w:t>
            </w:r>
          </w:p>
        </w:tc>
        <w:tc>
          <w:tcPr>
            <w:tcW w:w="12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36.3%</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34.3%</w:t>
            </w:r>
          </w:p>
        </w:tc>
        <w:tc>
          <w:tcPr>
            <w:tcW w:w="0" w:type="dxa"/>
            <w:vAlign w:val="bottom"/>
          </w:tcPr>
          <w:p>
            <w:pPr>
              <w:spacing w:after="0"/>
              <w:rPr>
                <w:sz w:val="1"/>
                <w:szCs w:val="1"/>
                <w:color w:val="auto"/>
              </w:rPr>
            </w:pPr>
          </w:p>
        </w:tc>
      </w:tr>
      <w:tr>
        <w:trPr>
          <w:trHeight w:val="929"/>
        </w:trPr>
        <w:tc>
          <w:tcPr>
            <w:tcW w:w="2540" w:type="dxa"/>
            <w:vAlign w:val="bottom"/>
          </w:tcPr>
          <w:p>
            <w:pPr>
              <w:spacing w:after="0"/>
              <w:rPr>
                <w:sz w:val="24"/>
                <w:szCs w:val="24"/>
                <w:color w:val="auto"/>
              </w:rPr>
            </w:pPr>
          </w:p>
        </w:tc>
        <w:tc>
          <w:tcPr>
            <w:tcW w:w="3860" w:type="dxa"/>
            <w:vAlign w:val="bottom"/>
            <w:gridSpan w:val="2"/>
          </w:tcPr>
          <w:p>
            <w:pPr>
              <w:jc w:val="center"/>
              <w:ind w:left="2172"/>
              <w:spacing w:after="0"/>
              <w:rPr>
                <w:sz w:val="20"/>
                <w:szCs w:val="20"/>
                <w:color w:val="auto"/>
              </w:rPr>
            </w:pPr>
            <w:r>
              <w:rPr>
                <w:rFonts w:ascii="Times New Roman" w:cs="Times New Roman" w:eastAsia="Times New Roman" w:hAnsi="Times New Roman"/>
                <w:sz w:val="22"/>
                <w:szCs w:val="22"/>
                <w:b w:val="1"/>
                <w:bCs w:val="1"/>
                <w:color w:val="auto"/>
                <w:w w:val="97"/>
              </w:rPr>
              <w:t>ITRON, INC.</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540" w:type="dxa"/>
            <w:vAlign w:val="bottom"/>
          </w:tcPr>
          <w:p>
            <w:pPr>
              <w:spacing w:after="0"/>
              <w:rPr>
                <w:sz w:val="24"/>
                <w:szCs w:val="24"/>
                <w:color w:val="auto"/>
              </w:rPr>
            </w:pPr>
          </w:p>
        </w:tc>
        <w:tc>
          <w:tcPr>
            <w:tcW w:w="580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CONSOLIDATED BALANCE SHEETS</w:t>
            </w: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640" w:type="dxa"/>
            <w:vAlign w:val="bottom"/>
            <w:vMerge w:val="restart"/>
          </w:tcPr>
          <w:p>
            <w:pPr>
              <w:jc w:val="right"/>
              <w:ind w:right="2592"/>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2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June 30, 2025</w:t>
            </w:r>
          </w:p>
        </w:tc>
        <w:tc>
          <w:tcPr>
            <w:tcW w:w="2880" w:type="dxa"/>
            <w:vAlign w:val="bottom"/>
            <w:gridSpan w:val="2"/>
          </w:tcPr>
          <w:p>
            <w:pPr>
              <w:ind w:left="560"/>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0" w:type="dxa"/>
            <w:vAlign w:val="bottom"/>
          </w:tcPr>
          <w:p>
            <w:pPr>
              <w:spacing w:after="0"/>
              <w:rPr>
                <w:sz w:val="1"/>
                <w:szCs w:val="1"/>
                <w:color w:val="auto"/>
              </w:rPr>
            </w:pPr>
          </w:p>
        </w:tc>
      </w:tr>
      <w:tr>
        <w:trPr>
          <w:trHeight w:val="264"/>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3640" w:type="dxa"/>
            <w:vAlign w:val="bottom"/>
            <w:vMerge w:val="continue"/>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540" w:type="dxa"/>
            <w:vAlign w:val="bottom"/>
            <w:vMerge w:val="continue"/>
          </w:tcPr>
          <w:p>
            <w:pPr>
              <w:spacing w:after="0"/>
              <w:rPr>
                <w:sz w:val="22"/>
                <w:szCs w:val="22"/>
                <w:color w:val="auto"/>
              </w:rPr>
            </w:pPr>
          </w:p>
        </w:tc>
        <w:tc>
          <w:tcPr>
            <w:tcW w:w="3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5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1,224,257</w:t>
            </w:r>
          </w:p>
        </w:tc>
        <w:tc>
          <w:tcPr>
            <w:tcW w:w="12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1,051,237</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7" w:name="page8"/>
    <w:bookmarkEnd w:id="7"/>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340,321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350,473</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283,297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270,725</w:t>
            </w:r>
          </w:p>
        </w:tc>
        <w:tc>
          <w:tcPr>
            <w:tcW w:w="0" w:type="dxa"/>
            <w:vAlign w:val="bottom"/>
          </w:tcPr>
          <w:p>
            <w:pPr>
              <w:spacing w:after="0"/>
              <w:rPr>
                <w:sz w:val="1"/>
                <w:szCs w:val="1"/>
                <w:color w:val="auto"/>
              </w:rPr>
            </w:pPr>
          </w:p>
        </w:tc>
      </w:tr>
      <w:tr>
        <w:trPr>
          <w:trHeight w:val="282"/>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140,998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143,457</w:t>
            </w:r>
          </w:p>
        </w:tc>
        <w:tc>
          <w:tcPr>
            <w:tcW w:w="0" w:type="dxa"/>
            <w:vAlign w:val="bottom"/>
          </w:tcPr>
          <w:p>
            <w:pPr>
              <w:spacing w:after="0"/>
              <w:rPr>
                <w:sz w:val="1"/>
                <w:szCs w:val="1"/>
                <w:color w:val="auto"/>
              </w:rPr>
            </w:pPr>
          </w:p>
        </w:tc>
      </w:tr>
      <w:tr>
        <w:trPr>
          <w:trHeight w:val="277"/>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current assets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1,988,873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1,815,892</w:t>
            </w:r>
          </w:p>
        </w:tc>
        <w:tc>
          <w:tcPr>
            <w:tcW w:w="0" w:type="dxa"/>
            <w:vAlign w:val="bottom"/>
          </w:tcPr>
          <w:p>
            <w:pPr>
              <w:spacing w:after="0"/>
              <w:rPr>
                <w:sz w:val="1"/>
                <w:szCs w:val="1"/>
                <w:color w:val="auto"/>
              </w:rPr>
            </w:pPr>
          </w:p>
        </w:tc>
      </w:tr>
      <w:tr>
        <w:trPr>
          <w:trHeight w:val="514"/>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115,595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115,428</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318,595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310,280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assets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42,460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41,827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35,411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28,957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34,426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43,109</w:t>
            </w: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1,088,408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1,052,130</w:t>
            </w:r>
          </w:p>
        </w:tc>
        <w:tc>
          <w:tcPr>
            <w:tcW w:w="0" w:type="dxa"/>
            <w:vAlign w:val="bottom"/>
          </w:tcPr>
          <w:p>
            <w:pPr>
              <w:spacing w:after="0"/>
              <w:rPr>
                <w:sz w:val="1"/>
                <w:szCs w:val="1"/>
                <w:color w:val="auto"/>
              </w:rPr>
            </w:pPr>
          </w:p>
        </w:tc>
      </w:tr>
      <w:tr>
        <w:trPr>
          <w:trHeight w:val="265"/>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assets</w:t>
            </w:r>
          </w:p>
        </w:tc>
        <w:tc>
          <w:tcPr>
            <w:tcW w:w="1420" w:type="dxa"/>
            <w:vAlign w:val="bottom"/>
          </w:tcPr>
          <w:p>
            <w:pPr>
              <w:spacing w:after="0"/>
              <w:rPr>
                <w:sz w:val="23"/>
                <w:szCs w:val="23"/>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3,623,768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3,407,623</w:t>
            </w:r>
          </w:p>
        </w:tc>
        <w:tc>
          <w:tcPr>
            <w:tcW w:w="0" w:type="dxa"/>
            <w:vAlign w:val="bottom"/>
          </w:tcPr>
          <w:p>
            <w:pPr>
              <w:spacing w:after="0"/>
              <w:rPr>
                <w:sz w:val="1"/>
                <w:szCs w:val="1"/>
                <w:color w:val="auto"/>
              </w:rPr>
            </w:pPr>
          </w:p>
        </w:tc>
      </w:tr>
      <w:tr>
        <w:trPr>
          <w:trHeight w:val="21"/>
        </w:trPr>
        <w:tc>
          <w:tcPr>
            <w:tcW w:w="476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7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236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123,127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144,929</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62,283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61,241</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106,837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137,384</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payable</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13,636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19,689</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debt,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458,334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warranty</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13,312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14,302</w:t>
            </w:r>
          </w:p>
        </w:tc>
        <w:tc>
          <w:tcPr>
            <w:tcW w:w="0" w:type="dxa"/>
            <w:vAlign w:val="bottom"/>
          </w:tcPr>
          <w:p>
            <w:pPr>
              <w:spacing w:after="0"/>
              <w:rPr>
                <w:sz w:val="1"/>
                <w:szCs w:val="1"/>
                <w:color w:val="auto"/>
              </w:rPr>
            </w:pPr>
          </w:p>
        </w:tc>
      </w:tr>
      <w:tr>
        <w:trPr>
          <w:trHeight w:val="282"/>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195,530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150,720</w:t>
            </w:r>
          </w:p>
        </w:tc>
        <w:tc>
          <w:tcPr>
            <w:tcW w:w="0" w:type="dxa"/>
            <w:vAlign w:val="bottom"/>
          </w:tcPr>
          <w:p>
            <w:pPr>
              <w:spacing w:after="0"/>
              <w:rPr>
                <w:sz w:val="1"/>
                <w:szCs w:val="1"/>
                <w:color w:val="auto"/>
              </w:rPr>
            </w:pPr>
          </w:p>
        </w:tc>
      </w:tr>
      <w:tr>
        <w:trPr>
          <w:trHeight w:val="277"/>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973,059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528,265</w:t>
            </w:r>
          </w:p>
        </w:tc>
        <w:tc>
          <w:tcPr>
            <w:tcW w:w="0" w:type="dxa"/>
            <w:vAlign w:val="bottom"/>
          </w:tcPr>
          <w:p>
            <w:pPr>
              <w:spacing w:after="0"/>
              <w:rPr>
                <w:sz w:val="1"/>
                <w:szCs w:val="1"/>
                <w:color w:val="auto"/>
              </w:rPr>
            </w:pPr>
          </w:p>
        </w:tc>
      </w:tr>
      <w:tr>
        <w:trPr>
          <w:trHeight w:val="514"/>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Long-term debt, net</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787,023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1,242,424</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Long-term warranty</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7,455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7,839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Pension benefit obligation</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65,864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59,537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565</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27,061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25,350</w:t>
            </w: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obligations</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128,221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132,215</w:t>
            </w:r>
          </w:p>
        </w:tc>
        <w:tc>
          <w:tcPr>
            <w:tcW w:w="0" w:type="dxa"/>
            <w:vAlign w:val="bottom"/>
          </w:tcPr>
          <w:p>
            <w:pPr>
              <w:spacing w:after="0"/>
              <w:rPr>
                <w:sz w:val="1"/>
                <w:szCs w:val="1"/>
                <w:color w:val="auto"/>
              </w:rPr>
            </w:pPr>
          </w:p>
        </w:tc>
      </w:tr>
      <w:tr>
        <w:trPr>
          <w:trHeight w:val="277"/>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liabilities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1,989,344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1,996,195</w:t>
            </w:r>
          </w:p>
        </w:tc>
        <w:tc>
          <w:tcPr>
            <w:tcW w:w="0" w:type="dxa"/>
            <w:vAlign w:val="bottom"/>
          </w:tcPr>
          <w:p>
            <w:pPr>
              <w:spacing w:after="0"/>
              <w:rPr>
                <w:sz w:val="1"/>
                <w:szCs w:val="1"/>
                <w:color w:val="auto"/>
              </w:rPr>
            </w:pPr>
          </w:p>
        </w:tc>
      </w:tr>
      <w:tr>
        <w:trPr>
          <w:trHeight w:val="514"/>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1,728,667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1,689,835</w:t>
            </w:r>
          </w:p>
        </w:tc>
        <w:tc>
          <w:tcPr>
            <w:tcW w:w="0" w:type="dxa"/>
            <w:vAlign w:val="bottom"/>
          </w:tcPr>
          <w:p>
            <w:pPr>
              <w:spacing w:after="0"/>
              <w:rPr>
                <w:sz w:val="1"/>
                <w:szCs w:val="1"/>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other comprehensive loss,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(59,869)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(109,931)</w:t>
            </w:r>
          </w:p>
        </w:tc>
        <w:tc>
          <w:tcPr>
            <w:tcW w:w="0" w:type="dxa"/>
            <w:vAlign w:val="bottom"/>
          </w:tcPr>
          <w:p>
            <w:pPr>
              <w:spacing w:after="0"/>
              <w:rPr>
                <w:sz w:val="1"/>
                <w:szCs w:val="1"/>
                <w:color w:val="auto"/>
              </w:rPr>
            </w:pPr>
          </w:p>
        </w:tc>
      </w:tr>
      <w:tr>
        <w:trPr>
          <w:trHeight w:val="282"/>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deficit</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(55,490)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(189,304)</w:t>
            </w:r>
          </w:p>
        </w:tc>
        <w:tc>
          <w:tcPr>
            <w:tcW w:w="0" w:type="dxa"/>
            <w:vAlign w:val="bottom"/>
          </w:tcPr>
          <w:p>
            <w:pPr>
              <w:spacing w:after="0"/>
              <w:rPr>
                <w:sz w:val="1"/>
                <w:szCs w:val="1"/>
                <w:color w:val="auto"/>
              </w:rPr>
            </w:pPr>
          </w:p>
        </w:tc>
      </w:tr>
      <w:tr>
        <w:trPr>
          <w:trHeight w:val="251"/>
        </w:trPr>
        <w:tc>
          <w:tcPr>
            <w:tcW w:w="4760" w:type="dxa"/>
            <w:vAlign w:val="bottom"/>
          </w:tcPr>
          <w:p>
            <w:pPr>
              <w:ind w:left="280"/>
              <w:spacing w:after="0" w:line="251" w:lineRule="exact"/>
              <w:rPr>
                <w:sz w:val="20"/>
                <w:szCs w:val="20"/>
                <w:color w:val="auto"/>
              </w:rPr>
            </w:pPr>
            <w:r>
              <w:rPr>
                <w:rFonts w:ascii="Times New Roman" w:cs="Times New Roman" w:eastAsia="Times New Roman" w:hAnsi="Times New Roman"/>
                <w:sz w:val="22"/>
                <w:szCs w:val="22"/>
                <w:color w:val="auto"/>
              </w:rPr>
              <w:t>Total Itron, Inc. shareholders' equity</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rPr>
              <w:t>1,613,308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52"/>
              <w:spacing w:after="0" w:line="251" w:lineRule="exact"/>
              <w:rPr>
                <w:sz w:val="20"/>
                <w:szCs w:val="20"/>
                <w:color w:val="auto"/>
              </w:rPr>
            </w:pPr>
            <w:r>
              <w:rPr>
                <w:rFonts w:ascii="Times New Roman" w:cs="Times New Roman" w:eastAsia="Times New Roman" w:hAnsi="Times New Roman"/>
                <w:sz w:val="22"/>
                <w:szCs w:val="22"/>
                <w:color w:val="auto"/>
              </w:rPr>
              <w:t>1,390,600</w:t>
            </w:r>
          </w:p>
        </w:tc>
        <w:tc>
          <w:tcPr>
            <w:tcW w:w="0" w:type="dxa"/>
            <w:vAlign w:val="bottom"/>
          </w:tcPr>
          <w:p>
            <w:pPr>
              <w:spacing w:after="0"/>
              <w:rPr>
                <w:sz w:val="1"/>
                <w:szCs w:val="1"/>
                <w:color w:val="auto"/>
              </w:rPr>
            </w:pPr>
          </w:p>
        </w:tc>
      </w:tr>
      <w:tr>
        <w:trPr>
          <w:trHeight w:val="282"/>
        </w:trPr>
        <w:tc>
          <w:tcPr>
            <w:tcW w:w="4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1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21,116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20,828</w:t>
            </w:r>
          </w:p>
        </w:tc>
        <w:tc>
          <w:tcPr>
            <w:tcW w:w="0" w:type="dxa"/>
            <w:vAlign w:val="bottom"/>
          </w:tcPr>
          <w:p>
            <w:pPr>
              <w:spacing w:after="0"/>
              <w:rPr>
                <w:sz w:val="1"/>
                <w:szCs w:val="1"/>
                <w:color w:val="auto"/>
              </w:rPr>
            </w:pPr>
          </w:p>
        </w:tc>
      </w:tr>
      <w:tr>
        <w:trPr>
          <w:trHeight w:val="265"/>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equity</w:t>
            </w:r>
          </w:p>
        </w:tc>
        <w:tc>
          <w:tcPr>
            <w:tcW w:w="14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1,634,424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1,411,428</w:t>
            </w:r>
          </w:p>
        </w:tc>
        <w:tc>
          <w:tcPr>
            <w:tcW w:w="0" w:type="dxa"/>
            <w:vAlign w:val="bottom"/>
          </w:tcPr>
          <w:p>
            <w:pPr>
              <w:spacing w:after="0"/>
              <w:rPr>
                <w:sz w:val="1"/>
                <w:szCs w:val="1"/>
                <w:color w:val="auto"/>
              </w:rPr>
            </w:pPr>
          </w:p>
        </w:tc>
      </w:tr>
      <w:tr>
        <w:trPr>
          <w:trHeight w:val="263"/>
        </w:trPr>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420" w:type="dxa"/>
            <w:vAlign w:val="bottom"/>
          </w:tcPr>
          <w:p>
            <w:pPr>
              <w:spacing w:after="0"/>
              <w:rPr>
                <w:sz w:val="22"/>
                <w:szCs w:val="22"/>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3,623,768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3,407,623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4760" w:type="dxa"/>
            <w:vAlign w:val="bottom"/>
          </w:tcPr>
          <w:p>
            <w:pPr>
              <w:spacing w:after="0"/>
              <w:rPr>
                <w:sz w:val="24"/>
                <w:szCs w:val="24"/>
                <w:color w:val="auto"/>
              </w:rPr>
            </w:pPr>
          </w:p>
        </w:tc>
        <w:tc>
          <w:tcPr>
            <w:tcW w:w="23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ITRON, INC.</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gridSpan w:val="4"/>
          </w:tcPr>
          <w:p>
            <w:pPr>
              <w:ind w:left="3060"/>
              <w:spacing w:after="0"/>
              <w:rPr>
                <w:sz w:val="20"/>
                <w:szCs w:val="20"/>
                <w:color w:val="auto"/>
              </w:rPr>
            </w:pPr>
            <w:r>
              <w:rPr>
                <w:rFonts w:ascii="Times New Roman" w:cs="Times New Roman" w:eastAsia="Times New Roman" w:hAnsi="Times New Roman"/>
                <w:sz w:val="22"/>
                <w:szCs w:val="22"/>
                <w:b w:val="1"/>
                <w:bCs w:val="1"/>
                <w:color w:val="auto"/>
                <w:w w:val="98"/>
              </w:rPr>
              <w:t>CONSOLIDATED STATEMENTS OF CASH FLOWS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47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activities</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Net income</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134,102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103,647</w:t>
            </w:r>
          </w:p>
        </w:tc>
        <w:tc>
          <w:tcPr>
            <w:tcW w:w="0" w:type="dxa"/>
            <w:vAlign w:val="bottom"/>
          </w:tcPr>
          <w:p>
            <w:pPr>
              <w:spacing w:after="0"/>
              <w:rPr>
                <w:sz w:val="1"/>
                <w:szCs w:val="1"/>
                <w:color w:val="auto"/>
              </w:rPr>
            </w:pPr>
          </w:p>
        </w:tc>
      </w:tr>
      <w:tr>
        <w:trPr>
          <w:trHeight w:val="270"/>
        </w:trPr>
        <w:tc>
          <w:tcPr>
            <w:tcW w:w="71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8"/>
              </w:rPr>
              <w:t>Adjustments to reconcile net income to net cash provided by operating activities:</w:t>
            </w: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and amortization of intangible assets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26,263</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Non-cash operating lease expense</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7,634</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Stock-based compensation</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21,845</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Amortization of prepaid debt fees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1,867</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Deferred taxes,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(8,725)</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Restructuring, non-cash</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c>
          <w:tcPr>
            <w:tcW w:w="0" w:type="dxa"/>
            <w:vAlign w:val="bottom"/>
          </w:tcPr>
          <w:p>
            <w:pPr>
              <w:spacing w:after="0"/>
              <w:rPr>
                <w:sz w:val="1"/>
                <w:szCs w:val="1"/>
                <w:color w:val="auto"/>
              </w:rPr>
            </w:pPr>
          </w:p>
        </w:tc>
      </w:tr>
      <w:tr>
        <w:trPr>
          <w:trHeight w:val="270"/>
        </w:trPr>
        <w:tc>
          <w:tcPr>
            <w:tcW w:w="4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adjustments, net</w:t>
            </w:r>
          </w:p>
        </w:tc>
        <w:tc>
          <w:tcPr>
            <w:tcW w:w="1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(591)</w:t>
            </w:r>
          </w:p>
        </w:tc>
        <w:tc>
          <w:tcPr>
            <w:tcW w:w="0" w:type="dxa"/>
            <w:vAlign w:val="bottom"/>
          </w:tcPr>
          <w:p>
            <w:pPr>
              <w:spacing w:after="0"/>
              <w:rPr>
                <w:sz w:val="1"/>
                <w:szCs w:val="1"/>
                <w:color w:val="auto"/>
              </w:rPr>
            </w:pPr>
          </w:p>
        </w:tc>
      </w:tr>
      <w:tr>
        <w:trPr>
          <w:trHeight w:val="270"/>
        </w:trPr>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Changes in operating assets and liabilities, net of acquisition and sale of business:</w:t>
            </w: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Accounts receivable</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18,789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(13,557)</w:t>
            </w:r>
          </w:p>
        </w:tc>
        <w:tc>
          <w:tcPr>
            <w:tcW w:w="0" w:type="dxa"/>
            <w:vAlign w:val="bottom"/>
          </w:tcPr>
          <w:p>
            <w:pPr>
              <w:spacing w:after="0"/>
              <w:rPr>
                <w:sz w:val="1"/>
                <w:szCs w:val="1"/>
                <w:color w:val="auto"/>
              </w:rPr>
            </w:pPr>
          </w:p>
        </w:tc>
      </w:tr>
    </w:tbl>
    <w:p>
      <w:pPr>
        <w:sectPr>
          <w:pgSz w:w="11900" w:h="16889" w:orient="portrait"/>
          <w:cols w:equalWidth="0" w:num="1">
            <w:col w:w="11220"/>
          </w:cols>
          <w:pgMar w:left="340" w:top="111"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Inventories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(7,413)</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(13,216)</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current assets</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6,409</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(510)</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long-term assets</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3,479</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(1,885)</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Accounts payable, other current liabilities, and taxes payable</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(31,868)</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(7,128)</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(34,884)</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(28,700)</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Unearned revenue</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46,431</w:t>
            </w:r>
          </w:p>
        </w:tc>
        <w:tc>
          <w:tcPr>
            <w:tcW w:w="3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39,039</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Warranty</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(1,876)</w:t>
            </w:r>
          </w:p>
        </w:tc>
        <w:tc>
          <w:tcPr>
            <w:tcW w:w="3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810</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(10,252)</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(14,628)</w:t>
            </w:r>
          </w:p>
        </w:tc>
      </w:tr>
      <w:tr>
        <w:trPr>
          <w:trHeight w:val="282"/>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operating, net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(11,153)</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(18,927)</w:t>
            </w:r>
          </w:p>
        </w:tc>
      </w:tr>
      <w:tr>
        <w:trPr>
          <w:trHeight w:val="277"/>
        </w:trPr>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0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168,802</w:t>
            </w:r>
          </w:p>
        </w:tc>
        <w:tc>
          <w:tcPr>
            <w:tcW w:w="38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93,025</w:t>
            </w:r>
          </w:p>
        </w:tc>
      </w:tr>
      <w:tr>
        <w:trPr>
          <w:trHeight w:val="514"/>
        </w:trPr>
        <w:tc>
          <w:tcPr>
            <w:tcW w:w="8240" w:type="dxa"/>
            <w:vAlign w:val="bottom"/>
          </w:tcPr>
          <w:p>
            <w:pPr>
              <w:spacing w:after="0"/>
              <w:rPr>
                <w:sz w:val="20"/>
                <w:szCs w:val="20"/>
                <w:color w:val="auto"/>
              </w:rPr>
            </w:pPr>
            <w:r>
              <w:rPr>
                <w:rFonts w:ascii="Times New Roman" w:cs="Times New Roman" w:eastAsia="Times New Roman" w:hAnsi="Times New Roman"/>
                <w:sz w:val="22"/>
                <w:szCs w:val="22"/>
                <w:color w:val="auto"/>
              </w:rPr>
              <w:t>Investing activities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Net proceeds related to the sale of business</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405</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(10,656)</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(14,255)</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Business acquisitions, net of cash and cash equivalents acquired</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(34,126)</w:t>
            </w:r>
          </w:p>
        </w:tc>
      </w:tr>
      <w:tr>
        <w:trPr>
          <w:trHeight w:val="282"/>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investing, net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5</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156</w:t>
            </w:r>
          </w:p>
        </w:tc>
      </w:tr>
      <w:tr>
        <w:trPr>
          <w:trHeight w:val="277"/>
        </w:trPr>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(10,651)</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(47,820)</w:t>
            </w:r>
          </w:p>
        </w:tc>
      </w:tr>
      <w:tr>
        <w:trPr>
          <w:trHeight w:val="514"/>
        </w:trPr>
        <w:tc>
          <w:tcPr>
            <w:tcW w:w="8240" w:type="dxa"/>
            <w:vAlign w:val="bottom"/>
          </w:tcPr>
          <w:p>
            <w:pPr>
              <w:spacing w:after="0"/>
              <w:rPr>
                <w:sz w:val="20"/>
                <w:szCs w:val="20"/>
                <w:color w:val="auto"/>
              </w:rPr>
            </w:pPr>
            <w:r>
              <w:rPr>
                <w:rFonts w:ascii="Times New Roman" w:cs="Times New Roman" w:eastAsia="Times New Roman" w:hAnsi="Times New Roman"/>
                <w:sz w:val="22"/>
                <w:szCs w:val="22"/>
                <w:color w:val="auto"/>
              </w:rPr>
              <w:t>Financing activities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Proceeds from borrowings</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805,000</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Issuance of common stock</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5,436</w:t>
            </w:r>
          </w:p>
        </w:tc>
        <w:tc>
          <w:tcPr>
            <w:tcW w:w="3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2,972</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Payments on call spread for convertible offering</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(108,997)</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Repurchase of common stock</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Prepaid debt fees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(21,495)</w:t>
            </w:r>
          </w:p>
        </w:tc>
      </w:tr>
      <w:tr>
        <w:trPr>
          <w:trHeight w:val="282"/>
        </w:trPr>
        <w:tc>
          <w:tcPr>
            <w:tcW w:w="8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financing, net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(641)</w:t>
            </w:r>
          </w:p>
        </w:tc>
      </w:tr>
      <w:tr>
        <w:trPr>
          <w:trHeight w:val="277"/>
        </w:trPr>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30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4,751</w:t>
            </w:r>
          </w:p>
        </w:tc>
        <w:tc>
          <w:tcPr>
            <w:tcW w:w="38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576,839</w:t>
            </w:r>
          </w:p>
        </w:tc>
      </w:tr>
      <w:tr>
        <w:trPr>
          <w:trHeight w:val="526"/>
        </w:trPr>
        <w:tc>
          <w:tcPr>
            <w:tcW w:w="824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changes on cash and cash equivalents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10,118</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(3,454)</w:t>
            </w:r>
          </w:p>
        </w:tc>
      </w:tr>
      <w:tr>
        <w:trPr>
          <w:trHeight w:val="251"/>
        </w:trPr>
        <w:tc>
          <w:tcPr>
            <w:tcW w:w="82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Increase in cash and cash equivalents</w:t>
            </w:r>
          </w:p>
        </w:tc>
        <w:tc>
          <w:tcPr>
            <w:tcW w:w="300" w:type="dxa"/>
            <w:vAlign w:val="bottom"/>
          </w:tcPr>
          <w:p>
            <w:pPr>
              <w:spacing w:after="0"/>
              <w:rPr>
                <w:sz w:val="21"/>
                <w:szCs w:val="21"/>
                <w:color w:val="auto"/>
              </w:rPr>
            </w:pPr>
          </w:p>
        </w:tc>
        <w:tc>
          <w:tcPr>
            <w:tcW w:w="1200" w:type="dxa"/>
            <w:vAlign w:val="bottom"/>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rPr>
              <w:t>173,020</w:t>
            </w:r>
          </w:p>
        </w:tc>
        <w:tc>
          <w:tcPr>
            <w:tcW w:w="380" w:type="dxa"/>
            <w:vAlign w:val="bottom"/>
          </w:tcPr>
          <w:p>
            <w:pPr>
              <w:spacing w:after="0"/>
              <w:rPr>
                <w:sz w:val="21"/>
                <w:szCs w:val="21"/>
                <w:color w:val="auto"/>
              </w:rPr>
            </w:pPr>
          </w:p>
        </w:tc>
        <w:tc>
          <w:tcPr>
            <w:tcW w:w="110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618,590</w:t>
            </w:r>
          </w:p>
        </w:tc>
      </w:tr>
      <w:tr>
        <w:trPr>
          <w:trHeight w:val="283"/>
        </w:trPr>
        <w:tc>
          <w:tcPr>
            <w:tcW w:w="824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1,051,237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302,049</w:t>
            </w:r>
          </w:p>
        </w:tc>
      </w:tr>
      <w:tr>
        <w:trPr>
          <w:trHeight w:val="264"/>
        </w:trPr>
        <w:tc>
          <w:tcPr>
            <w:tcW w:w="824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1,224,257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920,639</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(gain)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u w:val="single" w:color="auto"/>
          <w:color w:val="auto"/>
        </w:rPr>
        <w:t>Non-GAAP operating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non-GAAP operating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non-GAAP operating expenses as operating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excluding certain expenses related to the amortization of intangible assets, restructuring, (gain) loss on sale of business, and acquisition and integration related expenses. We define non-GAAP operating income as operating income excluding the expenses related to the amortization of intangible assets, restructuring, (gain)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w:t>
      </w:r>
    </w:p>
    <w:p>
      <w:pPr>
        <w:sectPr>
          <w:pgSz w:w="11900" w:h="16838" w:orient="portrait"/>
          <w:cols w:equalWidth="0" w:num="1">
            <w:col w:w="11240"/>
          </w:cols>
          <w:pgMar w:left="320" w:top="111" w:right="339" w:bottom="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attributable to Itron,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excluding the expenses associated with amortization of intangible assets, amortization of debt placement fees, restructuring, (gain)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adjusted EBITDA as net income (a) minus interest income, (b) plus interest expense, depreciation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amortization, restructuring, (gain)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2780" w:type="dxa"/>
            <w:vAlign w:val="bottom"/>
            <w:gridSpan w:val="5"/>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Three Months Ended June</w:t>
            </w:r>
          </w:p>
        </w:tc>
        <w:tc>
          <w:tcPr>
            <w:tcW w:w="160" w:type="dxa"/>
            <w:vAlign w:val="bottom"/>
          </w:tcPr>
          <w:p>
            <w:pPr>
              <w:spacing w:after="0"/>
              <w:rPr>
                <w:sz w:val="24"/>
                <w:szCs w:val="24"/>
                <w:color w:val="auto"/>
              </w:rPr>
            </w:pPr>
          </w:p>
        </w:tc>
        <w:tc>
          <w:tcPr>
            <w:tcW w:w="23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8"/>
              </w:rPr>
              <w:t>Six Months Ended June</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278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NON-GAAP OPERATING EXPENSES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9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GAAP operating expenses</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147,205</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145,813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288,211</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288,392</w:t>
            </w:r>
          </w:p>
        </w:tc>
        <w:tc>
          <w:tcPr>
            <w:tcW w:w="0" w:type="dxa"/>
            <w:vAlign w:val="bottom"/>
          </w:tcPr>
          <w:p>
            <w:pPr>
              <w:spacing w:after="0"/>
              <w:rPr>
                <w:sz w:val="1"/>
                <w:szCs w:val="1"/>
                <w:color w:val="auto"/>
              </w:rPr>
            </w:pPr>
          </w:p>
        </w:tc>
      </w:tr>
      <w:tr>
        <w:trPr>
          <w:trHeight w:val="270"/>
        </w:trPr>
        <w:tc>
          <w:tcPr>
            <w:tcW w:w="5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(4,543)</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(8,497)</w:t>
            </w:r>
          </w:p>
        </w:tc>
        <w:tc>
          <w:tcPr>
            <w:tcW w:w="0" w:type="dxa"/>
            <w:vAlign w:val="bottom"/>
          </w:tcPr>
          <w:p>
            <w:pPr>
              <w:spacing w:after="0"/>
              <w:rPr>
                <w:sz w:val="1"/>
                <w:szCs w:val="1"/>
                <w:color w:val="auto"/>
              </w:rPr>
            </w:pPr>
          </w:p>
        </w:tc>
      </w:tr>
      <w:tr>
        <w:trPr>
          <w:trHeight w:val="270"/>
        </w:trPr>
        <w:tc>
          <w:tcPr>
            <w:tcW w:w="5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Restructuring</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(1,237)</w:t>
            </w: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5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83"/>
        </w:trPr>
        <w:tc>
          <w:tcPr>
            <w:tcW w:w="59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(408)</w:t>
            </w:r>
          </w:p>
        </w:tc>
        <w:tc>
          <w:tcPr>
            <w:tcW w:w="0" w:type="dxa"/>
            <w:vAlign w:val="bottom"/>
          </w:tcPr>
          <w:p>
            <w:pPr>
              <w:spacing w:after="0"/>
              <w:rPr>
                <w:sz w:val="1"/>
                <w:szCs w:val="1"/>
                <w:color w:val="auto"/>
              </w:rPr>
            </w:pPr>
          </w:p>
        </w:tc>
      </w:tr>
      <w:tr>
        <w:trPr>
          <w:trHeight w:val="264"/>
        </w:trPr>
        <w:tc>
          <w:tcPr>
            <w:tcW w:w="59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141,392</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141,376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278,342</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279,430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NON-GAAP OPERATING INCOME</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GAAP operating income</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76,413</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64,647</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152,626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127,447</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4,543</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9,022</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8,497</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Restructuring</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1,237</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684</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79</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83"/>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33</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408</w:t>
            </w:r>
          </w:p>
        </w:tc>
        <w:tc>
          <w:tcPr>
            <w:tcW w:w="0" w:type="dxa"/>
            <w:vAlign w:val="bottom"/>
          </w:tcPr>
          <w:p>
            <w:pPr>
              <w:spacing w:after="0"/>
              <w:rPr>
                <w:sz w:val="1"/>
                <w:szCs w:val="1"/>
                <w:color w:val="auto"/>
              </w:rPr>
            </w:pPr>
          </w:p>
        </w:tc>
      </w:tr>
      <w:tr>
        <w:trPr>
          <w:trHeight w:val="264"/>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Non-GAAP operating income</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82,226</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69,084</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162,495</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136,409</w:t>
            </w:r>
          </w:p>
        </w:tc>
        <w:tc>
          <w:tcPr>
            <w:tcW w:w="0" w:type="dxa"/>
            <w:vAlign w:val="bottom"/>
          </w:tcPr>
          <w:p>
            <w:pPr>
              <w:spacing w:after="0"/>
              <w:rPr>
                <w:sz w:val="1"/>
                <w:szCs w:val="1"/>
                <w:color w:val="auto"/>
              </w:rPr>
            </w:pPr>
          </w:p>
        </w:tc>
      </w:tr>
      <w:tr>
        <w:trPr>
          <w:trHeight w:val="21"/>
        </w:trPr>
        <w:tc>
          <w:tcPr>
            <w:tcW w:w="58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NON-GAAP NET INCOME &amp; DILUTED EPS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68,340</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51,318</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133,814</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103,039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4,543</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9,022</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8,497</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Amortization of debt placement fees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1,757</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935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3,494</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1,779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Restructuring</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1,237</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684</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79</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33</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408</w:t>
            </w:r>
          </w:p>
        </w:tc>
        <w:tc>
          <w:tcPr>
            <w:tcW w:w="0" w:type="dxa"/>
            <w:vAlign w:val="bottom"/>
          </w:tcPr>
          <w:p>
            <w:pPr>
              <w:spacing w:after="0"/>
              <w:rPr>
                <w:sz w:val="1"/>
                <w:szCs w:val="1"/>
                <w:color w:val="auto"/>
              </w:rPr>
            </w:pPr>
          </w:p>
        </w:tc>
      </w:tr>
      <w:tr>
        <w:trPr>
          <w:trHeight w:val="283"/>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effect of non-GAAP adjustments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(796)</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(387)</w:t>
            </w:r>
          </w:p>
        </w:tc>
        <w:tc>
          <w:tcPr>
            <w:tcW w:w="0" w:type="dxa"/>
            <w:vAlign w:val="bottom"/>
          </w:tcPr>
          <w:p>
            <w:pPr>
              <w:spacing w:after="0"/>
              <w:rPr>
                <w:sz w:val="1"/>
                <w:szCs w:val="1"/>
                <w:color w:val="auto"/>
              </w:rPr>
            </w:pPr>
          </w:p>
        </w:tc>
      </w:tr>
      <w:tr>
        <w:trPr>
          <w:trHeight w:val="264"/>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Non-GAAP net income attributable to Itron, Inc.</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75,114</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56,102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145,224</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113,393</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Non-GAAP diluted EPS</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1.62</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1.21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3.14</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2.44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Non-GAAP weighted average common shares outstanding -</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46,380</w:t>
            </w:r>
          </w:p>
        </w:tc>
        <w:tc>
          <w:tcPr>
            <w:tcW w:w="400" w:type="dxa"/>
            <w:vAlign w:val="bottom"/>
          </w:tcPr>
          <w:p>
            <w:pPr>
              <w:spacing w:after="0"/>
              <w:rPr>
                <w:sz w:val="24"/>
                <w:szCs w:val="24"/>
                <w:color w:val="auto"/>
              </w:rPr>
            </w:pPr>
          </w:p>
        </w:tc>
        <w:tc>
          <w:tcPr>
            <w:tcW w:w="9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46,526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46,276</w:t>
            </w:r>
          </w:p>
        </w:tc>
        <w:tc>
          <w:tcPr>
            <w:tcW w:w="300" w:type="dxa"/>
            <w:vAlign w:val="bottom"/>
          </w:tcPr>
          <w:p>
            <w:pPr>
              <w:spacing w:after="0"/>
              <w:rPr>
                <w:sz w:val="24"/>
                <w:szCs w:val="24"/>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46,441</w:t>
            </w:r>
          </w:p>
        </w:tc>
        <w:tc>
          <w:tcPr>
            <w:tcW w:w="0" w:type="dxa"/>
            <w:vAlign w:val="bottom"/>
          </w:tcPr>
          <w:p>
            <w:pPr>
              <w:spacing w:after="0"/>
              <w:rPr>
                <w:sz w:val="1"/>
                <w:szCs w:val="1"/>
                <w:color w:val="auto"/>
              </w:rPr>
            </w:pPr>
          </w:p>
        </w:tc>
      </w:tr>
      <w:tr>
        <w:trPr>
          <w:trHeight w:val="257"/>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Diluted</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68,340</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51,318</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133,814</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103,039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income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(12,303)</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(24,013)</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(8,974)</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expense</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5,648</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2,290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11,241</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4,183</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provision</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14,730</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15,180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31,659</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28,609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12,114</w:t>
            </w: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13,519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24,182</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26,263</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Restructuring</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1,237</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684</w:t>
            </w:r>
          </w:p>
        </w:tc>
        <w:tc>
          <w:tcPr>
            <w:tcW w:w="3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79</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83"/>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33</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408</w:t>
            </w:r>
          </w:p>
        </w:tc>
        <w:tc>
          <w:tcPr>
            <w:tcW w:w="0" w:type="dxa"/>
            <w:vAlign w:val="bottom"/>
          </w:tcPr>
          <w:p>
            <w:pPr>
              <w:spacing w:after="0"/>
              <w:rPr>
                <w:sz w:val="1"/>
                <w:szCs w:val="1"/>
                <w:color w:val="auto"/>
              </w:rPr>
            </w:pPr>
          </w:p>
        </w:tc>
      </w:tr>
      <w:tr>
        <w:trPr>
          <w:trHeight w:val="264"/>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Adjusted EBITDA</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89,799</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77,105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177,730</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153,585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96,685</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51,717</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168,802</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93,025</w:t>
            </w:r>
          </w:p>
        </w:tc>
        <w:tc>
          <w:tcPr>
            <w:tcW w:w="0" w:type="dxa"/>
            <w:vAlign w:val="bottom"/>
          </w:tcPr>
          <w:p>
            <w:pPr>
              <w:spacing w:after="0"/>
              <w:rPr>
                <w:sz w:val="1"/>
                <w:szCs w:val="1"/>
                <w:color w:val="auto"/>
              </w:rPr>
            </w:pPr>
          </w:p>
        </w:tc>
      </w:tr>
      <w:tr>
        <w:trPr>
          <w:trHeight w:val="283"/>
        </w:trPr>
        <w:tc>
          <w:tcPr>
            <w:tcW w:w="5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(6,017)</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(10,656)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(14,255)</w:t>
            </w:r>
          </w:p>
        </w:tc>
        <w:tc>
          <w:tcPr>
            <w:tcW w:w="0" w:type="dxa"/>
            <w:vAlign w:val="bottom"/>
          </w:tcPr>
          <w:p>
            <w:pPr>
              <w:spacing w:after="0"/>
              <w:rPr>
                <w:sz w:val="1"/>
                <w:szCs w:val="1"/>
                <w:color w:val="auto"/>
              </w:rPr>
            </w:pPr>
          </w:p>
        </w:tc>
      </w:tr>
      <w:tr>
        <w:trPr>
          <w:trHeight w:val="264"/>
        </w:trPr>
        <w:tc>
          <w:tcPr>
            <w:tcW w:w="5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Free Cash Flow</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90,668</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44,607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158,146</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78,770</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4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73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2025-07-31T07:38:26Z</dcterms:created>
  <dcterms:modified xsi:type="dcterms:W3CDTF">2025-07-31T07:38:26Z</dcterms:modified>
</cp:coreProperties>
</file>