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495300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313"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0"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233"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233"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364"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233"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233"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o</w:t>
            </w:r>
          </w:p>
        </w:tc>
        <w:tc>
          <w:tcPr>
            <w:tcW w:w="394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w:t>
            </w:r>
          </w:p>
        </w:tc>
        <w:tc>
          <w:tcPr>
            <w:tcW w:w="780" w:type="dxa"/>
            <w:vAlign w:val="bottom"/>
            <w:vMerge w:val="restart"/>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78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As of March 31, 2014 there were outstanding 39,323,103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Comprehensive Income (Loss)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Cash Flows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4">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3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8">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49">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0">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0">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50">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0">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1">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33</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49</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EE"/>
                <w:w w:val="98"/>
              </w:rPr>
            </w:pPr>
            <w:hyperlink w:anchor="page51">
              <w:r>
                <w:rPr>
                  <w:rFonts w:ascii="Arial" w:cs="Arial" w:eastAsia="Arial" w:hAnsi="Arial"/>
                  <w:sz w:val="18"/>
                  <w:szCs w:val="18"/>
                  <w:b w:val="1"/>
                  <w:bCs w:val="1"/>
                  <w:color w:val="0000EE"/>
                  <w:w w:val="98"/>
                </w:rPr>
                <w:t>SIGNATURE</w:t>
              </w:r>
            </w:hyperlink>
          </w:p>
        </w:tc>
        <w:tc>
          <w:tcPr>
            <w:tcW w:w="10040" w:type="dxa"/>
            <w:vAlign w:val="bottom"/>
            <w:gridSpan w:val="2"/>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8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 March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8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8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(in thousands, except per share data)</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474,795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447,536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320,260</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307,413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154,535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140,123</w:t>
            </w: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47,609</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48,216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44,208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40,407</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33,595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5,524</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149,996</w:t>
            </w:r>
          </w:p>
        </w:tc>
        <w:tc>
          <w:tcPr>
            <w:tcW w:w="1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137,776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7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4,539</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Itron, Inc.</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 - Basic</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per common share - Diluted</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480" w:type="dxa"/>
            <w:vAlign w:val="bottom"/>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39,235</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39,420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4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39,235</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39,770</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22860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(in thousands)</w:t>
            </w:r>
          </w:p>
        </w:tc>
        <w:tc>
          <w:tcPr>
            <w:tcW w:w="15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52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5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(31,300)</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w w:val="96"/>
              </w:rPr>
              <w:t>Net unrealized gain (loss) on derivative instruments, designated as cash flow hedges</w:t>
            </w:r>
          </w:p>
        </w:tc>
        <w:tc>
          <w:tcPr>
            <w:tcW w:w="1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6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hedging loss (gain) reclassified into net income</w:t>
            </w:r>
          </w:p>
        </w:tc>
        <w:tc>
          <w:tcPr>
            <w:tcW w:w="1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Pension plan benefit liability adjustment</w:t>
            </w:r>
          </w:p>
        </w:tc>
        <w:tc>
          <w:tcPr>
            <w:tcW w:w="15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
        </w:trPr>
        <w:tc>
          <w:tcPr>
            <w:tcW w:w="67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5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(28,257)</w:t>
            </w:r>
          </w:p>
        </w:tc>
      </w:tr>
      <w:tr>
        <w:trPr>
          <w:trHeight w:val="27"/>
        </w:trPr>
        <w:tc>
          <w:tcPr>
            <w:tcW w:w="67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income (loss) attributable to noncontrolling interests, net of tax:</w:t>
            </w:r>
          </w:p>
        </w:tc>
        <w:tc>
          <w:tcPr>
            <w:tcW w:w="1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5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926</w:t>
            </w:r>
          </w:p>
        </w:tc>
      </w:tr>
      <w:tr>
        <w:trPr>
          <w:trHeight w:val="27"/>
        </w:trPr>
        <w:tc>
          <w:tcPr>
            <w:tcW w:w="6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6740" w:type="dxa"/>
            <w:vAlign w:val="bottom"/>
          </w:tcPr>
          <w:p>
            <w:pPr>
              <w:ind w:left="200"/>
              <w:spacing w:after="0"/>
              <w:rPr>
                <w:sz w:val="20"/>
                <w:szCs w:val="20"/>
                <w:color w:val="auto"/>
              </w:rPr>
            </w:pPr>
            <w:r>
              <w:rPr>
                <w:rFonts w:ascii="Arial" w:cs="Arial" w:eastAsia="Arial" w:hAnsi="Arial"/>
                <w:sz w:val="18"/>
                <w:szCs w:val="18"/>
                <w:color w:val="auto"/>
              </w:rPr>
              <w:t>Amounts attributable to noncontrolling interests</w:t>
            </w:r>
          </w:p>
        </w:tc>
        <w:tc>
          <w:tcPr>
            <w:tcW w:w="15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921</w:t>
            </w:r>
          </w:p>
        </w:tc>
      </w:tr>
      <w:tr>
        <w:trPr>
          <w:trHeight w:val="27"/>
        </w:trPr>
        <w:tc>
          <w:tcPr>
            <w:tcW w:w="67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152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(29,178)</w:t>
            </w:r>
          </w:p>
        </w:tc>
      </w:tr>
      <w:tr>
        <w:trPr>
          <w:trHeight w:val="20"/>
        </w:trPr>
        <w:tc>
          <w:tcPr>
            <w:tcW w:w="6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33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rPr>
              <w:t>ITRON, INC.</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CONSOLIDATED BALANCE SHEETS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3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8"/>
              </w:rPr>
              <w:t>(in thousands)</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2"/>
              </w:rPr>
              <w:t>March 31, 2014</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2013</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26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2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3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124,805</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341,547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356,709</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177,467</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Deferred tax assets current,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36,995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37,110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103,275</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28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822,409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799,366</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237,326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246,820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58,880</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32,102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33,027</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195,840</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546,437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548,578</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1,882,511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1280" w:type="dxa"/>
            <w:vAlign w:val="bottom"/>
          </w:tcPr>
          <w:p>
            <w:pPr>
              <w:spacing w:after="0"/>
              <w:rPr>
                <w:sz w:val="24"/>
                <w:szCs w:val="24"/>
                <w:color w:val="auto"/>
              </w:rPr>
            </w:pPr>
          </w:p>
        </w:tc>
        <w:tc>
          <w:tcPr>
            <w:tcW w:w="6000" w:type="dxa"/>
            <w:vAlign w:val="bottom"/>
            <w:gridSpan w:val="3"/>
          </w:tcPr>
          <w:p>
            <w:pPr>
              <w:jc w:val="right"/>
              <w:ind w:right="2490"/>
              <w:spacing w:after="0"/>
              <w:rPr>
                <w:sz w:val="20"/>
                <w:szCs w:val="20"/>
                <w:color w:val="auto"/>
              </w:rPr>
            </w:pPr>
            <w:r>
              <w:rPr>
                <w:rFonts w:ascii="Arial" w:cs="Arial" w:eastAsia="Arial" w:hAnsi="Arial"/>
                <w:sz w:val="18"/>
                <w:szCs w:val="18"/>
                <w:b w:val="1"/>
                <w:bCs w:val="1"/>
                <w:color w:val="auto"/>
              </w:rPr>
              <w:t>LIABILITIES AND EQUITY</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3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199,769</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75,969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70,768</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89,314</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14,819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10,700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26,250</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21,989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21,048</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37,163</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8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494,163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455,012</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352,500</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24,098</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Pension plan benefit liability</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89,498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88,687</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79,580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81,917</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1,013,399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1,009,540</w:t>
            </w:r>
          </w:p>
        </w:tc>
      </w:tr>
      <w:tr>
        <w:trPr>
          <w:trHeight w:val="284"/>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Preferred stock</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1,291,690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1,290,629</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(24,836)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(21,722)</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(413,671)</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852,929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855,236</w:t>
            </w:r>
          </w:p>
        </w:tc>
      </w:tr>
      <w:tr>
        <w:trPr>
          <w:trHeight w:val="27"/>
        </w:trPr>
        <w:tc>
          <w:tcPr>
            <w:tcW w:w="1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17,735</w:t>
            </w:r>
          </w:p>
        </w:tc>
      </w:tr>
      <w:tr>
        <w:trPr>
          <w:trHeight w:val="237"/>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8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870,800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872,971</w:t>
            </w:r>
          </w:p>
        </w:tc>
      </w:tr>
      <w:tr>
        <w:trPr>
          <w:trHeight w:val="27"/>
        </w:trPr>
        <w:tc>
          <w:tcPr>
            <w:tcW w:w="12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3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1,882,511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138"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22860</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24,757</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5,096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Deferred taxes,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(9,227)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Goodwill impairment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Restructuring expense, non-cash</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adjustments,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acquisition:</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(15,944)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3,549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other current liabilities, and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Wages and benefits payable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Warranty</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(2,098)</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66,761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Business acquisitions, net of cash and cash equivalents acquired</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634</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(17,243)</w:t>
            </w: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21,522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(34,850)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124,805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136,411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146,327</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101,561</w:t>
            </w:r>
          </w:p>
        </w:tc>
      </w:tr>
      <w:tr>
        <w:trPr>
          <w:trHeight w:val="67"/>
        </w:trPr>
        <w:tc>
          <w:tcPr>
            <w:tcW w:w="79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7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Non-cash transactions: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purchased but not yet paid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6,890</w:t>
            </w: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Interest, net of amounts capitalized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1,867</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4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44"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electricity, natural gas, and water markets throughout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months ended March 31, 2014 and 2013, the Consolidated Balance Sheets as of March 31, 2014 and December 31, 2013, and the Consolidated Statements of Cash Flows for the three months ended March 31, 2014 and 2013 of Itron, Inc. and its subsidiaries. All entries required for the fair presentation of the financial statements are of a normal recurring nature, except as disclosed.</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2013 audited financial statements and notes included in our Annual Report on Form 10-K filed with the SEC on February 26, 2014. The results of operations for the three months ended March 31, 2014 are not necessarily indicative of the results expected for the full fiscal year or for any other fiscal period.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are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 earnings when the hedged item affects earnings. Ineffective portions of cash flow hedges are recognized in other income (expense) in the Consolidated Statements of Operations.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 contract counterparties are credit-worthy multinational commercial banks, with whom we have master netting agreements; however, our derivative positions are not recorded on a net basis in the Consolidated Balance Sheets. There are no credit-risk-related contingent features within our derivative instruments. Refer to Note 7 and Note 13 for further disclosures of our derivative instruments and their impact on OCI.</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software, and furniture. Leasehold improvements are capitalized and depreciated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 of Operations according to the use of the asset, except those gains and losses recognized in conjunction with our restructuring activities, which are classified within restructuring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recorded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recorded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recorded value of the associated IPR&amp;D is immediately expensed.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 Cash payments for contingent or deferred consideration are classified within cash flows from investing activities within the Consolidated Statements of Cash Flows.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and intangible assets may result from our acquisitions.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Each reporting unit corresponds with its respective operating segment, effective in the fourth quarter of 2013.</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result in awards that are significantly greater or less than the estimates made in earlier quarters.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control efforts during manufacturing reduce our exposure to warranty claims. When our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and Asset Impairments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 liability for costs associated with an exit or disposal activity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termination of a contract in accordance with the contract terms or the cessation of the use of the rights conveyed by the contract, whichever occurs later.</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 impairments are determined at the asset group level. An impairment may be recorded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the Company's goodwill balance is allocated to it based on relative fair value.</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reported separately as treasury stock on the financial statements; the value of the repurchased shares is deducted from common stock.</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The majority of our revenue is recognized when products are shipped to or received by a customer or when services are provided.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Hardware revenues are recognized at the time of shipment, receipt by the customer, or, if applicable, upon completion of customer acceptance provisions.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network software revenue is recognized when shipped if all other revenue recognition criteria are met and services are not essential to the functionality of the software. If implementation services are essential to the functionality of the network software, software and implementation revenues are recognized using the percentage-of-completion methodology of contract accounting when project costs are reliably estimated.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data collection system does not use standard internet protocols and network design services are deemed complex and extensive, revenue from network software and services is recognized using the units-of-delivery method of contract accounting, as network design services and network software are essential to the functionality of the related hardware (network). This methodology results in the deferral of costs and revenues as professional services and software implementation commence prior to deployment of hardware.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it is estimated.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multiple deliverable software arrangements.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Unearned revenue is recorded when a customer pays for products or services, but the criteria for revenue recognition have not been met as of the balance sheet date. Unearned revenues of $85.9 million and $69.8 million at March 31, 2014 and December 31, 2013 related primarily to professional services and software associated with our smart metering contracts, extended or noncustomary warranty, and prepaid post-contract support. Deferred costs are recorded for products or services for which ownership (typically defined as title and risk of loss) has transferred to the customer, but the criteria for revenue recognition have not been met as of the balance sheet date. Deferred costs were $24.3 million and $23.5 million at March 31, 2014 and December 31, 2013 and are recorded within other assets in the Consolidated Balance Sheets.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do not capitalize product development costs, and we do not generally capitalize software development expenses as the costs incurred are immaterial for the relatively short period of time between technological feasibility and the completion of software development.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For ESPP awards, the fair value is the difference between the market close price of our common stock on the date of purchase and the discounted purchase price. For performance-based restricted stock units and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October 1, 2013, we changed the terms of the ESPP to reduce the discount to 5% from the fair market value of the stock at the end of each fiscal quarter. As a result of this change, the ESPP is no longer considered compensatory, and no compensation expense is recognized for sales of our common stock to employees.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compute our interim income tax provision through the use of an estimated annual effective tax rate (ETR) applied to year-to-date operating results and specific events that are discretely recognized as they occur. In calculating the estimated annual ETR, we analyze various factors, including the forecast mix of earnings in domestic and international jurisdictions, new or revised tax legislation and accounting pronouncements, tax credits, state income taxes, adjustments to valuation allowances, and uncertain tax positions, among other items.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tax assets and liabilities are recognized based upon anticipated future tax consequences, in each of the jurisdictions in which we operate, attributable to: (1) the differences between the financial statement carrying amounts of existing assets and liabilities and their respective income tax bases; and</w:t>
      </w:r>
    </w:p>
    <w:p>
      <w:pPr>
        <w:jc w:val="both"/>
        <w:ind w:firstLine="8"/>
        <w:spacing w:after="0" w:line="292" w:lineRule="auto"/>
        <w:tabs>
          <w:tab w:leader="none" w:pos="258"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jurisdictions to our tax positions. The effect on deferred tax assets and liabilities of a change in tax rates is recognized in the period that includes the enactment date. A valuation allowance is recorded to reduce the carrying amount of deferred tax assets if it is more likely than not that such assets will not be realized. We do not record tax liabilities on undistributed earnings of international subsidiaries that are permanently reinvested.</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utilize a two step approach to account for uncertain tax positions. A tax position is first evaluated for recognition based on its technical merits. Tax positions that have a greater than 50%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recognition threshold or upon expiration of the statute of limitations. We classify interest expense and penalties related to uncertain tax positions and interest income on tax overpayments as part of income tax expense.</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Financial Accounting Standards Board issued Accounting Standards Update (ASU) 2013.11, </w:t>
      </w:r>
      <w:r>
        <w:rPr>
          <w:rFonts w:ascii="Arial" w:cs="Arial" w:eastAsia="Arial" w:hAnsi="Arial"/>
          <w:sz w:val="18"/>
          <w:szCs w:val="18"/>
          <w:i w:val="1"/>
          <w:iCs w:val="1"/>
          <w:color w:val="auto"/>
        </w:rPr>
        <w:t>Presentation of an Unrecognized Tax Benefit When a 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Operating Loss Carryforward, a Similar Tax Loss, or a Tax Credit Carryforward Exists </w:t>
      </w:r>
      <w:r>
        <w:rPr>
          <w:rFonts w:ascii="Arial" w:cs="Arial" w:eastAsia="Arial" w:hAnsi="Arial"/>
          <w:sz w:val="18"/>
          <w:szCs w:val="18"/>
          <w:color w:val="auto"/>
        </w:rPr>
        <w:t>on July 18, 2013. The ASU requires that an unrecognized tax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should be presented as a reduction of a deferred tax asset when settlement in this manner is available under the law. We adopted this amendment as of January 1, 2014. The result of adoption was to reclassify an immaterial amount of long-term liabilities to long-term deferred tax assets with no impact to the tax provision during the first quarter of 2014.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280" w:lineRule="exact"/>
        <w:rPr>
          <w:sz w:val="20"/>
          <w:szCs w:val="20"/>
          <w:color w:val="auto"/>
        </w:rPr>
      </w:pPr>
    </w:p>
    <w:p>
      <w:pPr>
        <w:jc w:val="center"/>
        <w:ind w:left="67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67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33020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92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92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(in thousands, except per share data)</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2,570</w:t>
            </w:r>
          </w:p>
        </w:tc>
      </w:tr>
      <w:tr>
        <w:trPr>
          <w:trHeight w:val="270"/>
        </w:trPr>
        <w:tc>
          <w:tcPr>
            <w:tcW w:w="67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39,235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39,420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5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350</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39,235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39,770</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Earnings (loss) per common share - Basic</w:t>
            </w:r>
          </w:p>
        </w:tc>
        <w:tc>
          <w:tcPr>
            <w:tcW w:w="1540" w:type="dxa"/>
            <w:vAlign w:val="bottom"/>
            <w:tcBorders>
              <w:top w:val="single" w:sz="8" w:color="auto"/>
            </w:tcBorders>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1500" w:type="dxa"/>
            <w:vAlign w:val="bottom"/>
            <w:tcBorders>
              <w:top w:val="single" w:sz="8" w:color="auto"/>
            </w:tcBorders>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0.07</w:t>
            </w:r>
          </w:p>
        </w:tc>
      </w:tr>
      <w:tr>
        <w:trPr>
          <w:trHeight w:val="73"/>
        </w:trPr>
        <w:tc>
          <w:tcPr>
            <w:tcW w:w="674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Earnings (loss) per common share - Diluted</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As a result of our net loss for for the three months ended March 31, 2014, there was no dilutive effect to the weighted average common shares outstanding for this period. Approximately 1.6 million stock-based awards were excluded from the calculation of diluted EPS for the three months ended March 31, 2014, and approximately 1.2 million stock-based awards were excluded from the calculation of diluted EPS for the three months ended March 31, 2013, because they were anti-dilutive. These stock-based awards could be dilutive in future periods.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March 31, 2014 and December 31, 2013.</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March 8, 2013, the Board authorized a 12-month repurchase program of up to $50 million in shares of our common stock. The March 8, 2013 authorization expired on March 7, 2014. From March 8, 2013 through March 7, 2014, we repurchased 720,595 shares of our common stock, totaling $29.9 million. From January 1, 2014 through March 7, 2014, we repurchased 75,203 shares of our common stock, totaling $2.9 million.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7, 2014, the Board authorized a 12-month repurchase program of up to $50 million in shares of our common stock, to begin on March 8, 2014, upon the expiration of the previous stock repurchase program. From March 8, 2014 through March 31, 2014, we have not repurchased any shares of our common stock, and $50.0 million remains under the current program for future purchases.</w:t>
      </w:r>
    </w:p>
    <w:p>
      <w:pPr>
        <w:spacing w:after="0" w:line="2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60" w:type="dxa"/>
            <w:vAlign w:val="bottom"/>
          </w:tcPr>
          <w:p>
            <w:pPr>
              <w:spacing w:after="0"/>
              <w:rPr>
                <w:sz w:val="20"/>
                <w:szCs w:val="20"/>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2014</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$8,758 and $8,368)</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310,927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328,240</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30,620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28,469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341,547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356,709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2014 and December 31, 2013, $3.1 million and $3.2 million, respectively, were recorded within trade receivables as billed but not yet paid by customers, in accordance with contract retainage provisions. At March 31, 2014 and December 31, 2013, contract retainage amounts that were unbilled and classified as unbilled receivables were $5.0 million and $4.3 million,</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These contract retainage amounts within trade receivables and unbilled receivables are expected to be collected within the following 12 months.</w:t>
      </w:r>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March 31, 2014, long-term unbilled receivables totaled $4.5 million. These long-term unbilled receivables are classified within other long-term assets, as collection is not anticipated within the following 12 months. We had no long-term billed contract retainage receivables at March 31, 2014, as we expect to collect all contract retainage receivables within the following 12 months. At December 31, 2013, long-term unbilled receivables totaled $4.7 million. These long-term unbilled receivables are classified within other long-term assets. We had no long-term billed contract retainage receivables at December 31, 2013.</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 activity</w:t>
            </w:r>
          </w:p>
        </w:tc>
        <w:tc>
          <w:tcPr>
            <w:tcW w:w="540" w:type="dxa"/>
            <w:vAlign w:val="bottom"/>
          </w:tcPr>
          <w:p>
            <w:pPr>
              <w:spacing w:after="0"/>
              <w:rPr>
                <w:sz w:val="20"/>
                <w:szCs w:val="20"/>
                <w:color w:val="auto"/>
              </w:rPr>
            </w:pPr>
          </w:p>
        </w:tc>
        <w:tc>
          <w:tcPr>
            <w:tcW w:w="4120" w:type="dxa"/>
            <w:vAlign w:val="bottom"/>
            <w:gridSpan w:val="4"/>
          </w:tcPr>
          <w:p>
            <w:pPr>
              <w:jc w:val="right"/>
              <w:ind w:right="1139"/>
              <w:spacing w:after="0"/>
              <w:rPr>
                <w:sz w:val="20"/>
                <w:szCs w:val="20"/>
                <w:color w:val="auto"/>
              </w:rPr>
            </w:pPr>
            <w:r>
              <w:rPr>
                <w:rFonts w:ascii="Arial" w:cs="Arial" w:eastAsia="Arial" w:hAnsi="Arial"/>
                <w:sz w:val="16"/>
                <w:szCs w:val="16"/>
                <w:b w:val="1"/>
                <w:bCs w:val="1"/>
                <w:color w:val="auto"/>
              </w:rPr>
              <w:t>Three Months Ended March 31,</w:t>
            </w:r>
          </w:p>
        </w:tc>
      </w:tr>
      <w:tr>
        <w:trPr>
          <w:trHeight w:val="27"/>
        </w:trPr>
        <w:tc>
          <w:tcPr>
            <w:tcW w:w="6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jc w:val="right"/>
              <w:ind w:right="899"/>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6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(in thousands)</w:t>
            </w:r>
          </w:p>
        </w:tc>
        <w:tc>
          <w:tcPr>
            <w:tcW w:w="15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7,372</w:t>
            </w:r>
          </w:p>
        </w:tc>
      </w:tr>
      <w:tr>
        <w:trPr>
          <w:trHeight w:val="237"/>
        </w:trPr>
        <w:tc>
          <w:tcPr>
            <w:tcW w:w="6740" w:type="dxa"/>
            <w:vAlign w:val="bottom"/>
          </w:tcPr>
          <w:p>
            <w:pPr>
              <w:ind w:left="540"/>
              <w:spacing w:after="0"/>
              <w:rPr>
                <w:sz w:val="20"/>
                <w:szCs w:val="20"/>
                <w:color w:val="auto"/>
              </w:rPr>
            </w:pPr>
            <w:r>
              <w:rPr>
                <w:rFonts w:ascii="Arial" w:cs="Arial" w:eastAsia="Arial" w:hAnsi="Arial"/>
                <w:sz w:val="16"/>
                <w:szCs w:val="16"/>
                <w:color w:val="auto"/>
              </w:rPr>
              <w:t>Provision (release) of doubtful accounts, net</w:t>
            </w:r>
          </w:p>
        </w:tc>
        <w:tc>
          <w:tcPr>
            <w:tcW w:w="5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(904)</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37"/>
        </w:trPr>
        <w:tc>
          <w:tcPr>
            <w:tcW w:w="674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5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33"/>
        </w:trPr>
        <w:tc>
          <w:tcPr>
            <w:tcW w:w="67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360" w:type="dxa"/>
            <w:vAlign w:val="bottom"/>
          </w:tcPr>
          <w:p>
            <w:pPr>
              <w:spacing w:after="0"/>
              <w:rPr>
                <w:sz w:val="20"/>
                <w:szCs w:val="20"/>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2014</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110,861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102,596</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10,958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13,770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70,754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61,101</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192,573</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177,467</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inventory levels may vary from period to period as a result of our factory scheduling and the timing of contract fulfillments, which may include the buildup of materials in preparation for customer orders or finished goods for shipment.</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Consigned inventory is held at third-party locations; however, we retain title to the inventory until it is purchased by the third-party. Consigned inventory, consisting of raw materials and finished goods, was $4.2 million and $6.4 million at March 31, 2014 and December 31, 2013, respectively.</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360" w:type="dxa"/>
            <w:vAlign w:val="bottom"/>
          </w:tcPr>
          <w:p>
            <w:pPr>
              <w:spacing w:after="0"/>
              <w:rPr>
                <w:sz w:val="20"/>
                <w:szCs w:val="20"/>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2014</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311,578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309,525</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101,002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99,654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146,214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145,926</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24,039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24,005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13,393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14,257</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3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596,226</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593,367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(358,900)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(346,547)</w:t>
            </w:r>
          </w:p>
        </w:tc>
      </w:tr>
      <w:tr>
        <w:trPr>
          <w:trHeight w:val="217"/>
        </w:trPr>
        <w:tc>
          <w:tcPr>
            <w:tcW w:w="6740" w:type="dxa"/>
            <w:vAlign w:val="bottom"/>
          </w:tcPr>
          <w:p>
            <w:pPr>
              <w:ind w:left="10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237,326</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246,820</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540" w:type="dxa"/>
            <w:vAlign w:val="bottom"/>
          </w:tcPr>
          <w:p>
            <w:pPr>
              <w:spacing w:after="0"/>
              <w:rPr>
                <w:sz w:val="20"/>
                <w:szCs w:val="20"/>
                <w:color w:val="auto"/>
              </w:rPr>
            </w:pPr>
          </w:p>
        </w:tc>
        <w:tc>
          <w:tcPr>
            <w:tcW w:w="4120" w:type="dxa"/>
            <w:vAlign w:val="bottom"/>
            <w:gridSpan w:val="3"/>
          </w:tcPr>
          <w:p>
            <w:pPr>
              <w:jc w:val="center"/>
              <w:ind w:right="45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7"/>
        </w:trPr>
        <w:tc>
          <w:tcPr>
            <w:tcW w:w="6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jc w:val="right"/>
              <w:ind w:right="919"/>
              <w:spacing w:after="0"/>
              <w:rPr>
                <w:sz w:val="20"/>
                <w:szCs w:val="20"/>
                <w:color w:val="auto"/>
              </w:rPr>
            </w:pPr>
            <w:r>
              <w:rPr>
                <w:rFonts w:ascii="Arial" w:cs="Arial" w:eastAsia="Arial" w:hAnsi="Arial"/>
                <w:sz w:val="16"/>
                <w:szCs w:val="16"/>
                <w:b w:val="1"/>
                <w:bCs w:val="1"/>
                <w:color w:val="auto"/>
              </w:rPr>
              <w:t>2014</w:t>
            </w:r>
          </w:p>
        </w:tc>
        <w:tc>
          <w:tcPr>
            <w:tcW w:w="800" w:type="dxa"/>
            <w:vAlign w:val="bottom"/>
          </w:tcPr>
          <w:p>
            <w:pPr>
              <w:spacing w:after="0"/>
              <w:rPr>
                <w:sz w:val="20"/>
                <w:szCs w:val="20"/>
                <w:color w:val="auto"/>
              </w:rPr>
            </w:pPr>
          </w:p>
        </w:tc>
        <w:tc>
          <w:tcPr>
            <w:tcW w:w="1560" w:type="dxa"/>
            <w:vAlign w:val="bottom"/>
          </w:tcPr>
          <w:p>
            <w:pPr>
              <w:jc w:val="right"/>
              <w:ind w:right="899"/>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60" w:type="dxa"/>
            <w:vAlign w:val="bottom"/>
            <w:gridSpan w:val="2"/>
          </w:tcPr>
          <w:p>
            <w:pPr>
              <w:jc w:val="center"/>
              <w:ind w:left="939"/>
              <w:spacing w:after="0"/>
              <w:rPr>
                <w:sz w:val="20"/>
                <w:szCs w:val="20"/>
                <w:color w:val="auto"/>
              </w:rPr>
            </w:pPr>
            <w:r>
              <w:rPr>
                <w:rFonts w:ascii="Arial" w:cs="Arial" w:eastAsia="Arial" w:hAnsi="Arial"/>
                <w:sz w:val="16"/>
                <w:szCs w:val="16"/>
                <w:b w:val="1"/>
                <w:bCs w:val="1"/>
                <w:color w:val="auto"/>
                <w:w w:val="88"/>
              </w:rPr>
              <w:t>(in thousands)</w:t>
            </w:r>
          </w:p>
        </w:tc>
        <w:tc>
          <w:tcPr>
            <w:tcW w:w="15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14,522</w:t>
            </w:r>
          </w:p>
        </w:tc>
        <w:tc>
          <w:tcPr>
            <w:tcW w:w="8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14,013</w:t>
            </w:r>
          </w:p>
        </w:tc>
      </w:tr>
      <w:tr>
        <w:trPr>
          <w:trHeight w:val="33"/>
        </w:trPr>
        <w:tc>
          <w:tcPr>
            <w:tcW w:w="6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 2014</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 Assets</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w w:val="85"/>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w:t>
            </w: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427,981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(361,601)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428,890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72,873</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290,198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(177,737)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112,461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291,185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(173,952)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117,233</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11,089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(618,156)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804,281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195,840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 activity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2013</w:t>
            </w:r>
          </w:p>
        </w:tc>
        <w:tc>
          <w:tcPr>
            <w:tcW w:w="8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804,281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802,540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(2,073)</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(20,624)</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802,208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781,916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of our international subsidiaries are recorded in their respective functional currency; therefore, the carrying amounts of intangible assets increase or decrease, with a corresponding change in accumulated OCI, due to changes in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Estimated Annual</w:t>
            </w:r>
          </w:p>
        </w:tc>
        <w:tc>
          <w:tcPr>
            <w:tcW w:w="0" w:type="dxa"/>
            <w:vAlign w:val="bottom"/>
          </w:tcPr>
          <w:p>
            <w:pPr>
              <w:spacing w:after="0"/>
              <w:rPr>
                <w:sz w:val="1"/>
                <w:szCs w:val="1"/>
                <w:color w:val="auto"/>
              </w:rPr>
            </w:pPr>
          </w:p>
        </w:tc>
      </w:tr>
      <w:tr>
        <w:trPr>
          <w:trHeight w:val="210"/>
        </w:trPr>
        <w:tc>
          <w:tcPr>
            <w:tcW w:w="4480" w:type="dxa"/>
            <w:vAlign w:val="bottom"/>
          </w:tcPr>
          <w:p>
            <w:pPr>
              <w:ind w:left="40"/>
              <w:spacing w:after="0"/>
              <w:rPr>
                <w:sz w:val="20"/>
                <w:szCs w:val="20"/>
                <w:color w:val="auto"/>
              </w:rPr>
            </w:pPr>
            <w:r>
              <w:rPr>
                <w:rFonts w:ascii="Arial" w:cs="Arial" w:eastAsia="Arial" w:hAnsi="Arial"/>
                <w:sz w:val="16"/>
                <w:szCs w:val="16"/>
                <w:b w:val="1"/>
                <w:bCs w:val="1"/>
                <w:color w:val="auto"/>
              </w:rPr>
              <w:t>Years ending December 31,</w:t>
            </w:r>
          </w:p>
        </w:tc>
        <w:tc>
          <w:tcPr>
            <w:tcW w:w="4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jc w:val="center"/>
              <w:ind w:right="279"/>
              <w:spacing w:after="0"/>
              <w:rPr>
                <w:sz w:val="20"/>
                <w:szCs w:val="20"/>
                <w:color w:val="auto"/>
              </w:rPr>
            </w:pPr>
            <w:r>
              <w:rPr>
                <w:rFonts w:ascii="Arial" w:cs="Arial" w:eastAsia="Arial" w:hAnsi="Arial"/>
                <w:sz w:val="16"/>
                <w:szCs w:val="16"/>
                <w:b w:val="1"/>
                <w:bCs w:val="1"/>
                <w:color w:val="auto"/>
                <w:w w:val="96"/>
              </w:rPr>
              <w:t>Amortization</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jc w:val="center"/>
              <w:ind w:right="27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 (amount remaining at March 31, 2014)</w:t>
            </w:r>
          </w:p>
        </w:tc>
        <w:tc>
          <w:tcPr>
            <w:tcW w:w="4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33,305</w:t>
            </w:r>
          </w:p>
        </w:tc>
        <w:tc>
          <w:tcPr>
            <w:tcW w:w="0" w:type="dxa"/>
            <w:vAlign w:val="bottom"/>
          </w:tcPr>
          <w:p>
            <w:pPr>
              <w:spacing w:after="0"/>
              <w:rPr>
                <w:sz w:val="1"/>
                <w:szCs w:val="1"/>
                <w:color w:val="auto"/>
              </w:rPr>
            </w:pPr>
          </w:p>
        </w:tc>
      </w:tr>
      <w:tr>
        <w:trPr>
          <w:trHeight w:val="224"/>
        </w:trPr>
        <w:tc>
          <w:tcPr>
            <w:tcW w:w="4480" w:type="dxa"/>
            <w:vAlign w:val="bottom"/>
          </w:tcPr>
          <w:p>
            <w:pPr>
              <w:ind w:left="40"/>
              <w:spacing w:after="0"/>
              <w:rPr>
                <w:sz w:val="20"/>
                <w:szCs w:val="20"/>
                <w:color w:val="auto"/>
              </w:rPr>
            </w:pPr>
            <w:r>
              <w:rPr>
                <w:rFonts w:ascii="Arial" w:cs="Arial" w:eastAsia="Arial" w:hAnsi="Arial"/>
                <w:sz w:val="16"/>
                <w:szCs w:val="16"/>
                <w:color w:val="auto"/>
              </w:rPr>
              <w:t>2015</w:t>
            </w:r>
          </w:p>
        </w:tc>
        <w:tc>
          <w:tcPr>
            <w:tcW w:w="4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35,630</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4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28,025</w:t>
            </w:r>
          </w:p>
        </w:tc>
        <w:tc>
          <w:tcPr>
            <w:tcW w:w="0" w:type="dxa"/>
            <w:vAlign w:val="bottom"/>
          </w:tcPr>
          <w:p>
            <w:pPr>
              <w:spacing w:after="0"/>
              <w:rPr>
                <w:sz w:val="1"/>
                <w:szCs w:val="1"/>
                <w:color w:val="auto"/>
              </w:rPr>
            </w:pPr>
          </w:p>
        </w:tc>
      </w:tr>
      <w:tr>
        <w:trPr>
          <w:trHeight w:val="224"/>
        </w:trPr>
        <w:tc>
          <w:tcPr>
            <w:tcW w:w="4480" w:type="dxa"/>
            <w:vAlign w:val="bottom"/>
          </w:tcPr>
          <w:p>
            <w:pPr>
              <w:ind w:left="40"/>
              <w:spacing w:after="0"/>
              <w:rPr>
                <w:sz w:val="20"/>
                <w:szCs w:val="20"/>
                <w:color w:val="auto"/>
              </w:rPr>
            </w:pPr>
            <w:r>
              <w:rPr>
                <w:rFonts w:ascii="Arial" w:cs="Arial" w:eastAsia="Arial" w:hAnsi="Arial"/>
                <w:sz w:val="16"/>
                <w:szCs w:val="16"/>
                <w:color w:val="auto"/>
              </w:rPr>
              <w:t>2017</w:t>
            </w:r>
          </w:p>
        </w:tc>
        <w:tc>
          <w:tcPr>
            <w:tcW w:w="4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20,836</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14,655</w:t>
            </w:r>
          </w:p>
        </w:tc>
        <w:tc>
          <w:tcPr>
            <w:tcW w:w="0" w:type="dxa"/>
            <w:vAlign w:val="bottom"/>
          </w:tcPr>
          <w:p>
            <w:pPr>
              <w:spacing w:after="0"/>
              <w:rPr>
                <w:sz w:val="1"/>
                <w:szCs w:val="1"/>
                <w:color w:val="auto"/>
              </w:rPr>
            </w:pPr>
          </w:p>
        </w:tc>
      </w:tr>
      <w:tr>
        <w:trPr>
          <w:trHeight w:val="224"/>
        </w:trPr>
        <w:tc>
          <w:tcPr>
            <w:tcW w:w="4480" w:type="dxa"/>
            <w:vAlign w:val="bottom"/>
          </w:tcPr>
          <w:p>
            <w:pPr>
              <w:ind w:left="40"/>
              <w:spacing w:after="0"/>
              <w:rPr>
                <w:sz w:val="20"/>
                <w:szCs w:val="20"/>
                <w:color w:val="auto"/>
              </w:rPr>
            </w:pPr>
            <w:r>
              <w:rPr>
                <w:rFonts w:ascii="Arial" w:cs="Arial" w:eastAsia="Arial" w:hAnsi="Arial"/>
                <w:sz w:val="16"/>
                <w:szCs w:val="16"/>
                <w:color w:val="auto"/>
              </w:rPr>
              <w:t>Beyond 2018</w:t>
            </w:r>
          </w:p>
        </w:tc>
        <w:tc>
          <w:tcPr>
            <w:tcW w:w="4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51,601</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w:t>
            </w:r>
          </w:p>
        </w:tc>
        <w:tc>
          <w:tcPr>
            <w:tcW w:w="4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184,052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3036"/>
              <w:spacing w:after="0"/>
              <w:rPr>
                <w:sz w:val="20"/>
                <w:szCs w:val="20"/>
                <w:color w:val="auto"/>
              </w:rPr>
            </w:pPr>
            <w:r>
              <w:rPr>
                <w:rFonts w:ascii="Arial" w:cs="Arial" w:eastAsia="Arial" w:hAnsi="Arial"/>
                <w:sz w:val="18"/>
                <w:szCs w:val="18"/>
                <w:color w:val="auto"/>
              </w:rPr>
              <w:t>14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as of March 31, 2014:</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Electricity</w:t>
            </w:r>
          </w:p>
        </w:tc>
        <w:tc>
          <w:tcPr>
            <w:tcW w:w="50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Water</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2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Balance at January 1, 2014</w:t>
            </w: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493,610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394,878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429,783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1,318,271</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(433,378)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(336,315)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(769,693)</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60,232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394,878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548,578</w:t>
            </w:r>
          </w:p>
        </w:tc>
      </w:tr>
      <w:tr>
        <w:trPr>
          <w:trHeight w:val="264"/>
        </w:trPr>
        <w:tc>
          <w:tcPr>
            <w:tcW w:w="28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(1,164)</w:t>
            </w: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Balance at March 31, 2014</w:t>
            </w:r>
          </w:p>
        </w:tc>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492,619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394,026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428,835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1,315,480</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(433,469)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(335,574)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(769,043)</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59,150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394,026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546,437</w:t>
            </w: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our 2013 annual goodwill impairment test, we determined that the carrying value of the Electricity reporting unit exceeded its fair value, primarily due to delays in global smart grid projects and lower volumes and pricing pressures in certain regions in Europe and Asia/Pacific. The revised forecast for the Electricity business drove a decrease in the fair value of the reporting unit. As a result, we performed the second step of the goodwill impairment test for the Electricity reporting unit, which indicated a goodwill impairment of $173.2 million was necessary. This charge was recorded during the fourth quarter of 2013. Upon finalizing our 2013 goodwill analysis late in the year-end reporting process, we determined $977,000 of additional goodwill impairment expense should have been recognized. In accordance with relevant accounting guidance, we evaluated the materiality of the error from a qualitative and quantitative perspective. Based on such evaluation, we concluded that recognizing the incremental goodwill impairment during the three months ended March 31, 2014 would not be material, quantitatively or qualitatively, to our results of operations for the three months ended March 31, 2014 or our expected full year results of operations for 2014 and would not have had a material impact on our results for the year ended December 31, 2013. Because this adjustment was not material individually or in aggregate, we did not retrospectively adjust the comparative amount on the Consolidated Balance Sheet as of December 31, 2013.</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 for a description of our reporting units and the methods used to determine the fair values of our reporting units and to determine the amount of any goodwill impairment.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accumulated impairment losses associated with our international subsidiaries are recorded in their respective functional currency; therefore, the carrying amounts of these balances increase or decrease, with a corresponding change in accumulated OCI, due to changes in foreign currency exchange rates.</w:t>
      </w:r>
    </w:p>
    <w:p>
      <w:pPr>
        <w:sectPr>
          <w:pgSz w:w="11900" w:h="16838" w:orient="portrait"/>
          <w:cols w:equalWidth="0" w:num="1">
            <w:col w:w="11420"/>
          </w:cols>
          <w:pgMar w:left="240" w:top="125" w:right="239" w:bottom="1440" w:gutter="0" w:footer="0" w:header="0"/>
        </w:sectPr>
      </w:pPr>
    </w:p>
    <w:p>
      <w:pPr>
        <w:spacing w:after="0" w:line="2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2014</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40"/>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253,125</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258,750</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95,000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120,000</w:t>
            </w:r>
          </w:p>
        </w:tc>
      </w:tr>
      <w:tr>
        <w:trPr>
          <w:trHeight w:val="33"/>
        </w:trPr>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348,125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378,750</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28,125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26,250</w:t>
            </w:r>
          </w:p>
        </w:tc>
      </w:tr>
      <w:tr>
        <w:trPr>
          <w:trHeight w:val="33"/>
        </w:trPr>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320,000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352,500</w:t>
            </w:r>
          </w:p>
        </w:tc>
      </w:tr>
      <w:tr>
        <w:trPr>
          <w:trHeight w:val="33"/>
        </w:trPr>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-882650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-539750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-196850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credit facility is dated August 5, 2011. The credit facility consists of a $300 million U.S. dollar term loan (the term loan) and a multicurrency revolving line of credit (the revolver) with a principal amount of up to $660 million. Both the term loan and the revolver mature on August 8, 2016. Amounts borrowed under the revolver are classified as long-term and, during the credit facility</w:t>
      </w:r>
    </w:p>
    <w:p>
      <w:pPr>
        <w:sectPr>
          <w:pgSz w:w="11900" w:h="16838" w:orient="portrait"/>
          <w:cols w:equalWidth="0" w:num="1">
            <w:col w:w="11420"/>
          </w:cols>
          <w:pgMar w:left="240" w:top="125" w:right="239" w:bottom="1440" w:gutter="0" w:footer="0" w:header="0"/>
          <w:type w:val="continuous"/>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0.20% to 0.40% per annum depending on our total leverage ratio as of the most recently ended fiscal quarter. Amounts repaid on the term loan may not be reborrowed. The credit facility permits us and certain of our foreign subsidiaries to borrow in U.S. dollars, euros, British pounds, or, with lender approval, other currencies readily convertible into U.S. dollars. All obligations under the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credit facility, are guaranteed by the foreign subsidiary and by its direct and indirect foreign parents. The credit facility includes debt covenants, which contain certain financial ratio thresholds and place certain restrictions on the incurrence of debt, investments, and the issuance of dividends. We were in compliance with the debt covenants under the credit facility at March 31, 2014.</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amounts of $5.6 million through June 2014 and $7.5 million from September 2014 through June 2016, with the remainder due at maturity on August 8, 2016. The term loan may be repaid early in whole or in part, subject to certain minimum thresholds, without penalty.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plus an applicable margin, or (2) the Alternate Base Rate, plus an applicable margin. The Alternate Base Rate election is equal to the greatest of three rates: (i) the prime rate, (ii) the Federal Reserve effective rate plus 1/2 of 1%, or (iii) one month LIBOR plus 1%. At March 31, 2014, the interest rate for both the term loan and the revolver was 1.66% (the LIBOR rate plus a margin of 1.50%).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Total credit facility repayments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March 31,</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7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80" w:type="dxa"/>
            <w:vAlign w:val="bottom"/>
            <w:gridSpan w:val="3"/>
          </w:tcPr>
          <w:p>
            <w:pPr>
              <w:jc w:val="right"/>
              <w:ind w:right="979"/>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Multicurrency revolving line of credit</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credit facility repayments</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30,625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2014, $95.0 million was outstanding under the credit facility revolver, and $47.3 million was utilized by outstanding standby letters of credit, resulting in $517.7 million available for additional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Unamortized prepaid debt fees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March 31, 2014</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Unamortized prepaid debt fees</w:t>
            </w:r>
          </w:p>
        </w:tc>
        <w:tc>
          <w:tcPr>
            <w:tcW w:w="1760" w:type="dxa"/>
            <w:vAlign w:val="bottom"/>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3,431</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3,810</w:t>
            </w:r>
          </w:p>
        </w:tc>
      </w:tr>
      <w:tr>
        <w:trPr>
          <w:trHeight w:val="33"/>
        </w:trPr>
        <w:tc>
          <w:tcPr>
            <w:tcW w:w="67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13, and Note 14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at March 31, 2014 and December 31, 2013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700" w:type="dxa"/>
            <w:vAlign w:val="bottom"/>
          </w:tcPr>
          <w:p>
            <w:pPr>
              <w:spacing w:after="0"/>
              <w:rPr>
                <w:sz w:val="18"/>
                <w:szCs w:val="18"/>
                <w:color w:val="auto"/>
              </w:rPr>
            </w:pPr>
          </w:p>
        </w:tc>
        <w:tc>
          <w:tcPr>
            <w:tcW w:w="276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Sheet Location</w:t>
            </w: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2013</w:t>
            </w:r>
          </w:p>
        </w:tc>
      </w:tr>
      <w:tr>
        <w:trPr>
          <w:trHeight w:val="33"/>
        </w:trPr>
        <w:tc>
          <w:tcPr>
            <w:tcW w:w="47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1460" w:type="dxa"/>
            <w:vAlign w:val="bottom"/>
          </w:tcPr>
          <w:p>
            <w:pPr>
              <w:spacing w:after="0"/>
              <w:rPr>
                <w:sz w:val="20"/>
                <w:szCs w:val="20"/>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3"/>
        </w:trPr>
        <w:tc>
          <w:tcPr>
            <w:tcW w:w="7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746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38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0"/>
        </w:trPr>
        <w:tc>
          <w:tcPr>
            <w:tcW w:w="4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Liability Derivatives</w:t>
            </w:r>
          </w:p>
        </w:tc>
        <w:tc>
          <w:tcPr>
            <w:tcW w:w="2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21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2"/>
              </w:rPr>
              <w:t>Derivatives designated as hedging instruments under ASC 815-20</w:t>
            </w:r>
          </w:p>
        </w:tc>
        <w:tc>
          <w:tcPr>
            <w:tcW w:w="2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38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1,557</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Other long-term obligations</w:t>
            </w:r>
          </w:p>
        </w:tc>
        <w:tc>
          <w:tcPr>
            <w:tcW w:w="138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474</w:t>
            </w:r>
          </w:p>
        </w:tc>
      </w:tr>
      <w:tr>
        <w:trPr>
          <w:trHeight w:val="33"/>
        </w:trPr>
        <w:tc>
          <w:tcPr>
            <w:tcW w:w="7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1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Other current liabilities</w:t>
            </w:r>
          </w:p>
        </w:tc>
        <w:tc>
          <w:tcPr>
            <w:tcW w:w="138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47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4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Total liability derivatives</w:t>
            </w: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OCI during the reporting periods for our derivative and nonderivative hedging instruments, net of tax,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ind w:right="719"/>
              <w:spacing w:after="0"/>
              <w:rPr>
                <w:sz w:val="20"/>
                <w:szCs w:val="20"/>
                <w:color w:val="auto"/>
              </w:rPr>
            </w:pPr>
            <w:r>
              <w:rPr>
                <w:rFonts w:ascii="Arial" w:cs="Arial" w:eastAsia="Arial" w:hAnsi="Arial"/>
                <w:sz w:val="16"/>
                <w:szCs w:val="16"/>
                <w:b w:val="1"/>
                <w:bCs w:val="1"/>
                <w:color w:val="auto"/>
              </w:rPr>
              <w:t>2013</w:t>
            </w: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loss on hedging instruments at January 1,</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(16,069)</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Unrealized gain (loss) on derivative instruments</w:t>
            </w:r>
          </w:p>
        </w:tc>
        <w:tc>
          <w:tcPr>
            <w:tcW w:w="1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losses reclassified into net income (loss)</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unrealized loss on hedging instruments at March 31,</w:t>
            </w:r>
          </w:p>
        </w:tc>
        <w:tc>
          <w:tcPr>
            <w:tcW w:w="1240" w:type="dxa"/>
            <w:vAlign w:val="bottom"/>
            <w:tcBorders>
              <w:top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(15,473)</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(16,142)</w:t>
            </w: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net unrealized loss on hedging instruments at March 31, 2014 and 2013 is a loss of $14.4 million, net of tax, related to our nonderivative net investment hedge, which terminated in 2011. This loss on our net investment hedge will remain in accumulated OCI until such time when earnings are impacted by a sale or liquidation of the associated foreign operation.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Assets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2"/>
              </w:rPr>
              <w:t>Gross Amounts Not</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0"/>
              </w:rPr>
              <w:t>Offset in the Consolidated Balance Sheets</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39"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8"/>
              </w:rPr>
              <w:t>Assets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Derivative Financial</w:t>
            </w: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9"/>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Cash Collateral Received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Instruments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March 31, 2014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Liabilities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2"/>
              </w:rPr>
              <w:t>Gross Amounts Not</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0"/>
              </w:rPr>
              <w:t>Offset in the Consolidated Balance Sheets</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39"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Liabilities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Derivative Financial</w:t>
            </w: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89"/>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Cash Collateral Pledged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March 31, 2014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2,098</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2,176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derivative assets and liabilities consist of foreign exchange forward and interest rate swap contracts with nine counterparties at March 31, 2014 and seven counterparties at December 31, 2013. No derivative asset or liability balance with any of our counterparties was individually significant at March 31, 2014 or December 31, 2013.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increase our ability to forecast interest expense. The objective of these swaps is to reduce the variability of cash flows from increases in the LIBOR-based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are effective from July 31, 2013 to August 8, 2016. These cash flow hedges are expected to be highly effective in achieving offsetting cash flows attributable to the hedged risk through the term of the hedge. Consequently, effective changes in the fair value of the interest rate swaps are recorded as a component of OCI and are recognized in earnings when the hedged item affects earnings. The amounts paid or received on the hedges are recognized as adjustments to interest expense. The amount of net losses expected to be reclassified into earnings in the next 12 months is $1.6 million. At March 31, 2014, our LIBOR-based debt balance was $348.1 million.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 of our cash flow derivative instruments on the Consolidated Balance Sheets and the Consolidated Statements of Operations for the three months ended March 31 were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3"/>
          </w:tcPr>
          <w:p>
            <w:pPr>
              <w:jc w:val="center"/>
              <w:ind w:right="117"/>
              <w:spacing w:after="0"/>
              <w:rPr>
                <w:sz w:val="20"/>
                <w:szCs w:val="20"/>
                <w:color w:val="auto"/>
              </w:rPr>
            </w:pPr>
            <w:r>
              <w:rPr>
                <w:rFonts w:ascii="Arial" w:cs="Arial" w:eastAsia="Arial" w:hAnsi="Arial"/>
                <w:sz w:val="13"/>
                <w:szCs w:val="13"/>
                <w:b w:val="1"/>
                <w:bCs w:val="1"/>
                <w:color w:val="auto"/>
                <w:w w:val="88"/>
              </w:rPr>
              <w:t>Amount of Gain (Loss)</w:t>
            </w:r>
          </w:p>
        </w:tc>
        <w:tc>
          <w:tcPr>
            <w:tcW w:w="120" w:type="dxa"/>
            <w:vAlign w:val="bottom"/>
          </w:tcPr>
          <w:p>
            <w:pPr>
              <w:spacing w:after="0"/>
              <w:rPr>
                <w:sz w:val="12"/>
                <w:szCs w:val="12"/>
                <w:color w:val="auto"/>
              </w:rPr>
            </w:pPr>
          </w:p>
        </w:tc>
        <w:tc>
          <w:tcPr>
            <w:tcW w:w="3260" w:type="dxa"/>
            <w:vAlign w:val="bottom"/>
            <w:gridSpan w:val="5"/>
          </w:tcPr>
          <w:p>
            <w:pPr>
              <w:jc w:val="right"/>
              <w:ind w:right="257"/>
              <w:spacing w:after="0"/>
              <w:rPr>
                <w:sz w:val="20"/>
                <w:szCs w:val="20"/>
                <w:color w:val="auto"/>
              </w:rPr>
            </w:pPr>
            <w:r>
              <w:rPr>
                <w:rFonts w:ascii="Arial" w:cs="Arial" w:eastAsia="Arial" w:hAnsi="Arial"/>
                <w:sz w:val="13"/>
                <w:szCs w:val="13"/>
                <w:b w:val="1"/>
                <w:bCs w:val="1"/>
                <w:color w:val="auto"/>
              </w:rPr>
              <w:t>Gain (Loss) Reclassified from Accumulated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5"/>
          </w:tcPr>
          <w:p>
            <w:pPr>
              <w:jc w:val="center"/>
              <w:ind w:left="237"/>
              <w:spacing w:after="0"/>
              <w:rPr>
                <w:sz w:val="20"/>
                <w:szCs w:val="20"/>
                <w:color w:val="auto"/>
              </w:rPr>
            </w:pPr>
            <w:r>
              <w:rPr>
                <w:rFonts w:ascii="Arial" w:cs="Arial" w:eastAsia="Arial" w:hAnsi="Arial"/>
                <w:sz w:val="13"/>
                <w:szCs w:val="13"/>
                <w:b w:val="1"/>
                <w:bCs w:val="1"/>
                <w:color w:val="auto"/>
                <w:w w:val="86"/>
              </w:rPr>
              <w:t>Gain (Loss) Recognized in Income 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00" w:type="dxa"/>
            <w:vAlign w:val="bottom"/>
          </w:tcPr>
          <w:p>
            <w:pPr>
              <w:spacing w:after="0"/>
              <w:rPr>
                <w:sz w:val="12"/>
                <w:szCs w:val="12"/>
                <w:color w:val="auto"/>
              </w:rPr>
            </w:pPr>
          </w:p>
        </w:tc>
        <w:tc>
          <w:tcPr>
            <w:tcW w:w="1780" w:type="dxa"/>
            <w:vAlign w:val="bottom"/>
            <w:gridSpan w:val="3"/>
          </w:tcPr>
          <w:p>
            <w:pPr>
              <w:jc w:val="center"/>
              <w:ind w:right="117"/>
              <w:spacing w:after="0" w:line="144" w:lineRule="exact"/>
              <w:rPr>
                <w:sz w:val="20"/>
                <w:szCs w:val="20"/>
                <w:color w:val="auto"/>
              </w:rPr>
            </w:pPr>
            <w:r>
              <w:rPr>
                <w:rFonts w:ascii="Arial" w:cs="Arial" w:eastAsia="Arial" w:hAnsi="Arial"/>
                <w:sz w:val="13"/>
                <w:szCs w:val="13"/>
                <w:b w:val="1"/>
                <w:bCs w:val="1"/>
                <w:color w:val="auto"/>
                <w:w w:val="89"/>
              </w:rPr>
              <w:t>Recognized in OCI on</w:t>
            </w:r>
          </w:p>
        </w:tc>
        <w:tc>
          <w:tcPr>
            <w:tcW w:w="120" w:type="dxa"/>
            <w:vAlign w:val="bottom"/>
          </w:tcPr>
          <w:p>
            <w:pPr>
              <w:spacing w:after="0"/>
              <w:rPr>
                <w:sz w:val="12"/>
                <w:szCs w:val="12"/>
                <w:color w:val="auto"/>
              </w:rPr>
            </w:pPr>
          </w:p>
        </w:tc>
        <w:tc>
          <w:tcPr>
            <w:tcW w:w="3260" w:type="dxa"/>
            <w:vAlign w:val="bottom"/>
            <w:gridSpan w:val="5"/>
          </w:tcPr>
          <w:p>
            <w:pPr>
              <w:jc w:val="right"/>
              <w:ind w:right="457"/>
              <w:spacing w:after="0" w:line="144" w:lineRule="exact"/>
              <w:rPr>
                <w:sz w:val="20"/>
                <w:szCs w:val="20"/>
                <w:color w:val="auto"/>
              </w:rPr>
            </w:pPr>
            <w:r>
              <w:rPr>
                <w:rFonts w:ascii="Arial" w:cs="Arial" w:eastAsia="Arial" w:hAnsi="Arial"/>
                <w:sz w:val="13"/>
                <w:szCs w:val="13"/>
                <w:b w:val="1"/>
                <w:bCs w:val="1"/>
                <w:color w:val="auto"/>
              </w:rPr>
              <w:t>OCI into Income (Effective Portion)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5"/>
          </w:tcPr>
          <w:p>
            <w:pPr>
              <w:jc w:val="center"/>
              <w:ind w:left="237"/>
              <w:spacing w:after="0" w:line="144" w:lineRule="exact"/>
              <w:rPr>
                <w:sz w:val="20"/>
                <w:szCs w:val="20"/>
                <w:color w:val="auto"/>
              </w:rPr>
            </w:pPr>
            <w:r>
              <w:rPr>
                <w:rFonts w:ascii="Arial" w:cs="Arial" w:eastAsia="Arial" w:hAnsi="Arial"/>
                <w:sz w:val="13"/>
                <w:szCs w:val="13"/>
                <w:b w:val="1"/>
                <w:bCs w:val="1"/>
                <w:color w:val="auto"/>
                <w:w w:val="89"/>
              </w:rPr>
              <w:t>Derivative (Ineffective Portion)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54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Cash Flow</w:t>
            </w:r>
          </w:p>
        </w:tc>
        <w:tc>
          <w:tcPr>
            <w:tcW w:w="200" w:type="dxa"/>
            <w:vAlign w:val="bottom"/>
          </w:tcPr>
          <w:p>
            <w:pPr>
              <w:spacing w:after="0"/>
              <w:rPr>
                <w:sz w:val="2"/>
                <w:szCs w:val="2"/>
                <w:color w:val="auto"/>
              </w:rPr>
            </w:pPr>
          </w:p>
        </w:tc>
        <w:tc>
          <w:tcPr>
            <w:tcW w:w="1780" w:type="dxa"/>
            <w:vAlign w:val="bottom"/>
            <w:gridSpan w:val="3"/>
            <w:vMerge w:val="restart"/>
          </w:tcPr>
          <w:p>
            <w:pPr>
              <w:jc w:val="center"/>
              <w:ind w:right="117"/>
              <w:spacing w:after="0" w:line="135" w:lineRule="exact"/>
              <w:rPr>
                <w:sz w:val="20"/>
                <w:szCs w:val="20"/>
                <w:color w:val="auto"/>
              </w:rPr>
            </w:pPr>
            <w:r>
              <w:rPr>
                <w:rFonts w:ascii="Arial" w:cs="Arial" w:eastAsia="Arial" w:hAnsi="Arial"/>
                <w:sz w:val="13"/>
                <w:szCs w:val="13"/>
                <w:b w:val="1"/>
                <w:bCs w:val="1"/>
                <w:color w:val="auto"/>
                <w:w w:val="90"/>
              </w:rPr>
              <w:t>Derivative (Effective</w:t>
            </w: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Hedging Relationships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left="357"/>
              <w:spacing w:after="0"/>
              <w:rPr>
                <w:sz w:val="20"/>
                <w:szCs w:val="20"/>
                <w:color w:val="auto"/>
              </w:rPr>
            </w:pPr>
            <w:r>
              <w:rPr>
                <w:rFonts w:ascii="Arial" w:cs="Arial" w:eastAsia="Arial" w:hAnsi="Arial"/>
                <w:sz w:val="13"/>
                <w:szCs w:val="13"/>
                <w:b w:val="1"/>
                <w:bCs w:val="1"/>
                <w:color w:val="auto"/>
                <w:w w:val="88"/>
              </w:rPr>
              <w:t>Portion)</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Location</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397"/>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Location</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17"/>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auto"/>
              </w:rPr>
              <w:t>2014</w:t>
            </w:r>
          </w:p>
        </w:tc>
        <w:tc>
          <w:tcPr>
            <w:tcW w:w="420" w:type="dxa"/>
            <w:vAlign w:val="bottom"/>
          </w:tcPr>
          <w:p>
            <w:pPr>
              <w:spacing w:after="0"/>
              <w:rPr>
                <w:sz w:val="22"/>
                <w:szCs w:val="22"/>
                <w:color w:val="auto"/>
              </w:rPr>
            </w:pPr>
          </w:p>
        </w:tc>
        <w:tc>
          <w:tcPr>
            <w:tcW w:w="600" w:type="dxa"/>
            <w:vAlign w:val="bottom"/>
          </w:tcPr>
          <w:p>
            <w:pPr>
              <w:jc w:val="right"/>
              <w:ind w:right="277"/>
              <w:spacing w:after="0"/>
              <w:rPr>
                <w:sz w:val="20"/>
                <w:szCs w:val="20"/>
                <w:color w:val="auto"/>
              </w:rPr>
            </w:pPr>
            <w:r>
              <w:rPr>
                <w:rFonts w:ascii="Arial" w:cs="Arial" w:eastAsia="Arial" w:hAnsi="Arial"/>
                <w:sz w:val="13"/>
                <w:szCs w:val="13"/>
                <w:b w:val="1"/>
                <w:bCs w:val="1"/>
                <w:color w:val="auto"/>
                <w:w w:val="82"/>
              </w:rPr>
              <w:t>2013</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97"/>
              <w:spacing w:after="0"/>
              <w:rPr>
                <w:sz w:val="20"/>
                <w:szCs w:val="20"/>
                <w:color w:val="auto"/>
              </w:rPr>
            </w:pPr>
            <w:r>
              <w:rPr>
                <w:rFonts w:ascii="Arial" w:cs="Arial" w:eastAsia="Arial" w:hAnsi="Arial"/>
                <w:sz w:val="13"/>
                <w:szCs w:val="13"/>
                <w:b w:val="1"/>
                <w:bCs w:val="1"/>
                <w:color w:val="auto"/>
              </w:rPr>
              <w:t>2014</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2013</w:t>
            </w:r>
          </w:p>
        </w:tc>
        <w:tc>
          <w:tcPr>
            <w:tcW w:w="280" w:type="dxa"/>
            <w:vAlign w:val="bottom"/>
          </w:tcPr>
          <w:p>
            <w:pPr>
              <w:spacing w:after="0"/>
              <w:rPr>
                <w:sz w:val="22"/>
                <w:szCs w:val="22"/>
                <w:color w:val="auto"/>
              </w:rPr>
            </w:pPr>
          </w:p>
        </w:tc>
        <w:tc>
          <w:tcPr>
            <w:tcW w:w="192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2014</w:t>
            </w: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2013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center"/>
              <w:ind w:left="357"/>
              <w:spacing w:after="0"/>
              <w:rPr>
                <w:sz w:val="20"/>
                <w:szCs w:val="20"/>
                <w:color w:val="auto"/>
              </w:rPr>
            </w:pPr>
            <w:r>
              <w:rPr>
                <w:rFonts w:ascii="Arial" w:cs="Arial" w:eastAsia="Arial" w:hAnsi="Arial"/>
                <w:sz w:val="13"/>
                <w:szCs w:val="13"/>
                <w:b w:val="1"/>
                <w:bCs w:val="1"/>
                <w:color w:val="auto"/>
                <w:w w:val="84"/>
              </w:rPr>
              <w:t>(in thousands)</w:t>
            </w: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38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center"/>
              <w:ind w:right="197"/>
              <w:spacing w:after="0"/>
              <w:rPr>
                <w:sz w:val="20"/>
                <w:szCs w:val="20"/>
                <w:color w:val="auto"/>
              </w:rPr>
            </w:pPr>
            <w:r>
              <w:rPr>
                <w:rFonts w:ascii="Arial" w:cs="Arial" w:eastAsia="Arial" w:hAnsi="Arial"/>
                <w:sz w:val="13"/>
                <w:szCs w:val="13"/>
                <w:b w:val="1"/>
                <w:bCs w:val="1"/>
                <w:color w:val="auto"/>
                <w:w w:val="87"/>
              </w:rPr>
              <w:t>(in thousands)</w:t>
            </w: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w w:val="90"/>
              </w:rPr>
              <w:t>Three Months Ended March 31,</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4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Interest rate swap contracts</w:t>
            </w: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(155)</w:t>
            </w:r>
          </w:p>
        </w:tc>
        <w:tc>
          <w:tcPr>
            <w:tcW w:w="4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5"/>
                <w:szCs w:val="15"/>
                <w:color w:val="auto"/>
              </w:rPr>
            </w:pPr>
          </w:p>
        </w:tc>
        <w:tc>
          <w:tcPr>
            <w:tcW w:w="1820" w:type="dxa"/>
            <w:vAlign w:val="bottom"/>
            <w:gridSpan w:val="3"/>
            <w:vMerge w:val="restart"/>
            <w:shd w:val="clear" w:color="auto" w:fill="CCEEFF"/>
          </w:tcPr>
          <w:p>
            <w:pPr>
              <w:ind w:left="640"/>
              <w:spacing w:after="0"/>
              <w:rPr>
                <w:sz w:val="20"/>
                <w:szCs w:val="20"/>
                <w:color w:val="auto"/>
              </w:rPr>
            </w:pPr>
            <w:r>
              <w:rPr>
                <w:rFonts w:ascii="Arial" w:cs="Arial" w:eastAsia="Arial" w:hAnsi="Arial"/>
                <w:sz w:val="13"/>
                <w:szCs w:val="13"/>
                <w:color w:val="auto"/>
              </w:rPr>
              <w:t>Interest expense   $</w:t>
            </w:r>
          </w:p>
        </w:tc>
        <w:tc>
          <w:tcPr>
            <w:tcW w:w="740" w:type="dxa"/>
            <w:vAlign w:val="bottom"/>
            <w:vMerge w:val="restart"/>
            <w:shd w:val="clear" w:color="auto" w:fill="CCEEFF"/>
          </w:tcPr>
          <w:p>
            <w:pPr>
              <w:ind w:left="360"/>
              <w:spacing w:after="0"/>
              <w:rPr>
                <w:sz w:val="20"/>
                <w:szCs w:val="20"/>
                <w:color w:val="auto"/>
              </w:rPr>
            </w:pPr>
            <w:r>
              <w:rPr>
                <w:rFonts w:ascii="Arial" w:cs="Arial" w:eastAsia="Arial" w:hAnsi="Arial"/>
                <w:sz w:val="13"/>
                <w:szCs w:val="13"/>
                <w:color w:val="auto"/>
              </w:rPr>
              <w:t>(418)</w:t>
            </w:r>
          </w:p>
        </w:tc>
        <w:tc>
          <w:tcPr>
            <w:tcW w:w="700" w:type="dxa"/>
            <w:vAlign w:val="bottom"/>
            <w:vMerge w:val="restart"/>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2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3"/>
                <w:szCs w:val="13"/>
                <w:color w:val="auto"/>
              </w:rPr>
              <w:t>Interest expense   $</w:t>
            </w:r>
          </w:p>
        </w:tc>
        <w:tc>
          <w:tcPr>
            <w:tcW w:w="34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gridSpan w:val="3"/>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20" w:type="dxa"/>
            <w:vAlign w:val="bottom"/>
            <w:gridSpan w:val="3"/>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126 contracts were entered into during the three months ended March 31, 2014), which are not designated for hedge accounting, with the intent to reduce earnings volatility associated with certain of these non-functional currency assets and liabilities. The notional amounts of the contracts ranged from $283,000 to $12.4 million, offsetting our exposures to the euro, South African rand, Saudi riyal, Canadian dollar, Australian dollar, Chinese yuan renminbi, and various other currencies.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 of our foreign exchange forward derivative instruments on the Consolidated Statements of Operations for the three months ended March 31 was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Derivatives Not Designated as</w:t>
            </w: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0"/>
        </w:trPr>
        <w:tc>
          <w:tcPr>
            <w:tcW w:w="6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Hedging Instrument under ASC 815-20</w:t>
            </w:r>
          </w:p>
        </w:tc>
        <w:tc>
          <w:tcPr>
            <w:tcW w:w="46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Gain (Loss) Recognized on Derivatives in Other Income (Expense)</w:t>
            </w:r>
          </w:p>
        </w:tc>
      </w:tr>
      <w:tr>
        <w:trPr>
          <w:trHeight w:val="33"/>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440" w:type="dxa"/>
            <w:vAlign w:val="bottom"/>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March 31,</w:t>
            </w:r>
          </w:p>
        </w:tc>
        <w:tc>
          <w:tcPr>
            <w:tcW w:w="144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2014</w:t>
            </w: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jc w:val="right"/>
              <w:ind w:right="899"/>
              <w:spacing w:after="0"/>
              <w:rPr>
                <w:sz w:val="20"/>
                <w:szCs w:val="20"/>
                <w:color w:val="auto"/>
              </w:rPr>
            </w:pPr>
            <w:r>
              <w:rPr>
                <w:rFonts w:ascii="Arial" w:cs="Arial" w:eastAsia="Arial" w:hAnsi="Arial"/>
                <w:sz w:val="16"/>
                <w:szCs w:val="16"/>
                <w:b w:val="1"/>
                <w:bCs w:val="1"/>
                <w:color w:val="auto"/>
              </w:rPr>
              <w:t>2013</w:t>
            </w: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44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1460" w:type="dxa"/>
            <w:vAlign w:val="bottom"/>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(848)</w:t>
            </w:r>
          </w:p>
        </w:tc>
        <w:tc>
          <w:tcPr>
            <w:tcW w:w="9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r>
      <w:tr>
        <w:trPr>
          <w:trHeight w:val="33"/>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offering death and disability, retirement, and special termination benefits. The defined benefit obligation is calculated annually by using the projected unit credit method. The measurement date for the pension plans was December 31, 2013.</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March 31, 2014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1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assets in other long-term assets</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1,426</w:t>
            </w:r>
          </w:p>
        </w:tc>
      </w:tr>
      <w:tr>
        <w:trPr>
          <w:trHeight w:val="270"/>
        </w:trPr>
        <w:tc>
          <w:tcPr>
            <w:tcW w:w="67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portion of pension plan liability in wages and benefits payable</w:t>
            </w:r>
          </w:p>
        </w:tc>
        <w:tc>
          <w:tcPr>
            <w:tcW w:w="17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3,199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3,721</w:t>
            </w: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portion of pension plan liability</w:t>
            </w:r>
          </w:p>
        </w:tc>
        <w:tc>
          <w:tcPr>
            <w:tcW w:w="1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89,498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88,687</w:t>
            </w:r>
          </w:p>
        </w:tc>
      </w:tr>
      <w:tr>
        <w:trPr>
          <w:trHeight w:val="270"/>
        </w:trPr>
        <w:tc>
          <w:tcPr>
            <w:tcW w:w="674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pension plan benefit liability</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91,215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90,982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 We contributed $26,000 and $42,000 to the defined benefit pension plans for the three months ended March 31, 2014 and 2013, respectively. The timing of contributions can vary by plan and from year to year. For 2014, assuming that actual plan asset returns are consistent with our expected rate of return, and that interest rates remain constant, we expect to contribute approximately $458,000 to our defined benefit pension plans. We contributed $436,000 to the defined benefit pension plans for the year ended December 31, 2013.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7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580" w:type="dxa"/>
            <w:vAlign w:val="bottom"/>
            <w:tcBorders>
              <w:bottom w:val="single" w:sz="8" w:color="CCEEFF"/>
            </w:tcBorders>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5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800</w:t>
            </w: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5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Settlements and other</w:t>
            </w:r>
          </w:p>
        </w:tc>
        <w:tc>
          <w:tcPr>
            <w:tcW w:w="15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(814)</w:t>
            </w: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5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5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6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158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1,156</w:t>
            </w:r>
          </w:p>
        </w:tc>
      </w:tr>
      <w:tr>
        <w:trPr>
          <w:trHeight w:val="20"/>
        </w:trPr>
        <w:tc>
          <w:tcPr>
            <w:tcW w:w="6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stock-based compensation expense for awards of stock options, stock sold pursuant to our ESPP (until October 1, 2013), and the issuance of restricted stock units and unrestricted stock awards. We expense stock-based compensation primarily using the straight-line method over the requisite service period. For the three months ended March 31, stock-based compensation expense and the related tax benefit were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7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580" w:type="dxa"/>
            <w:vAlign w:val="bottom"/>
            <w:tcBorders>
              <w:bottom w:val="single" w:sz="8" w:color="CCEEFF"/>
            </w:tcBorders>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5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3,800</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4,235</w:t>
            </w: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5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ESPP</w:t>
            </w:r>
          </w:p>
        </w:tc>
        <w:tc>
          <w:tcPr>
            <w:tcW w:w="15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191</w:t>
            </w:r>
          </w:p>
        </w:tc>
      </w:tr>
      <w:tr>
        <w:trPr>
          <w:trHeight w:val="33"/>
        </w:trPr>
        <w:tc>
          <w:tcPr>
            <w:tcW w:w="6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580" w:type="dxa"/>
            <w:vAlign w:val="bottom"/>
            <w:tcBorders>
              <w:bottom w:val="single" w:sz="8" w:color="CCEEFF"/>
            </w:tcBorders>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62"/>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580" w:type="dxa"/>
            <w:vAlign w:val="bottom"/>
            <w:tcBorders>
              <w:bottom w:val="single" w:sz="8" w:color="CCEEFF"/>
            </w:tcBorders>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stock splits, dividends, and other similar events, 3,500,000 shares of common stock are reserved and authorized for issuance under our 2010 Stock Incentive Plan (Stock Incentive Plan). Awards consist of stock options, restricted stock units, and unrestricted stock awards. At March 31, 2014, 72,843 shares were available for grant under the Stock Incentive Plan. The Stock Incentive Plan shares are subject to a fungible share provision such that, with respect to grants made after December 31, 2009,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to purchase our common stock are granted to certain employees, senior management, and members of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30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37465</wp:posOffset>
            </wp:positionV>
            <wp:extent cx="30099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gridSpan w:val="2"/>
          </w:tcPr>
          <w:p>
            <w:pPr>
              <w:ind w:left="7680"/>
              <w:spacing w:after="0"/>
              <w:rPr>
                <w:sz w:val="20"/>
                <w:szCs w:val="20"/>
                <w:color w:val="auto"/>
              </w:rPr>
            </w:pPr>
            <w:r>
              <w:rPr>
                <w:rFonts w:ascii="Arial" w:cs="Arial" w:eastAsia="Arial" w:hAnsi="Arial"/>
                <w:sz w:val="16"/>
                <w:szCs w:val="16"/>
                <w:b w:val="1"/>
                <w:bCs w:val="1"/>
                <w:color w:val="auto"/>
              </w:rPr>
              <w:t>2014</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right"/>
              <w:ind w:right="919"/>
              <w:spacing w:after="0"/>
              <w:rPr>
                <w:sz w:val="20"/>
                <w:szCs w:val="20"/>
                <w:color w:val="auto"/>
              </w:rPr>
            </w:pPr>
            <w:r>
              <w:rPr>
                <w:rFonts w:ascii="Arial" w:cs="Arial" w:eastAsia="Arial" w:hAnsi="Arial"/>
                <w:sz w:val="16"/>
                <w:szCs w:val="16"/>
                <w:b w:val="1"/>
                <w:bCs w:val="1"/>
                <w:color w:val="auto"/>
              </w:rPr>
              <w:t>2013</w:t>
            </w:r>
          </w:p>
        </w:tc>
      </w:tr>
      <w:tr>
        <w:trPr>
          <w:trHeight w:val="33"/>
        </w:trPr>
        <w:tc>
          <w:tcPr>
            <w:tcW w:w="66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37"/>
        </w:trPr>
        <w:tc>
          <w:tcPr>
            <w:tcW w:w="826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72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33"/>
        </w:trPr>
        <w:tc>
          <w:tcPr>
            <w:tcW w:w="6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8260" w:type="dxa"/>
            <w:vAlign w:val="bottom"/>
            <w:gridSpan w:val="2"/>
          </w:tcPr>
          <w:p>
            <w:pPr>
              <w:ind w:left="40"/>
              <w:spacing w:after="0"/>
              <w:rPr>
                <w:sz w:val="20"/>
                <w:szCs w:val="20"/>
                <w:color w:val="auto"/>
              </w:rPr>
            </w:pPr>
            <w:r>
              <w:rPr>
                <w:rFonts w:ascii="Arial" w:cs="Arial" w:eastAsia="Arial" w:hAnsi="Arial"/>
                <w:sz w:val="16"/>
                <w:szCs w:val="16"/>
                <w:color w:val="auto"/>
              </w:rPr>
              <w:t>Expected term (years)</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320" w:type="dxa"/>
            <w:vAlign w:val="bottom"/>
          </w:tcPr>
          <w:p>
            <w:pPr>
              <w:jc w:val="right"/>
              <w:ind w:right="79"/>
              <w:spacing w:after="0"/>
              <w:rPr>
                <w:sz w:val="20"/>
                <w:szCs w:val="20"/>
                <w:color w:val="auto"/>
              </w:rPr>
            </w:pPr>
            <w:r>
              <w:rPr>
                <w:rFonts w:ascii="Arial" w:cs="Arial" w:eastAsia="Arial" w:hAnsi="Arial"/>
                <w:sz w:val="16"/>
                <w:szCs w:val="16"/>
                <w:color w:val="auto"/>
              </w:rPr>
              <w:t>5.5</w:t>
            </w: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three months ended March 31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Price per Share</w:t>
            </w:r>
          </w:p>
        </w:tc>
        <w:tc>
          <w:tcPr>
            <w:tcW w:w="14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Intrinsic Value</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(years)</w:t>
            </w:r>
          </w:p>
        </w:tc>
        <w:tc>
          <w:tcPr>
            <w:tcW w:w="160" w:type="dxa"/>
            <w:vAlign w:val="bottom"/>
          </w:tcPr>
          <w:p>
            <w:pPr>
              <w:spacing w:after="0"/>
              <w:rPr>
                <w:sz w:val="18"/>
                <w:szCs w:val="18"/>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2013</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54.06</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42.76</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15.44</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28.92</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48.51</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March 31, 2013</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53.14</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54.79</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35.19</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13.64</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35.71</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March 31,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52.68</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March 31,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57.41</w:t>
            </w: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March 31,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39.45</w:t>
            </w: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6" w:lineRule="exact"/>
        <w:rPr>
          <w:sz w:val="20"/>
          <w:szCs w:val="20"/>
          <w:color w:val="auto"/>
        </w:rPr>
      </w:pPr>
    </w:p>
    <w:p>
      <w:pPr>
        <w:jc w:val="both"/>
        <w:ind w:left="340" w:hanging="332"/>
        <w:spacing w:after="0" w:line="230"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2014, total unrecognized stock-based compensation expense related to nonvested stock options was approximately $4.5 million, which is expected to be recognized over a weighted average period of approximately 2.2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Certain employees, senior management, and members of the Board of Directors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2013, the performance-based restricted stock units to be issued under the Long-Term Performance Restricted Stock Unit Award Agreement (Performance Award Agreement) are determined based on (1) our achievement of specified non-GAAP EPS targets, as established by the Board at the beginning of each year for each of the calendar years contained in the performance periods (2-year and 3-year awards in 2013 and 3-year awards in subsequent years) (the performance condition) and (2) our total shareholder return (TSR) relative to the TSR attained by companies that are included in the Russell 3000 Index during the performance periods (the market condition). Compensation expense, net of forfeitures, is recognized on a straight-line basis, and the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Depending on the level of achievement of the performance condition, the actual number of shares to be earned ranges between 0% and 160% of the awards originally granted. At the end of the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Due to the presence of the TSR multiplier market condition, we utilize a Monte Carlo valuation model to determine the fair value of the awards at the grant date. This pricing model uses multiple simulations to evaluate the probability of our achievement of various stock price levels to</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determine our expected TSR performance ranking. The weighted-average assumptions used to estimate the fair value of performance-based restricted stock units awarded and the resulting weighted average fair-value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39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March 31,</w:t>
            </w:r>
          </w:p>
        </w:tc>
        <w:tc>
          <w:tcPr>
            <w:tcW w:w="760" w:type="dxa"/>
            <w:vAlign w:val="bottom"/>
          </w:tcPr>
          <w:p>
            <w:pPr>
              <w:spacing w:after="0"/>
              <w:rPr>
                <w:sz w:val="18"/>
                <w:szCs w:val="18"/>
                <w:color w:val="auto"/>
              </w:rPr>
            </w:pPr>
          </w:p>
        </w:tc>
      </w:tr>
      <w:tr>
        <w:trPr>
          <w:trHeight w:val="33"/>
        </w:trPr>
        <w:tc>
          <w:tcPr>
            <w:tcW w:w="66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68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760" w:type="dxa"/>
            <w:vAlign w:val="bottom"/>
          </w:tcPr>
          <w:p>
            <w:pPr>
              <w:spacing w:after="0"/>
              <w:rPr>
                <w:sz w:val="20"/>
                <w:szCs w:val="20"/>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5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37"/>
        </w:trPr>
        <w:tc>
          <w:tcPr>
            <w:tcW w:w="668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31.9%</w:t>
            </w:r>
          </w:p>
        </w:tc>
      </w:tr>
      <w:tr>
        <w:trPr>
          <w:trHeight w:val="33"/>
        </w:trPr>
        <w:tc>
          <w:tcPr>
            <w:tcW w:w="6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6680" w:type="dxa"/>
            <w:vAlign w:val="bottom"/>
          </w:tcPr>
          <w:p>
            <w:pPr>
              <w:ind w:left="40"/>
              <w:spacing w:after="0"/>
              <w:rPr>
                <w:sz w:val="20"/>
                <w:szCs w:val="20"/>
                <w:color w:val="auto"/>
              </w:rPr>
            </w:pPr>
            <w:r>
              <w:rPr>
                <w:rFonts w:ascii="Arial" w:cs="Arial" w:eastAsia="Arial" w:hAnsi="Arial"/>
                <w:sz w:val="16"/>
                <w:szCs w:val="16"/>
                <w:color w:val="auto"/>
              </w:rPr>
              <w:t>Expected term (years)</w:t>
            </w:r>
          </w:p>
        </w:tc>
        <w:tc>
          <w:tcPr>
            <w:tcW w:w="154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2.5</w:t>
            </w:r>
          </w:p>
        </w:tc>
      </w:tr>
      <w:tr>
        <w:trPr>
          <w:trHeight w:val="33"/>
        </w:trPr>
        <w:tc>
          <w:tcPr>
            <w:tcW w:w="6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6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6"/>
                <w:szCs w:val="16"/>
                <w:color w:val="auto"/>
              </w:rPr>
              <w:t>Weighted-average fair value</w:t>
            </w:r>
          </w:p>
        </w:tc>
        <w:tc>
          <w:tcPr>
            <w:tcW w:w="1540" w:type="dxa"/>
            <w:vAlign w:val="bottom"/>
          </w:tcPr>
          <w:p>
            <w:pPr>
              <w:jc w:val="right"/>
              <w:ind w:right="13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28.88</w:t>
            </w:r>
          </w:p>
        </w:tc>
        <w:tc>
          <w:tcPr>
            <w:tcW w:w="120" w:type="dxa"/>
            <w:vAlign w:val="bottom"/>
          </w:tcPr>
          <w:p>
            <w:pPr>
              <w:spacing w:after="0"/>
              <w:rPr>
                <w:sz w:val="20"/>
                <w:szCs w:val="20"/>
                <w:color w:val="auto"/>
              </w:rPr>
            </w:pPr>
          </w:p>
        </w:tc>
        <w:tc>
          <w:tcPr>
            <w:tcW w:w="1560" w:type="dxa"/>
            <w:vAlign w:val="bottom"/>
          </w:tcPr>
          <w:p>
            <w:pPr>
              <w:jc w:val="right"/>
              <w:ind w:right="13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44.93</w:t>
            </w:r>
          </w:p>
        </w:tc>
      </w:tr>
    </w:tbl>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three months ended March 31: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Aggregate</w:t>
            </w:r>
          </w:p>
        </w:tc>
      </w:tr>
      <w:tr>
        <w:trPr>
          <w:trHeight w:val="243"/>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r>
      <w:tr>
        <w:trPr>
          <w:trHeight w:val="217"/>
        </w:trPr>
        <w:tc>
          <w:tcPr>
            <w:tcW w:w="4360" w:type="dxa"/>
            <w:vAlign w:val="bottom"/>
          </w:tcPr>
          <w:p>
            <w:pPr>
              <w:spacing w:after="0"/>
              <w:rPr>
                <w:sz w:val="18"/>
                <w:szCs w:val="18"/>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2013</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42.13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12,084</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March 31, 2013</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11,666</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March 31,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March 31,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March 31, 2014</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21,503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64" w:lineRule="exact"/>
        <w:rPr>
          <w:rFonts w:ascii="Arial" w:cs="Arial" w:eastAsia="Arial" w:hAnsi="Arial"/>
          <w:sz w:val="22"/>
          <w:szCs w:val="22"/>
          <w:color w:val="auto"/>
          <w:vertAlign w:val="superscript"/>
        </w:rPr>
      </w:pPr>
    </w:p>
    <w:p>
      <w:pPr>
        <w:jc w:val="both"/>
        <w:ind w:left="340" w:hanging="332"/>
        <w:spacing w:after="0" w:line="225" w:lineRule="auto"/>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Restricted stock units granted in 2013 and 2014 do not include awards under the Performance Award Agreement for the respective years, as these awards are not granted until attainment of annual performance goals has been determined at the conclusion of the performance period, which had not occurred as of March 31, 2013 and 2014, respectively.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2014, unrecognized compensation expense on restricted stock units was $23.5 million, which is expected to be recognized over a weighted average period of approximately 2.1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grant unrestricted stock awards to members of our Board of Directors as part of their compensation. Awards are fully vested and expensed when granted.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unrestricted stock awards is the market close price of our common stock on the date of grant.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three months ended March 31:</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6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3"/>
              </w:rPr>
              <w:t>Three Months Ended March 31,</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740" w:type="dxa"/>
            <w:vAlign w:val="bottom"/>
          </w:tcPr>
          <w:p>
            <w:pPr>
              <w:spacing w:after="0"/>
              <w:rPr>
                <w:sz w:val="20"/>
                <w:szCs w:val="20"/>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7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9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96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89"/>
              </w:rPr>
              <w:t>(in thousands, except per share data)</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granted</w:t>
            </w:r>
          </w:p>
        </w:tc>
        <w:tc>
          <w:tcPr>
            <w:tcW w:w="1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67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per share</w:t>
            </w:r>
          </w:p>
        </w:tc>
        <w:tc>
          <w:tcPr>
            <w:tcW w:w="158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40.63</w:t>
            </w:r>
          </w:p>
        </w:tc>
        <w:tc>
          <w:tcPr>
            <w:tcW w:w="164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45.43</w:t>
            </w:r>
          </w:p>
        </w:tc>
      </w:tr>
      <w:tr>
        <w:trPr>
          <w:trHeight w:val="33"/>
        </w:trPr>
        <w:tc>
          <w:tcPr>
            <w:tcW w:w="67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Under the terms of the ESPP, employees can deduct up to 10% of their regular cash compensation to purchase our common stock at a discount from the fair market value of the stock at the end of each fiscal quarter, subject to other limitations under the plan. The sale of the stock to the employees occurs at the beginning of the subsequent quarter. Effective October 1, 2013, we changed the terms of the ESPP to reduce the discount from 15% to 5% from the fair market value of the stock at the end of each fiscal quarter. As a result of this change, the ESPP is no longer considered compensatory, and no compensation expense is recognized for future sales of our common stock to employees. Prior to October 1, 2013, the plan was considered compensatory.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three months ended March 31: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00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w w:val="93"/>
              </w:rPr>
              <w:t>Three Months Ended March 31,</w:t>
            </w:r>
          </w:p>
        </w:tc>
        <w:tc>
          <w:tcPr>
            <w:tcW w:w="6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6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6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6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40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400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w w:val="89"/>
              </w:rPr>
              <w:t>(in thousands, except per share data)</w:t>
            </w:r>
          </w:p>
        </w:tc>
        <w:tc>
          <w:tcPr>
            <w:tcW w:w="6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of stock sold to employees</w:t>
            </w:r>
            <w:r>
              <w:rPr>
                <w:rFonts w:ascii="Arial" w:cs="Arial" w:eastAsia="Arial" w:hAnsi="Arial"/>
                <w:sz w:val="21"/>
                <w:szCs w:val="21"/>
                <w:color w:val="auto"/>
                <w:vertAlign w:val="superscript"/>
              </w:rPr>
              <w:t>(1)</w:t>
            </w:r>
          </w:p>
        </w:tc>
        <w:tc>
          <w:tcPr>
            <w:tcW w:w="16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6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70"/>
        </w:trPr>
        <w:tc>
          <w:tcPr>
            <w:tcW w:w="67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 per ESPP award</w:t>
            </w:r>
            <w:r>
              <w:rPr>
                <w:rFonts w:ascii="Arial" w:cs="Arial" w:eastAsia="Arial" w:hAnsi="Arial"/>
                <w:sz w:val="21"/>
                <w:szCs w:val="21"/>
                <w:color w:val="auto"/>
                <w:vertAlign w:val="superscript"/>
              </w:rPr>
              <w:t>(2)</w:t>
            </w:r>
          </w:p>
        </w:tc>
        <w:tc>
          <w:tcPr>
            <w:tcW w:w="1680" w:type="dxa"/>
            <w:vAlign w:val="bottom"/>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r>
    </w:tbl>
    <w:p>
      <w:pPr>
        <w:spacing w:after="0" w:line="17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74" w:lineRule="exact"/>
        <w:rPr>
          <w:rFonts w:ascii="Arial" w:cs="Arial" w:eastAsia="Arial" w:hAnsi="Arial"/>
          <w:sz w:val="21"/>
          <w:szCs w:val="21"/>
          <w:color w:val="auto"/>
          <w:vertAlign w:val="superscript"/>
        </w:rPr>
      </w:pPr>
    </w:p>
    <w:p>
      <w:pPr>
        <w:ind w:left="340" w:hanging="332"/>
        <w:spacing w:after="0" w:line="211"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Effective October 1, 2013, the ESPP is no longer compensatory, and therefore the weighted average fair value per award is not applicable for the three months ended March 31, 2014.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492,000 shares of common stock available for future issuance under the ESPP at March 31, 2014.</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provisions as a percentage of income (loss) before tax typically differ from the federal statutory rate of 35%, and may vary from period to period, due to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tax benefit for the first three months of 2014 was higher than the federal statutory benefit of 35% due to discrete tax benefits recognized.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tax benefit for the first three months of 2013 reflects the favorable discrete tax benefit for the retroactive extension of the 2012 research and experimentation credit in the amount of $4.0 million. The American Taxpayer Relief Act of 2012 was signed into law on January 2, 2013 and extended several business tax provisions including the research and experimentation credit. Our annual estimated effective tax rate for 2013 was favorably impacted by a higher percentage of projected earnings in foreign jurisdictions with tax rates below 35%, the benefit of certain interest expense deductions, and an election under U.S. Internal Revenue Code Section 338 with respect to a foreign acquisition in 2007.</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306" w:lineRule="exact"/>
        <w:rPr>
          <w:sz w:val="20"/>
          <w:szCs w:val="20"/>
          <w:color w:val="auto"/>
        </w:rPr>
      </w:pPr>
    </w:p>
    <w:p>
      <w:pPr>
        <w:jc w:val="center"/>
        <w:ind w:left="72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37465</wp:posOffset>
            </wp:positionV>
            <wp:extent cx="2675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0" w:lineRule="exact"/>
        <w:rPr>
          <w:sz w:val="20"/>
          <w:szCs w:val="20"/>
          <w:color w:val="auto"/>
        </w:rPr>
      </w:pPr>
    </w:p>
    <w:p>
      <w:pPr>
        <w:ind w:left="8080"/>
        <w:spacing w:after="0"/>
        <w:tabs>
          <w:tab w:leader="none" w:pos="1022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37465</wp:posOffset>
            </wp:positionV>
            <wp:extent cx="267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6"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 (benefit)</w:t>
            </w:r>
          </w:p>
        </w:tc>
        <w:tc>
          <w:tcPr>
            <w:tcW w:w="1580" w:type="dxa"/>
            <w:vAlign w:val="bottom"/>
            <w:tcBorders>
              <w:bottom w:val="single" w:sz="8" w:color="CCEEFF"/>
            </w:tcBorders>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432"/>
        </w:trPr>
        <w:tc>
          <w:tcPr>
            <w:tcW w:w="7200" w:type="dxa"/>
            <w:vAlign w:val="bottom"/>
          </w:tcPr>
          <w:p>
            <w:pPr>
              <w:spacing w:after="0"/>
              <w:rPr>
                <w:sz w:val="20"/>
                <w:szCs w:val="20"/>
                <w:color w:val="auto"/>
              </w:rPr>
            </w:pPr>
            <w:r>
              <w:rPr>
                <w:rFonts w:ascii="Arial" w:cs="Arial" w:eastAsia="Arial" w:hAnsi="Arial"/>
                <w:sz w:val="18"/>
                <w:szCs w:val="18"/>
                <w:color w:val="auto"/>
              </w:rPr>
              <w:t>Accrued interest and penalties recorded were as follows:</w:t>
            </w: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588"/>
        </w:trPr>
        <w:tc>
          <w:tcPr>
            <w:tcW w:w="7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March 31, 2014</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2013</w:t>
            </w:r>
          </w:p>
        </w:tc>
      </w:tr>
      <w:tr>
        <w:trPr>
          <w:trHeight w:val="33"/>
        </w:trPr>
        <w:tc>
          <w:tcPr>
            <w:tcW w:w="7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4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auto"/>
                <w:w w:val="92"/>
              </w:rPr>
              <w:t>(in thousands)</w:t>
            </w: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580" w:type="dxa"/>
            <w:vAlign w:val="bottom"/>
            <w:tcBorders>
              <w:bottom w:val="single" w:sz="8" w:color="CCEEFF"/>
            </w:tcBorders>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1,846</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2,078</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58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2,808</w:t>
            </w:r>
          </w:p>
        </w:tc>
        <w:tc>
          <w:tcPr>
            <w:tcW w:w="3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3,075</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ind w:right="419"/>
              <w:spacing w:after="0"/>
              <w:rPr>
                <w:sz w:val="20"/>
                <w:szCs w:val="20"/>
                <w:color w:val="auto"/>
              </w:rPr>
            </w:pPr>
            <w:r>
              <w:rPr>
                <w:rFonts w:ascii="Arial" w:cs="Arial" w:eastAsia="Arial" w:hAnsi="Arial"/>
                <w:sz w:val="16"/>
                <w:szCs w:val="16"/>
                <w:b w:val="1"/>
                <w:bCs w:val="1"/>
                <w:color w:val="auto"/>
              </w:rPr>
              <w:t>March 31, 2014</w:t>
            </w:r>
          </w:p>
        </w:tc>
        <w:tc>
          <w:tcPr>
            <w:tcW w:w="3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2013</w:t>
            </w:r>
          </w:p>
        </w:tc>
      </w:tr>
      <w:tr>
        <w:trPr>
          <w:trHeight w:val="3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3"/>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29,068</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28,615</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27,833</w:t>
            </w:r>
          </w:p>
        </w:tc>
        <w:tc>
          <w:tcPr>
            <w:tcW w:w="3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27,694</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it is reasonably possible that our unrecognized tax benefits may decrease by approximately $2.0 million within the next twelve months due to the expiration of the statute of limitations. At March 31, 2014, we are not able to reasonably estimate the timing of future cash flows related to our uncertain tax positions.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2014</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2013</w:t>
            </w:r>
          </w:p>
        </w:tc>
      </w:tr>
      <w:tr>
        <w:trPr>
          <w:trHeight w:val="3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4"/>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gridSpan w:val="4"/>
          </w:tcPr>
          <w:p>
            <w:pPr>
              <w:jc w:val="right"/>
              <w:ind w:right="1519"/>
              <w:spacing w:after="0"/>
              <w:rPr>
                <w:sz w:val="20"/>
                <w:szCs w:val="20"/>
                <w:color w:val="auto"/>
              </w:rPr>
            </w:pPr>
            <w:r>
              <w:rPr>
                <w:rFonts w:ascii="Arial" w:cs="Arial" w:eastAsia="Arial" w:hAnsi="Arial"/>
                <w:sz w:val="16"/>
                <w:szCs w:val="16"/>
                <w:b w:val="1"/>
                <w:bCs w:val="1"/>
                <w:color w:val="auto"/>
              </w:rPr>
              <w:t>(in thousands)</w:t>
            </w:r>
          </w:p>
        </w:tc>
      </w:tr>
      <w:tr>
        <w:trPr>
          <w:trHeight w:val="303"/>
        </w:trPr>
        <w:tc>
          <w:tcPr>
            <w:tcW w:w="72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660,000</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(120,000)</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(49,491)</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517,664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490,509</w:t>
            </w:r>
          </w:p>
        </w:tc>
      </w:tr>
      <w:tr>
        <w:trPr>
          <w:trHeight w:val="73"/>
        </w:trPr>
        <w:tc>
          <w:tcPr>
            <w:tcW w:w="72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7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7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115,269</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(32,882)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(31,714)</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(4,252)</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92,241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79,303</w:t>
            </w:r>
          </w:p>
        </w:tc>
      </w:tr>
      <w:tr>
        <w:trPr>
          <w:trHeight w:val="73"/>
        </w:trPr>
        <w:tc>
          <w:tcPr>
            <w:tcW w:w="72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7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145,292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186,446</w:t>
            </w:r>
          </w:p>
        </w:tc>
      </w:tr>
    </w:tbl>
    <w:p>
      <w:pPr>
        <w:spacing w:after="0" w:line="19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Refer to Note 6 for details regarding our secured credit facilities.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2010 and 2011, Transdata Incorporated (Transdata) filed lawsuits against four of our customers, CenterPoint Energy (CenterPoint), TriCounty Electric Cooperative, Inc. (Tri-County), San Diego Gas &amp; Electric Company (San Diego), and Texas-New Mexico Power Company (TNMP), as well as several other utilities, alleging infringement of three patents owned by Transdata related to the use of an antenna in a meter. Pursuant to our contractual obligations with our customers, we agreed, subject to certain exceptions, to indemnify and defend them in these lawsuits. The complaints seek unspecified damages as well as injunctive relief. CenterPoint, Tri-County, San Diego, and TNMP have denied all of the substantive allegations and filed counterclaims seeking a declaratory judgment that the patents are invalid and not infringed. In December 2011, the Judicial Panel on Multi-District Litigation consolidated all of these cases in the Western District of Oklahoma for pretrial proceedings. On April 17, 2011, the Oklahoma court stayed the litigation pending the resolution of re-examination proceedings in the United States Patent and Trademark Office (U.S. PTO). The U.S. PTO has issued re-examination certificates confirming the patentability of the original claims and allowing</w:t>
      </w:r>
    </w:p>
    <w:p>
      <w:pPr>
        <w:sectPr>
          <w:pgSz w:w="11900" w:h="16838" w:orient="portrait"/>
          <w:cols w:equalWidth="0" w:num="1">
            <w:col w:w="11420"/>
          </w:cols>
          <w:pgMar w:left="240" w:top="12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new claims added by TransData. The parties conducted a claim construction hearing on February 5, 2013 on one claim term -- "electric meter circuitry." After initially adopting defendants' proposed construction of the term, the Court granted TransData's motion for reconsideration by order of June 25, 2013, and has adopted TransData's proposed construction. On October 1, 2013, the Court issued an order construing other claim terms. Fact discovery is currently scheduled to close on June 29, 2014, with experts' reports to follow. No trials are scheduled.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Itron and its subsidiaries are parties to various employment-related proceedings in jurisdictions where it does business. None of</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proceedings are individually material to Itron, and we believe that we have made adequate provision such that the ultimate disposition of the proceedings will not materially affect Itron's business or financial condition.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 series of cases, approximately 300 former employees of Itron Sistemas e Technologia Ltda. (Itron Brazil), the majority of whose employment contracts were terminated in 2011, have sued Itron Brazil seeking payment of overtime and salary differential and alleging that the assumption of the employment relationship by Itron Brazil constituted illegal outsourcing under Brazilian law. In 2008, Itron Brazil entered into an agreement to provide installation and maintenance services to one of its customers and, to perform such services, hired over 800 employees of the previous provider of such services. In 2011, Itron Brazil determined to terminate the contract with its customer, which led to the termination of approximately 870 employees. Under applicable statutes of limitation, most additional employee claims must have been brought prior to October 31, 2013. Itron Brazil intends to vigorously defend these cases, but the ultimate outcome of the cases cannot be determined at this time.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31, 2013, we received a claim from one of our customers relating to alleged defects in meters sold to this customer since the year 2000. The customer asserts that it should be compensated for product and other related costs. We have engaged the customer in discussions to determine the factual basis for the claim. Since the discussions and related analysis are at an early stage, we are not yet able to estimate a potential range of loss. Currently, we do not believe that the outcome of this matter will have a material adverse effect on our business or financial condition, although an unfavorable outcome could have a material adverse effect on our results of operations for the period in which such a loss is recognized.</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March 31,</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7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80" w:type="dxa"/>
            <w:vAlign w:val="bottom"/>
            <w:gridSpan w:val="3"/>
          </w:tcPr>
          <w:p>
            <w:pPr>
              <w:jc w:val="right"/>
              <w:ind w:right="979"/>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45,146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53,605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1,231</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861</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2,027</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Claims activity</w:t>
            </w: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(2,631)</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(5,099)</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5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5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46,024</w:t>
            </w: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50,754</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warranty</w:t>
            </w:r>
          </w:p>
        </w:tc>
        <w:tc>
          <w:tcPr>
            <w:tcW w:w="15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21,989</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25,150</w:t>
            </w:r>
          </w:p>
        </w:tc>
      </w:tr>
      <w:tr>
        <w:trPr>
          <w:trHeight w:val="244"/>
        </w:trPr>
        <w:tc>
          <w:tcPr>
            <w:tcW w:w="6740" w:type="dxa"/>
            <w:vAlign w:val="bottom"/>
          </w:tcPr>
          <w:p>
            <w:pPr>
              <w:ind w:left="380"/>
              <w:spacing w:after="0"/>
              <w:rPr>
                <w:sz w:val="20"/>
                <w:szCs w:val="20"/>
                <w:color w:val="auto"/>
              </w:rPr>
            </w:pPr>
            <w:r>
              <w:rPr>
                <w:rFonts w:ascii="Arial" w:cs="Arial" w:eastAsia="Arial" w:hAnsi="Arial"/>
                <w:sz w:val="16"/>
                <w:szCs w:val="16"/>
                <w:color w:val="auto"/>
              </w:rPr>
              <w:t>Long-term warranty</w:t>
            </w:r>
          </w:p>
        </w:tc>
        <w:tc>
          <w:tcPr>
            <w:tcW w:w="1540" w:type="dxa"/>
            <w:vAlign w:val="bottom"/>
            <w:tcBorders>
              <w:top w:val="single" w:sz="8" w:color="auto"/>
              <w:bottom w:val="single" w:sz="8" w:color="auto"/>
            </w:tcBorders>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24,035</w:t>
            </w:r>
          </w:p>
        </w:tc>
        <w:tc>
          <w:tcPr>
            <w:tcW w:w="120" w:type="dxa"/>
            <w:vAlign w:val="bottom"/>
          </w:tcPr>
          <w:p>
            <w:pPr>
              <w:spacing w:after="0"/>
              <w:rPr>
                <w:sz w:val="21"/>
                <w:szCs w:val="21"/>
                <w:color w:val="auto"/>
              </w:rPr>
            </w:pPr>
          </w:p>
        </w:tc>
        <w:tc>
          <w:tcPr>
            <w:tcW w:w="1500" w:type="dxa"/>
            <w:vAlign w:val="bottom"/>
            <w:tcBorders>
              <w:top w:val="single" w:sz="8" w:color="auto"/>
              <w:bottom w:val="single" w:sz="8" w:color="auto"/>
            </w:tcBorders>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25,604</w:t>
            </w:r>
          </w:p>
        </w:tc>
      </w:tr>
      <w:tr>
        <w:trPr>
          <w:trHeight w:val="20"/>
        </w:trPr>
        <w:tc>
          <w:tcPr>
            <w:tcW w:w="6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and other changes and adjustments to warranties. Warranty expense for the three months ended March 31 was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6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3"/>
              </w:rPr>
              <w:t>Three Months Ended March 31,</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740" w:type="dxa"/>
            <w:vAlign w:val="bottom"/>
          </w:tcPr>
          <w:p>
            <w:pPr>
              <w:spacing w:after="0"/>
              <w:rPr>
                <w:sz w:val="20"/>
                <w:szCs w:val="20"/>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7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gridSpan w:val="2"/>
          </w:tcPr>
          <w:p>
            <w:pPr>
              <w:jc w:val="center"/>
              <w:ind w:right="739"/>
              <w:spacing w:after="0"/>
              <w:rPr>
                <w:sz w:val="20"/>
                <w:szCs w:val="20"/>
                <w:color w:val="auto"/>
              </w:rPr>
            </w:pPr>
            <w:r>
              <w:rPr>
                <w:rFonts w:ascii="Arial" w:cs="Arial" w:eastAsia="Arial" w:hAnsi="Arial"/>
                <w:sz w:val="16"/>
                <w:szCs w:val="16"/>
                <w:b w:val="1"/>
                <w:bCs w:val="1"/>
                <w:color w:val="auto"/>
                <w:w w:val="90"/>
              </w:rPr>
              <w:t>(in thousands)</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w:t>
            </w:r>
          </w:p>
        </w:tc>
        <w:tc>
          <w:tcPr>
            <w:tcW w:w="158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3,324</w:t>
            </w:r>
          </w:p>
        </w:tc>
        <w:tc>
          <w:tcPr>
            <w:tcW w:w="164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2,888</w:t>
            </w:r>
          </w:p>
        </w:tc>
      </w:tr>
      <w:tr>
        <w:trPr>
          <w:trHeight w:val="33"/>
        </w:trPr>
        <w:tc>
          <w:tcPr>
            <w:tcW w:w="67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Unearned Revenue Related to 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March 31,</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7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80" w:type="dxa"/>
            <w:vAlign w:val="bottom"/>
            <w:gridSpan w:val="3"/>
          </w:tcPr>
          <w:p>
            <w:pPr>
              <w:jc w:val="right"/>
              <w:ind w:right="979"/>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33,528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31,960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961</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5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33,590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32,363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 warranty</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2,424</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2,285</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unearned revenue for extended warranty within other long-term obligations</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31,166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30,078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6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3"/>
              </w:rPr>
              <w:t>Three Months Ended March 31,</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740" w:type="dxa"/>
            <w:vAlign w:val="bottom"/>
          </w:tcPr>
          <w:p>
            <w:pPr>
              <w:spacing w:after="0"/>
              <w:rPr>
                <w:sz w:val="20"/>
                <w:szCs w:val="20"/>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7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gridSpan w:val="2"/>
          </w:tcPr>
          <w:p>
            <w:pPr>
              <w:jc w:val="center"/>
              <w:ind w:right="739"/>
              <w:spacing w:after="0"/>
              <w:rPr>
                <w:sz w:val="20"/>
                <w:szCs w:val="20"/>
                <w:color w:val="auto"/>
              </w:rPr>
            </w:pPr>
            <w:r>
              <w:rPr>
                <w:rFonts w:ascii="Arial" w:cs="Arial" w:eastAsia="Arial" w:hAnsi="Arial"/>
                <w:sz w:val="16"/>
                <w:szCs w:val="16"/>
                <w:b w:val="1"/>
                <w:bCs w:val="1"/>
                <w:color w:val="auto"/>
                <w:w w:val="90"/>
              </w:rPr>
              <w:t>(in thousands)</w:t>
            </w:r>
          </w:p>
        </w:tc>
        <w:tc>
          <w:tcPr>
            <w:tcW w:w="7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58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6,263</w:t>
            </w:r>
          </w:p>
        </w:tc>
        <w:tc>
          <w:tcPr>
            <w:tcW w:w="164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4,838</w:t>
            </w:r>
          </w:p>
        </w:tc>
      </w:tr>
      <w:tr>
        <w:trPr>
          <w:trHeight w:val="33"/>
        </w:trPr>
        <w:tc>
          <w:tcPr>
            <w:tcW w:w="67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March 31, 2014</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2013</w:t>
            </w:r>
          </w:p>
        </w:tc>
      </w:tr>
      <w:tr>
        <w:trPr>
          <w:trHeight w:val="33"/>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760" w:type="dxa"/>
            <w:vAlign w:val="bottom"/>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2,075</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2,206</w:t>
            </w:r>
          </w:p>
        </w:tc>
      </w:tr>
      <w:tr>
        <w:trPr>
          <w:trHeight w:val="33"/>
        </w:trPr>
        <w:tc>
          <w:tcPr>
            <w:tcW w:w="67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10, 2013, our management approved new projects to restructure our operations to improve profitability and increase efficiencies. These restructuring projects will reduce headcount and close or consolidate several manufacturing and office facilities. Overall, we expect to reduce our work force by approximately 9%.</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began implementing these projects in the third quarter of 2013, and we expect to substantially complete these projects by December 31, 2014. Certain aspects of the projects are subject to a variety of labor and employment laws, rules, and regulations, which could result in a delay in implementing the projects at some locations.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2014, the total expected costs increased $5.8 million from our December 31, 2013 expected costs. This increase was primarily a result of additional workforce reductions from the planned consolidation of certain corporate functions, partially offset by lower than expected severance costs in the Electricity and Gas segments.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during the three months ended March 31, 2014, and the remaining expected restructuring costs as of March 31, 2014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Costs Recognized During</w:t>
            </w:r>
          </w:p>
        </w:tc>
        <w:tc>
          <w:tcPr>
            <w:tcW w:w="140" w:type="dxa"/>
            <w:vAlign w:val="bottom"/>
          </w:tcPr>
          <w:p>
            <w:pPr>
              <w:spacing w:after="0"/>
              <w:rPr>
                <w:sz w:val="17"/>
                <w:szCs w:val="17"/>
                <w:color w:val="auto"/>
              </w:rPr>
            </w:pPr>
          </w:p>
        </w:tc>
        <w:tc>
          <w:tcPr>
            <w:tcW w:w="19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Remaining Costs to be</w:t>
            </w:r>
          </w:p>
        </w:tc>
      </w:t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Total Expected Costs at</w:t>
            </w:r>
          </w:p>
        </w:tc>
        <w:tc>
          <w:tcPr>
            <w:tcW w:w="10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Costs Recognized in Prior</w:t>
            </w:r>
          </w:p>
        </w:tc>
        <w:tc>
          <w:tcPr>
            <w:tcW w:w="2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the Three Months Ended</w:t>
            </w:r>
          </w:p>
        </w:tc>
        <w:tc>
          <w:tcPr>
            <w:tcW w:w="140" w:type="dxa"/>
            <w:vAlign w:val="bottom"/>
          </w:tcPr>
          <w:p>
            <w:pPr>
              <w:spacing w:after="0"/>
              <w:rPr>
                <w:sz w:val="17"/>
                <w:szCs w:val="17"/>
                <w:color w:val="auto"/>
              </w:rPr>
            </w:pPr>
          </w:p>
        </w:tc>
        <w:tc>
          <w:tcPr>
            <w:tcW w:w="190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Recognized at March 31,</w:t>
            </w: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2014</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Periods</w:t>
            </w:r>
          </w:p>
        </w:tc>
        <w:tc>
          <w:tcPr>
            <w:tcW w:w="40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March 31, 2014</w:t>
            </w:r>
          </w:p>
        </w:tc>
        <w:tc>
          <w:tcPr>
            <w:tcW w:w="140" w:type="dxa"/>
            <w:vAlign w:val="bottom"/>
          </w:tcPr>
          <w:p>
            <w:pPr>
              <w:spacing w:after="0"/>
              <w:rPr>
                <w:sz w:val="18"/>
                <w:szCs w:val="18"/>
                <w:color w:val="auto"/>
              </w:rPr>
            </w:pPr>
          </w:p>
        </w:tc>
        <w:tc>
          <w:tcPr>
            <w:tcW w:w="19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1,232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r>
      <w:tr>
        <w:trPr>
          <w:trHeight w:val="284"/>
        </w:trPr>
        <w:tc>
          <w:tcPr>
            <w:tcW w:w="29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37,123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31,099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5,524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500</w:t>
            </w:r>
          </w:p>
        </w:tc>
      </w:tr>
      <w:tr>
        <w:trPr>
          <w:trHeight w:val="257"/>
        </w:trPr>
        <w:tc>
          <w:tcPr>
            <w:tcW w:w="2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4,066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4,369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7,017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5,800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500</w:t>
            </w:r>
          </w:p>
        </w:tc>
      </w:tr>
      <w:tr>
        <w:trPr>
          <w:trHeight w:val="33"/>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37,123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31,099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within the restructuring related balance sheet accounts during the three months ended March 31, 2014:</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2"/>
              </w:rPr>
              <w:t>Asset Impairments &amp;</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Net Loss on Sale or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Accrued Costs</w:t>
            </w: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ind w:left="11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36,341</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Costs incurred and charged to expense</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4,195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5,524</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(3,763)</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Non-cash items</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44"/>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 March 31,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33,105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4,882</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37,987</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to exit facilities, such as costs to relocate inventory and equipment and contract cancellation costs, once the operations in those facilities have ceased. Costs associated with restructuring activities are generally presented as restructuring expense in the Consolidated Statements of Operations,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portions of the restructuring related liability balances were $32.0 million and $30.3 million as of March 31, 2014 and December 31, 2013, respectively. The current portion of the liability is classified within "Other current liabilities" on the Consolidated Balance Sheets. The long-term portions of the restructuring related liability balances were $6.0 million as of March 31, 2014 and December 31, 2013. The long-term portion of the restructuring liability is classified within "Other long-term obligations" on the Consolidated Balance Sheets.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plan are not material to our operating segments or consolidated results.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2011 Projects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fourth quarter of 2011, we announced the approval of projects to restructure our manufacturing operations to increase efficiency and lower our cost of manufacturing. We began implementing these projects in the fourth quarter of 2011.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2013, we had substantially completed these restructuring projects, resulting in approximately $74.1 million of restructuring expense, which was recognized from the fourth quarter of 2011 through the second quarter of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Other Comprehensive Income (Loss)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OCI is reflected as a net increase (decrease) to Itron, Inc. shareholders’ equity and is not reflected in our results of operations. The before-tax amount, income tax (provision) benefit, and net-of-tax amount related to each component of other comprehensive income (loss) during the reporting periods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c>
          <w:tcPr>
            <w:tcW w:w="7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2013</w:t>
            </w:r>
          </w:p>
        </w:tc>
        <w:tc>
          <w:tcPr>
            <w:tcW w:w="7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6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8"/>
                <w:szCs w:val="18"/>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1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(27,447)</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(gain) reclassified into net income</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5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(3,121)</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(28,085)</w:t>
            </w:r>
          </w:p>
        </w:tc>
      </w:tr>
      <w:tr>
        <w:trPr>
          <w:trHeight w:val="189"/>
        </w:trPr>
        <w:tc>
          <w:tcPr>
            <w:tcW w:w="6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(3,848)</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Net hedging loss (gain) reclassified into net income</w:t>
            </w: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15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15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(3,663)</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9"/>
        </w:trPr>
        <w:tc>
          <w:tcPr>
            <w:tcW w:w="67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(31,295)</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(gain) reclassified into net income</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(380)</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540" w:type="dxa"/>
            <w:vAlign w:val="bottom"/>
            <w:tcBorders>
              <w:bottom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(31,748)</w:t>
            </w:r>
          </w:p>
        </w:tc>
      </w:tr>
      <w:tr>
        <w:trPr>
          <w:trHeight w:val="20"/>
        </w:trPr>
        <w:tc>
          <w:tcPr>
            <w:tcW w:w="6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accumulated other comprehensive income (loss) (AOCI), net of tax,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Pension Plan</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Benefit Liability</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(34,384)</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(31,934)</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(31,748)</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March 31,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(66,132)</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(21,722)</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(3,471)</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(3,114)</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March 31,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(24,836)</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AOCI components reclassified to the Consolidated Statements of Operations during the reporting periods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gridSpan w:val="4"/>
          </w:tcPr>
          <w:p>
            <w:pPr>
              <w:jc w:val="center"/>
              <w:ind w:right="439"/>
              <w:spacing w:after="0"/>
              <w:rPr>
                <w:sz w:val="20"/>
                <w:szCs w:val="20"/>
                <w:color w:val="auto"/>
              </w:rPr>
            </w:pPr>
            <w:r>
              <w:rPr>
                <w:rFonts w:ascii="Arial" w:cs="Arial" w:eastAsia="Arial" w:hAnsi="Arial"/>
                <w:sz w:val="16"/>
                <w:szCs w:val="16"/>
                <w:b w:val="1"/>
                <w:bCs w:val="1"/>
                <w:color w:val="auto"/>
                <w:w w:val="92"/>
              </w:rPr>
              <w:t>Amount Reclassified from AOCI</w:t>
            </w:r>
            <w:r>
              <w:rPr>
                <w:rFonts w:ascii="Arial" w:cs="Arial" w:eastAsia="Arial" w:hAnsi="Arial"/>
                <w:sz w:val="21"/>
                <w:szCs w:val="21"/>
                <w:b w:val="1"/>
                <w:bCs w:val="1"/>
                <w:color w:val="auto"/>
                <w:w w:val="92"/>
                <w:vertAlign w:val="superscript"/>
              </w:rPr>
              <w:t>(1)</w:t>
            </w:r>
          </w:p>
        </w:tc>
        <w:tc>
          <w:tcPr>
            <w:tcW w:w="100" w:type="dxa"/>
            <w:vAlign w:val="bottom"/>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80" w:type="dxa"/>
            <w:vAlign w:val="bottom"/>
            <w:gridSpan w:val="3"/>
          </w:tcPr>
          <w:p>
            <w:pPr>
              <w:jc w:val="center"/>
              <w:ind w:left="839"/>
              <w:spacing w:after="0"/>
              <w:rPr>
                <w:sz w:val="20"/>
                <w:szCs w:val="20"/>
                <w:color w:val="auto"/>
              </w:rPr>
            </w:pPr>
            <w:r>
              <w:rPr>
                <w:rFonts w:ascii="Arial" w:cs="Arial" w:eastAsia="Arial" w:hAnsi="Arial"/>
                <w:sz w:val="16"/>
                <w:szCs w:val="16"/>
                <w:b w:val="1"/>
                <w:bCs w:val="1"/>
                <w:color w:val="auto"/>
                <w:w w:val="93"/>
              </w:rPr>
              <w:t>Three Months Ended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6"/>
                <w:szCs w:val="16"/>
                <w:b w:val="1"/>
                <w:bCs w:val="1"/>
                <w:color w:val="auto"/>
                <w:w w:val="94"/>
              </w:rPr>
              <w:t>Affected Line Item in the Income</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80" w:type="dxa"/>
            <w:vAlign w:val="bottom"/>
            <w:gridSpan w:val="3"/>
          </w:tcPr>
          <w:p>
            <w:pPr>
              <w:jc w:val="center"/>
              <w:ind w:left="839"/>
              <w:spacing w:after="0"/>
              <w:rPr>
                <w:sz w:val="20"/>
                <w:szCs w:val="20"/>
                <w:color w:val="auto"/>
              </w:rPr>
            </w:pPr>
            <w:r>
              <w:rPr>
                <w:rFonts w:ascii="Arial" w:cs="Arial" w:eastAsia="Arial" w:hAnsi="Arial"/>
                <w:sz w:val="16"/>
                <w:szCs w:val="16"/>
                <w:b w:val="1"/>
                <w:bCs w:val="1"/>
                <w:color w:val="auto"/>
                <w:w w:val="97"/>
              </w:rPr>
              <w:t>March 31,</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860"/>
              <w:spacing w:after="0"/>
              <w:rPr>
                <w:sz w:val="20"/>
                <w:szCs w:val="20"/>
                <w:color w:val="auto"/>
              </w:rPr>
            </w:pPr>
            <w:r>
              <w:rPr>
                <w:rFonts w:ascii="Arial" w:cs="Arial" w:eastAsia="Arial" w:hAnsi="Arial"/>
                <w:sz w:val="16"/>
                <w:szCs w:val="16"/>
                <w:b w:val="1"/>
                <w:bCs w:val="1"/>
                <w:color w:val="auto"/>
              </w:rPr>
              <w:t>Statement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jc w:val="right"/>
              <w:ind w:right="8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jc w:val="right"/>
              <w:ind w:right="8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80" w:type="dxa"/>
            <w:vAlign w:val="bottom"/>
            <w:gridSpan w:val="3"/>
          </w:tcPr>
          <w:p>
            <w:pPr>
              <w:jc w:val="center"/>
              <w:ind w:left="839"/>
              <w:spacing w:after="0"/>
              <w:rPr>
                <w:sz w:val="20"/>
                <w:szCs w:val="20"/>
                <w:color w:val="auto"/>
              </w:rPr>
            </w:pPr>
            <w:r>
              <w:rPr>
                <w:rFonts w:ascii="Arial" w:cs="Arial" w:eastAsia="Arial" w:hAnsi="Arial"/>
                <w:sz w:val="16"/>
                <w:szCs w:val="16"/>
                <w:b w:val="1"/>
                <w:bCs w:val="1"/>
                <w:color w:val="auto"/>
                <w:w w:val="90"/>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Amortization of defined benefit pension items</w:t>
            </w:r>
          </w:p>
        </w:tc>
        <w:tc>
          <w:tcPr>
            <w:tcW w:w="5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4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Prior-service costs</w:t>
            </w:r>
          </w:p>
        </w:tc>
        <w:tc>
          <w:tcPr>
            <w:tcW w:w="56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5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4240" w:type="dxa"/>
            <w:vAlign w:val="bottom"/>
            <w:tcBorders>
              <w:bottom w:val="single" w:sz="8" w:color="CCEEFF"/>
            </w:tcBorders>
            <w:vMerge w:val="continue"/>
            <w:shd w:val="clear" w:color="auto" w:fill="CCEEFF"/>
          </w:tcPr>
          <w:p>
            <w:pPr>
              <w:spacing w:after="0"/>
              <w:rPr>
                <w:sz w:val="7"/>
                <w:szCs w:val="7"/>
                <w:color w:val="auto"/>
              </w:rPr>
            </w:pPr>
          </w:p>
        </w:tc>
        <w:tc>
          <w:tcPr>
            <w:tcW w:w="560" w:type="dxa"/>
            <w:vAlign w:val="bottom"/>
            <w:tcBorders>
              <w:bottom w:val="single" w:sz="8" w:color="CCEEFF"/>
            </w:tcBorders>
            <w:vMerge w:val="continue"/>
            <w:shd w:val="clear" w:color="auto" w:fill="CCEEFF"/>
          </w:tcPr>
          <w:p>
            <w:pPr>
              <w:spacing w:after="0"/>
              <w:rPr>
                <w:sz w:val="7"/>
                <w:szCs w:val="7"/>
                <w:color w:val="auto"/>
              </w:rPr>
            </w:pPr>
          </w:p>
        </w:tc>
        <w:tc>
          <w:tcPr>
            <w:tcW w:w="17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14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240" w:type="dxa"/>
            <w:vAlign w:val="bottom"/>
            <w:vMerge w:val="restart"/>
          </w:tcPr>
          <w:p>
            <w:pPr>
              <w:ind w:left="200"/>
              <w:spacing w:after="0"/>
              <w:rPr>
                <w:sz w:val="20"/>
                <w:szCs w:val="20"/>
                <w:color w:val="auto"/>
              </w:rPr>
            </w:pPr>
            <w:r>
              <w:rPr>
                <w:rFonts w:ascii="Arial" w:cs="Arial" w:eastAsia="Arial" w:hAnsi="Arial"/>
                <w:sz w:val="16"/>
                <w:szCs w:val="16"/>
                <w:color w:val="auto"/>
              </w:rPr>
              <w:t>Actuarial losses</w:t>
            </w:r>
          </w:p>
        </w:tc>
        <w:tc>
          <w:tcPr>
            <w:tcW w:w="56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(251)</w:t>
            </w:r>
          </w:p>
        </w:tc>
        <w:tc>
          <w:tcPr>
            <w:tcW w:w="2500" w:type="dxa"/>
            <w:vAlign w:val="bottom"/>
            <w:gridSpan w:val="2"/>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0"/>
        </w:trPr>
        <w:tc>
          <w:tcPr>
            <w:tcW w:w="4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before tax</w:t>
            </w:r>
          </w:p>
        </w:tc>
        <w:tc>
          <w:tcPr>
            <w:tcW w:w="5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237"/>
        </w:trPr>
        <w:tc>
          <w:tcPr>
            <w:tcW w:w="4240" w:type="dxa"/>
            <w:vAlign w:val="bottom"/>
          </w:tcPr>
          <w:p>
            <w:pPr>
              <w:ind w:left="520"/>
              <w:spacing w:after="0"/>
              <w:rPr>
                <w:sz w:val="20"/>
                <w:szCs w:val="20"/>
                <w:color w:val="auto"/>
              </w:rPr>
            </w:pPr>
            <w:r>
              <w:rPr>
                <w:rFonts w:ascii="Arial" w:cs="Arial" w:eastAsia="Arial" w:hAnsi="Arial"/>
                <w:sz w:val="16"/>
                <w:szCs w:val="16"/>
                <w:color w:val="auto"/>
              </w:rPr>
              <w:t>Tax benefit (provision)</w:t>
            </w:r>
          </w:p>
        </w:tc>
        <w:tc>
          <w:tcPr>
            <w:tcW w:w="56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net of tax</w:t>
            </w:r>
          </w:p>
        </w:tc>
        <w:tc>
          <w:tcPr>
            <w:tcW w:w="5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reclassifications for the period, net of tax</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Amounts in parenthesis indicate debits to the Consolidated Statements of Operations.</w:t>
      </w:r>
    </w:p>
    <w:p>
      <w:pPr>
        <w:spacing w:after="0" w:line="74" w:lineRule="exact"/>
        <w:rPr>
          <w:rFonts w:ascii="Arial" w:cs="Arial" w:eastAsia="Arial" w:hAnsi="Arial"/>
          <w:sz w:val="22"/>
          <w:szCs w:val="22"/>
          <w:color w:val="auto"/>
          <w:vertAlign w:val="superscript"/>
        </w:rPr>
      </w:pPr>
    </w:p>
    <w:p>
      <w:pPr>
        <w:ind w:left="340" w:hanging="332"/>
        <w:spacing w:after="0" w:line="185"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These AOCI components are included in the computation of net periodic pension cost. Refer to Note 8 for additional details.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for additional details related to derivative activities that resulted in reclassification of AOCI to the Consolidated Statements of Operations.</w:t>
      </w:r>
    </w:p>
    <w:p>
      <w:pPr>
        <w:spacing w:after="0" w:line="2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values at March 31, 2014 and December 31, 2013 do not reflect subsequent changes in the economy, interest rates, and other variables that may affect the determination of fair value. The following table presents the fair values of our financial instruments as of the balance sheet dates: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2014</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December 31, 2013</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540" w:type="dxa"/>
            <w:vAlign w:val="bottom"/>
          </w:tcPr>
          <w:p>
            <w:pPr>
              <w:spacing w:after="0"/>
              <w:rPr>
                <w:sz w:val="18"/>
                <w:szCs w:val="18"/>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5"/>
              </w:rPr>
              <w:t>Fair</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540" w:type="dxa"/>
            <w:vAlign w:val="bottom"/>
          </w:tcPr>
          <w:p>
            <w:pPr>
              <w:spacing w:after="0"/>
              <w:rPr>
                <w:sz w:val="18"/>
                <w:szCs w:val="18"/>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3"/>
              </w:rPr>
              <w:t>Value</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146,327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146,327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124,805</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253,125</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252,465</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258,750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258,011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119,609</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1,768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1,768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2,031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 valued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2013, we separated the management of our Energy operating segment into Electricity and Gas to allow each business line to develop its own go-to-market strategy, prioritize its marketing and product development requirements, and focus on its strategic investments. Our sales, marketing, and delivery functions are managed under three business lines - Electricity, Gas, and Water. Our product development and manufacturing operations are now managed on a worldwide basis to promote a global perspective in our operations and processes while maintaining alignment with the business lines. The transition to the new organizational structure, including changes to operations and financial reporting systems, was completed in the fourth quarter of 2013. Our historical segment information for the three months ended March 31, 2013 has been recast to reflect our new operating segments.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Our operating segments have distinct products, and therefore intersegment revenues are minimal. Corporate operating expenses, interest income, interest expense, other income (expense), and income tax provision (benefit)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Electricity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Standard electricity (electromechanical and electronic) meters; advanced electricity meters and communication modules; smart electricity meters; smart electricity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and professional services including implementation, installation, consulting, and analysis.</w:t>
      </w:r>
    </w:p>
    <w:p>
      <w:pPr>
        <w:spacing w:after="0" w:line="200" w:lineRule="exact"/>
        <w:rPr>
          <w:sz w:val="20"/>
          <w:szCs w:val="20"/>
          <w:color w:val="auto"/>
        </w:rPr>
      </w:pPr>
    </w:p>
    <w:p>
      <w:pPr>
        <w:sectPr>
          <w:pgSz w:w="11900" w:h="16838" w:orient="portrait"/>
          <w:cols w:equalWidth="0" w:num="2">
            <w:col w:w="780" w:space="640"/>
            <w:col w:w="10000"/>
          </w:cols>
          <w:pgMar w:left="240" w:top="125"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Standard gas meters; advanced gas meters and communication modules; smart gas meters; smart gas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and professional services, including implementation, installation,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Water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Standard water and heat meters; advanced and smart water meters and communication modules; smart heat meters; advanced systems including handheld, mobile, and fixed network collection technologies; meter data management software; knowledge application solutions; and professional services including implementation, installation, consulting, analysis, and system management.</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2013</w:t>
            </w:r>
          </w:p>
        </w:tc>
        <w:tc>
          <w:tcPr>
            <w:tcW w:w="8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1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180,218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175,763</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Gas</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146,109</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136,915</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148,468</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134,858</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500" w:type="dxa"/>
            <w:vAlign w:val="bottom"/>
            <w:tcBorders>
              <w:top w:val="single" w:sz="8" w:color="auto"/>
            </w:tcBorders>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474,795</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447,536</w:t>
            </w:r>
          </w:p>
        </w:tc>
      </w:tr>
      <w:tr>
        <w:trPr>
          <w:trHeight w:val="73"/>
        </w:trPr>
        <w:tc>
          <w:tcPr>
            <w:tcW w:w="6740" w:type="dxa"/>
            <w:vAlign w:val="bottom"/>
            <w:tcBorders>
              <w:bottom w:val="single" w:sz="8" w:color="CCEEFF"/>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51"/>
        </w:trPr>
        <w:tc>
          <w:tcPr>
            <w:tcW w:w="67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42,740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44,912</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Gas</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58,406</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50,642</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53,389</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44,569</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500" w:type="dxa"/>
            <w:vAlign w:val="bottom"/>
            <w:tcBorders>
              <w:top w:val="single" w:sz="8" w:color="auto"/>
            </w:tcBorders>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154,535</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140,123</w:t>
            </w:r>
          </w:p>
        </w:tc>
      </w:tr>
      <w:tr>
        <w:trPr>
          <w:trHeight w:val="73"/>
        </w:trPr>
        <w:tc>
          <w:tcPr>
            <w:tcW w:w="6740" w:type="dxa"/>
            <w:vAlign w:val="bottom"/>
            <w:tcBorders>
              <w:bottom w:val="single" w:sz="8" w:color="CCEEFF"/>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51"/>
        </w:trPr>
        <w:tc>
          <w:tcPr>
            <w:tcW w:w="67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(22,969)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(19,050)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Gas</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25,724</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19,530</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20,643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(18,859)</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(10,708)</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4,539</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(5,310)</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(2,094)</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2014 and March 31, 2013, no single customer represented more than 10% of total Company or the Electricity, Gas, or Water operating segment revenues.</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Revenues by region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United States and Canada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Europe, Middle East, and Africa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1740" w:type="dxa"/>
            <w:vAlign w:val="bottom"/>
          </w:tcPr>
          <w:p>
            <w:pPr>
              <w:jc w:val="right"/>
              <w:ind w:right="8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jc w:val="right"/>
              <w:ind w:right="899"/>
              <w:spacing w:after="0"/>
              <w:rPr>
                <w:sz w:val="20"/>
                <w:szCs w:val="20"/>
                <w:color w:val="auto"/>
              </w:rPr>
            </w:pPr>
            <w:r>
              <w:rPr>
                <w:rFonts w:ascii="Arial" w:cs="Arial" w:eastAsia="Arial" w:hAnsi="Arial"/>
                <w:sz w:val="16"/>
                <w:szCs w:val="16"/>
                <w:b w:val="1"/>
                <w:bCs w:val="1"/>
                <w:color w:val="auto"/>
              </w:rPr>
              <w:t>2013</w:t>
            </w:r>
          </w:p>
        </w:tc>
      </w:tr>
      <w:tr>
        <w:trPr>
          <w:trHeight w:val="33"/>
        </w:trPr>
        <w:tc>
          <w:tcPr>
            <w:tcW w:w="5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25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(in thousands)</w:t>
            </w:r>
          </w:p>
        </w:tc>
        <w:tc>
          <w:tcPr>
            <w:tcW w:w="1560" w:type="dxa"/>
            <w:vAlign w:val="bottom"/>
          </w:tcPr>
          <w:p>
            <w:pPr>
              <w:spacing w:after="0"/>
              <w:rPr>
                <w:sz w:val="18"/>
                <w:szCs w:val="18"/>
                <w:color w:val="auto"/>
              </w:rPr>
            </w:pPr>
          </w:p>
        </w:tc>
      </w:tr>
      <w:tr>
        <w:trPr>
          <w:trHeight w:val="270"/>
        </w:trPr>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200,370</w:t>
            </w:r>
          </w:p>
        </w:tc>
        <w:tc>
          <w:tcPr>
            <w:tcW w:w="120" w:type="dxa"/>
            <w:vAlign w:val="bottom"/>
          </w:tcPr>
          <w:p>
            <w:pPr>
              <w:spacing w:after="0"/>
              <w:rPr>
                <w:sz w:val="23"/>
                <w:szCs w:val="23"/>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177,206</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223,504</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211,895</w:t>
            </w:r>
          </w:p>
        </w:tc>
      </w:tr>
      <w:tr>
        <w:trPr>
          <w:trHeight w:val="270"/>
        </w:trPr>
        <w:tc>
          <w:tcPr>
            <w:tcW w:w="560" w:type="dxa"/>
            <w:vAlign w:val="bottom"/>
          </w:tcPr>
          <w:p>
            <w:pPr>
              <w:spacing w:after="0"/>
              <w:rPr>
                <w:sz w:val="23"/>
                <w:szCs w:val="23"/>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50,921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58,435</w:t>
            </w:r>
          </w:p>
        </w:tc>
      </w:tr>
      <w:tr>
        <w:trPr>
          <w:trHeight w:val="33"/>
        </w:trPr>
        <w:tc>
          <w:tcPr>
            <w:tcW w:w="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474,795</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447,536</w:t>
            </w:r>
          </w:p>
        </w:tc>
      </w:tr>
      <w:tr>
        <w:trPr>
          <w:trHeight w:val="33"/>
        </w:trPr>
        <w:tc>
          <w:tcPr>
            <w:tcW w:w="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-711200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March 31,</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7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80" w:type="dxa"/>
            <w:vAlign w:val="bottom"/>
            <w:gridSpan w:val="3"/>
          </w:tcPr>
          <w:p>
            <w:pPr>
              <w:jc w:val="right"/>
              <w:ind w:right="979"/>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Gas</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6,649</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6,841</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15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25,592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24,757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2013, filed with the Securities and Exchange Commission (SEC) on February 26,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and/or litigation, 4) our dependence on customers' acceptance of new products and their performance, 5) competition, 6) changes in domestic and international laws and regulations, 7) changes in foreign currency exchange rates and interest rates, 8) international business risks, 9) our own and our customers' or suppliers' access to and cost of capital, 10) future business combinations, and 11) other factors. You should not solely rely on these forward-looking statements as they are only valid as of the date of this Quarterly Report on Form 10-Q. We do not have any obligation to publicly update or revise any forward-looking statement in this document. </w:t>
      </w:r>
      <w:r>
        <w:rPr>
          <w:rFonts w:ascii="Arial" w:cs="Arial" w:eastAsia="Arial" w:hAnsi="Arial"/>
          <w:sz w:val="17"/>
          <w:szCs w:val="17"/>
          <w:i w:val="1"/>
          <w:iCs w:val="1"/>
          <w:color w:val="000000"/>
        </w:rPr>
        <w:t>For a more complete description of these and other</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risks, refer to Item 1A: “Risk Factors” included in our Annual Report on Form 10-K for the fiscal year ended December 31, 2013, which was filed with the SEC on February 26,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install, implement, operate, and maintain their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operate under the Itron brand worldwide and manage and report under three operating segments - Electricity, Gas, and Water.</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2013, we separated the management of our Energy operating segment into Electricity and Gas to allow each business line to develop its own go-to-market strategy, prioritize its marketing and product development requirements, and focus on its strategic investments. Our sales, marketing, and delivery functions are managed under our three business lines - Electricity, Gas, and Water. Our product development and manufacturing operations are now managed on a worldwide basis to promote a global perspective in our operations and processes and still maintain alignment with the business lines. The transition to the new organizational structure, including changes to operations and financial reporting systems, was completed in the fourth quarter of 2013. Our historical segment information for the three months ended March 31, 2013 has been recast to reflect our new operating segments.</w:t>
      </w:r>
    </w:p>
    <w:p>
      <w:pPr>
        <w:spacing w:after="0" w:line="17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Our operating segments have distinct products, and therefore intersegment revenues are minimal. Corporate-specific operating expenses, interest income, interest expense, other income (expense), and income tax provision (benefit) are not allocated to the segments and are not included in the measure of segment profit or loss. In addition, we allocate only certain production assets and intangible assets to our operating segments. We do not manage the performance of the segments on a balance sheet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22222"/>
        </w:rPr>
        <w:t xml:space="preserve">Revenues for the </w:t>
      </w:r>
      <w:r>
        <w:rPr>
          <w:rFonts w:ascii="Arial" w:cs="Arial" w:eastAsia="Arial" w:hAnsi="Arial"/>
          <w:sz w:val="18"/>
          <w:szCs w:val="18"/>
          <w:color w:val="000000"/>
        </w:rPr>
        <w:t>three</w:t>
      </w:r>
      <w:r>
        <w:rPr>
          <w:rFonts w:ascii="Arial" w:cs="Arial" w:eastAsia="Arial" w:hAnsi="Arial"/>
          <w:sz w:val="18"/>
          <w:szCs w:val="18"/>
          <w:color w:val="222222"/>
        </w:rPr>
        <w:t xml:space="preserve"> months ended </w:t>
      </w:r>
      <w:r>
        <w:rPr>
          <w:rFonts w:ascii="Arial" w:cs="Arial" w:eastAsia="Arial" w:hAnsi="Arial"/>
          <w:sz w:val="18"/>
          <w:szCs w:val="18"/>
          <w:color w:val="000000"/>
        </w:rPr>
        <w:t>March 31, 2014</w:t>
      </w:r>
      <w:r>
        <w:rPr>
          <w:rFonts w:ascii="Arial" w:cs="Arial" w:eastAsia="Arial" w:hAnsi="Arial"/>
          <w:sz w:val="18"/>
          <w:szCs w:val="18"/>
          <w:color w:val="222222"/>
        </w:rPr>
        <w:t xml:space="preserve"> were </w:t>
      </w:r>
      <w:r>
        <w:rPr>
          <w:rFonts w:ascii="Arial" w:cs="Arial" w:eastAsia="Arial" w:hAnsi="Arial"/>
          <w:sz w:val="18"/>
          <w:szCs w:val="18"/>
          <w:color w:val="000000"/>
        </w:rPr>
        <w:t>$475 million</w:t>
      </w:r>
      <w:r>
        <w:rPr>
          <w:rFonts w:ascii="Arial" w:cs="Arial" w:eastAsia="Arial" w:hAnsi="Arial"/>
          <w:sz w:val="18"/>
          <w:szCs w:val="18"/>
          <w:color w:val="222222"/>
        </w:rPr>
        <w:t xml:space="preserve">, compared with </w:t>
      </w:r>
      <w:r>
        <w:rPr>
          <w:rFonts w:ascii="Arial" w:cs="Arial" w:eastAsia="Arial" w:hAnsi="Arial"/>
          <w:sz w:val="18"/>
          <w:szCs w:val="18"/>
          <w:color w:val="000000"/>
        </w:rPr>
        <w:t>$448 million</w:t>
      </w:r>
      <w:r>
        <w:rPr>
          <w:rFonts w:ascii="Arial" w:cs="Arial" w:eastAsia="Arial" w:hAnsi="Arial"/>
          <w:sz w:val="18"/>
          <w:szCs w:val="18"/>
          <w:color w:val="222222"/>
        </w:rPr>
        <w:t xml:space="preserve"> in the same period last year. The increase in 2014 was the result of higher revenues in all three segments. Gross margin for the </w:t>
      </w:r>
      <w:r>
        <w:rPr>
          <w:rFonts w:ascii="Arial" w:cs="Arial" w:eastAsia="Arial" w:hAnsi="Arial"/>
          <w:sz w:val="18"/>
          <w:szCs w:val="18"/>
          <w:color w:val="000000"/>
        </w:rPr>
        <w:t>three</w:t>
      </w:r>
      <w:r>
        <w:rPr>
          <w:rFonts w:ascii="Arial" w:cs="Arial" w:eastAsia="Arial" w:hAnsi="Arial"/>
          <w:sz w:val="18"/>
          <w:szCs w:val="18"/>
          <w:color w:val="222222"/>
        </w:rPr>
        <w:t xml:space="preserve"> months 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March 31, 2014 </w:t>
      </w:r>
      <w:r>
        <w:rPr>
          <w:rFonts w:ascii="Arial" w:cs="Arial" w:eastAsia="Arial" w:hAnsi="Arial"/>
          <w:sz w:val="18"/>
          <w:szCs w:val="18"/>
          <w:color w:val="222222"/>
        </w:rPr>
        <w:t>was</w:t>
      </w:r>
      <w:r>
        <w:rPr>
          <w:rFonts w:ascii="Arial" w:cs="Arial" w:eastAsia="Arial" w:hAnsi="Arial"/>
          <w:sz w:val="18"/>
          <w:szCs w:val="18"/>
          <w:color w:val="auto"/>
        </w:rPr>
        <w:t xml:space="preserve"> 32.5%</w:t>
      </w:r>
      <w:r>
        <w:rPr>
          <w:rFonts w:ascii="Arial" w:cs="Arial" w:eastAsia="Arial" w:hAnsi="Arial"/>
          <w:sz w:val="18"/>
          <w:szCs w:val="18"/>
          <w:color w:val="222222"/>
        </w:rPr>
        <w:t>, compared with gross margins of</w:t>
      </w:r>
      <w:r>
        <w:rPr>
          <w:rFonts w:ascii="Arial" w:cs="Arial" w:eastAsia="Arial" w:hAnsi="Arial"/>
          <w:sz w:val="18"/>
          <w:szCs w:val="18"/>
          <w:color w:val="auto"/>
        </w:rPr>
        <w:t xml:space="preserve"> 31.3% </w:t>
      </w:r>
      <w:r>
        <w:rPr>
          <w:rFonts w:ascii="Arial" w:cs="Arial" w:eastAsia="Arial" w:hAnsi="Arial"/>
          <w:sz w:val="18"/>
          <w:szCs w:val="18"/>
          <w:color w:val="222222"/>
        </w:rPr>
        <w:t>for the same period in 2013. The higher margins were the result of higher volumes and</w:t>
      </w:r>
      <w:r>
        <w:rPr>
          <w:rFonts w:ascii="Arial" w:cs="Arial" w:eastAsia="Arial" w:hAnsi="Arial"/>
          <w:sz w:val="18"/>
          <w:szCs w:val="18"/>
          <w:color w:val="auto"/>
        </w:rPr>
        <w:t xml:space="preserve"> </w:t>
      </w:r>
      <w:r>
        <w:rPr>
          <w:rFonts w:ascii="Arial" w:cs="Arial" w:eastAsia="Arial" w:hAnsi="Arial"/>
          <w:sz w:val="18"/>
          <w:szCs w:val="18"/>
          <w:color w:val="222222"/>
        </w:rPr>
        <w:t>more favorable mix of products in the Gas and Water segments.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tax benefit for the first three months of 2014 was higher than the federal statutory benefit of 35% due to discrete tax benefits recognized. Our tax benefit for the first three months of 2013 reflects the favorable discrete tax benefit for the retroactive extension of the 2012 research and experimentation credit in the amount of $4.0 million. The American Taxpayer Relief Act of 2012 was signed into law on January 2, 2013 and extended several business tax provisions including the research and experimentation credit. Our annual estimated effective tax rate for 2013 was favorably impacted by a higher percentage of projected earnings in foreign jurisdictions with tax rates below 35%, the benefit of certain interest expense deductions, and an election under U.S. Internal Revenue Code Section 338 with respect to a foreign acquisition in 2007.</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Bookings during the first quarter of 2014 include a $279 million booking for a significant project in our Electricity operating segment. </w:t>
      </w:r>
      <w:r>
        <w:rPr>
          <w:rFonts w:ascii="Arial" w:cs="Arial" w:eastAsia="Arial" w:hAnsi="Arial"/>
          <w:sz w:val="18"/>
          <w:szCs w:val="18"/>
          <w:color w:val="222222"/>
        </w:rPr>
        <w:t>Total backlog was $1.3</w:t>
      </w:r>
      <w:r>
        <w:rPr>
          <w:rFonts w:ascii="Arial" w:cs="Arial" w:eastAsia="Arial" w:hAnsi="Arial"/>
          <w:sz w:val="18"/>
          <w:szCs w:val="18"/>
          <w:color w:val="auto"/>
        </w:rPr>
        <w:t xml:space="preserve"> </w:t>
      </w:r>
      <w:r>
        <w:rPr>
          <w:rFonts w:ascii="Arial" w:cs="Arial" w:eastAsia="Arial" w:hAnsi="Arial"/>
          <w:sz w:val="18"/>
          <w:szCs w:val="18"/>
          <w:color w:val="222222"/>
        </w:rPr>
        <w:t xml:space="preserve">billion and twelve-month backlog was $614 million at </w:t>
      </w:r>
      <w:r>
        <w:rPr>
          <w:rFonts w:ascii="Arial" w:cs="Arial" w:eastAsia="Arial" w:hAnsi="Arial"/>
          <w:sz w:val="18"/>
          <w:szCs w:val="18"/>
          <w:color w:val="000000"/>
        </w:rPr>
        <w:t>March 31, 2014</w:t>
      </w:r>
      <w:r>
        <w:rPr>
          <w:rFonts w:ascii="Arial" w:cs="Arial" w:eastAsia="Arial" w:hAnsi="Arial"/>
          <w:sz w:val="18"/>
          <w:szCs w:val="18"/>
          <w:color w:val="222222"/>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7, 2014, Itron's Board of Directors authorized a new repurchase program of up to $50 million in shares of our common stock over a 12-month period; this program took effect following the expiration of the previous stock repurchase program on March 7, 2014. Repurchases are made in the open market or in privately negotiated transactions and in accordance with applicable securities laws. Refer to Part II, Item 2: "Unregistered Sales of Equity Securities and Use of Proceeds" for additional information related to our share repurchase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8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Three Months Ended March 31,</w:t>
            </w:r>
          </w:p>
        </w:tc>
        <w:tc>
          <w:tcPr>
            <w:tcW w:w="228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1"/>
        </w:trPr>
        <w:tc>
          <w:tcPr>
            <w:tcW w:w="430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rPr>
              <w:t>2014</w:t>
            </w:r>
          </w:p>
        </w:tc>
        <w:tc>
          <w:tcPr>
            <w:tcW w:w="8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ind w:left="7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43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7"/>
        </w:trPr>
        <w:tc>
          <w:tcPr>
            <w:tcW w:w="4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8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474,795</w:t>
            </w:r>
          </w:p>
        </w:tc>
        <w:tc>
          <w:tcPr>
            <w:tcW w:w="1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447,536</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6%</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48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154,535</w:t>
            </w:r>
          </w:p>
        </w:tc>
        <w:tc>
          <w:tcPr>
            <w:tcW w:w="1520" w:type="dxa"/>
            <w:vAlign w:val="bottom"/>
          </w:tcPr>
          <w:p>
            <w:pPr>
              <w:ind w:lef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140,123</w:t>
            </w:r>
          </w:p>
        </w:tc>
        <w:tc>
          <w:tcPr>
            <w:tcW w:w="120" w:type="dxa"/>
            <w:vAlign w:val="bottom"/>
          </w:tcPr>
          <w:p>
            <w:pPr>
              <w:spacing w:after="0"/>
              <w:rPr>
                <w:sz w:val="20"/>
                <w:szCs w:val="20"/>
                <w:color w:val="auto"/>
              </w:rPr>
            </w:pPr>
          </w:p>
        </w:tc>
        <w:tc>
          <w:tcPr>
            <w:tcW w:w="2280" w:type="dxa"/>
            <w:vAlign w:val="bottom"/>
          </w:tcPr>
          <w:p>
            <w:pPr>
              <w:jc w:val="right"/>
              <w:ind w:right="919"/>
              <w:spacing w:after="0"/>
              <w:rPr>
                <w:sz w:val="20"/>
                <w:szCs w:val="20"/>
                <w:color w:val="auto"/>
              </w:rPr>
            </w:pPr>
            <w:r>
              <w:rPr>
                <w:rFonts w:ascii="Arial" w:cs="Arial" w:eastAsia="Arial" w:hAnsi="Arial"/>
                <w:sz w:val="16"/>
                <w:szCs w:val="16"/>
                <w:color w:val="auto"/>
              </w:rPr>
              <w:t>10%</w:t>
            </w:r>
          </w:p>
        </w:tc>
      </w:tr>
      <w:tr>
        <w:trPr>
          <w:trHeight w:val="33"/>
        </w:trPr>
        <w:tc>
          <w:tcPr>
            <w:tcW w:w="4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4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5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33"/>
        </w:trPr>
        <w:tc>
          <w:tcPr>
            <w:tcW w:w="4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2013</w:t>
            </w:r>
          </w:p>
        </w:tc>
        <w:tc>
          <w:tcPr>
            <w:tcW w:w="8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Revenues by Region</w:t>
            </w:r>
          </w:p>
        </w:tc>
        <w:tc>
          <w:tcPr>
            <w:tcW w:w="1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 and Canada (North America)</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200,370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177,206</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Europe, Middle East, and Africa (EMEA)</w:t>
            </w:r>
          </w:p>
        </w:tc>
        <w:tc>
          <w:tcPr>
            <w:tcW w:w="15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223,504</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211,895</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50,921</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58,435</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500" w:type="dxa"/>
            <w:vAlign w:val="bottom"/>
            <w:tcBorders>
              <w:top w:val="single" w:sz="8" w:color="auto"/>
            </w:tcBorders>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474,795</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12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447,536</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addition, advanced and smart meter communication modules can be sold separately from the meter.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33"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37465</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gridSpan w:val="2"/>
          </w:tcPr>
          <w:p>
            <w:pPr>
              <w:ind w:left="7740"/>
              <w:spacing w:after="0"/>
              <w:rPr>
                <w:sz w:val="20"/>
                <w:szCs w:val="20"/>
                <w:color w:val="auto"/>
              </w:rPr>
            </w:pPr>
            <w:r>
              <w:rPr>
                <w:rFonts w:ascii="Arial" w:cs="Arial" w:eastAsia="Arial" w:hAnsi="Arial"/>
                <w:sz w:val="16"/>
                <w:szCs w:val="16"/>
                <w:b w:val="1"/>
                <w:bCs w:val="1"/>
                <w:color w:val="auto"/>
              </w:rPr>
              <w:t>2014</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jc w:val="right"/>
              <w:ind w:right="899"/>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gridSpan w:val="3"/>
          </w:tcPr>
          <w:p>
            <w:pPr>
              <w:ind w:left="180"/>
              <w:spacing w:after="0"/>
              <w:rPr>
                <w:sz w:val="20"/>
                <w:szCs w:val="20"/>
                <w:color w:val="auto"/>
              </w:rPr>
            </w:pPr>
            <w:r>
              <w:rPr>
                <w:rFonts w:ascii="Arial" w:cs="Arial" w:eastAsia="Arial" w:hAnsi="Arial"/>
                <w:sz w:val="16"/>
                <w:szCs w:val="16"/>
                <w:b w:val="1"/>
                <w:bCs w:val="1"/>
                <w:color w:val="auto"/>
                <w:w w:val="99"/>
              </w:rPr>
              <w:t>(units in thousands)</w:t>
            </w:r>
          </w:p>
        </w:tc>
        <w:tc>
          <w:tcPr>
            <w:tcW w:w="1460" w:type="dxa"/>
            <w:vAlign w:val="bottom"/>
          </w:tcPr>
          <w:p>
            <w:pPr>
              <w:spacing w:after="0"/>
              <w:rPr>
                <w:sz w:val="18"/>
                <w:szCs w:val="18"/>
                <w:color w:val="auto"/>
              </w:rPr>
            </w:pPr>
          </w:p>
        </w:tc>
      </w:tr>
      <w:tr>
        <w:trPr>
          <w:trHeight w:val="27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4,440</w:t>
            </w:r>
          </w:p>
        </w:tc>
      </w:tr>
      <w:tr>
        <w:trPr>
          <w:trHeight w:val="237"/>
        </w:trPr>
        <w:tc>
          <w:tcPr>
            <w:tcW w:w="8240" w:type="dxa"/>
            <w:vAlign w:val="bottom"/>
            <w:gridSpan w:val="2"/>
          </w:tcPr>
          <w:p>
            <w:pPr>
              <w:ind w:left="380"/>
              <w:spacing w:after="0"/>
              <w:rPr>
                <w:sz w:val="20"/>
                <w:szCs w:val="20"/>
                <w:color w:val="auto"/>
              </w:rPr>
            </w:pPr>
            <w:r>
              <w:rPr>
                <w:rFonts w:ascii="Arial" w:cs="Arial" w:eastAsia="Arial" w:hAnsi="Arial"/>
                <w:sz w:val="16"/>
                <w:szCs w:val="16"/>
                <w:color w:val="auto"/>
              </w:rPr>
              <w:t>Advanced and smart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1,630</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6,370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50"/>
        </w:trPr>
        <w:tc>
          <w:tcPr>
            <w:tcW w:w="8240" w:type="dxa"/>
            <w:vAlign w:val="bottom"/>
            <w:gridSpan w:val="2"/>
          </w:tcPr>
          <w:p>
            <w:pPr>
              <w:ind w:left="720"/>
              <w:spacing w:after="0"/>
              <w:rPr>
                <w:sz w:val="20"/>
                <w:szCs w:val="20"/>
                <w:color w:val="auto"/>
              </w:rPr>
            </w:pPr>
            <w:r>
              <w:rPr>
                <w:rFonts w:ascii="Arial" w:cs="Arial" w:eastAsia="Arial" w:hAnsi="Arial"/>
                <w:sz w:val="16"/>
                <w:szCs w:val="16"/>
                <w:color w:val="auto"/>
              </w:rPr>
              <w:t>Advanced and smart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1,350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1,340</w:t>
            </w:r>
          </w:p>
        </w:tc>
      </w:tr>
      <w:tr>
        <w:trPr>
          <w:trHeight w:val="20"/>
        </w:trPr>
        <w:tc>
          <w:tcPr>
            <w:tcW w:w="67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 xml:space="preserve">Revenues increased </w:t>
      </w:r>
      <w:r>
        <w:rPr>
          <w:rFonts w:ascii="Arial" w:cs="Arial" w:eastAsia="Arial" w:hAnsi="Arial"/>
          <w:sz w:val="18"/>
          <w:szCs w:val="18"/>
          <w:color w:val="000000"/>
        </w:rPr>
        <w:t>$27.3 million</w:t>
      </w:r>
      <w:r>
        <w:rPr>
          <w:rFonts w:ascii="Arial" w:cs="Arial" w:eastAsia="Arial" w:hAnsi="Arial"/>
          <w:sz w:val="18"/>
          <w:szCs w:val="18"/>
          <w:color w:val="222222"/>
        </w:rPr>
        <w:t xml:space="preserve"> or 6%, for the </w:t>
      </w:r>
      <w:r>
        <w:rPr>
          <w:rFonts w:ascii="Arial" w:cs="Arial" w:eastAsia="Arial" w:hAnsi="Arial"/>
          <w:sz w:val="18"/>
          <w:szCs w:val="18"/>
          <w:color w:val="000000"/>
        </w:rPr>
        <w:t>three</w:t>
      </w:r>
      <w:r>
        <w:rPr>
          <w:rFonts w:ascii="Arial" w:cs="Arial" w:eastAsia="Arial" w:hAnsi="Arial"/>
          <w:sz w:val="18"/>
          <w:szCs w:val="18"/>
          <w:color w:val="222222"/>
        </w:rPr>
        <w:t xml:space="preserve"> months ended </w:t>
      </w:r>
      <w:r>
        <w:rPr>
          <w:rFonts w:ascii="Arial" w:cs="Arial" w:eastAsia="Arial" w:hAnsi="Arial"/>
          <w:sz w:val="18"/>
          <w:szCs w:val="18"/>
          <w:color w:val="000000"/>
        </w:rPr>
        <w:t>March 31, 2014</w:t>
      </w:r>
      <w:r>
        <w:rPr>
          <w:rFonts w:ascii="Arial" w:cs="Arial" w:eastAsia="Arial" w:hAnsi="Arial"/>
          <w:sz w:val="18"/>
          <w:szCs w:val="18"/>
          <w:color w:val="222222"/>
        </w:rPr>
        <w:t xml:space="preserve">, compared with the same period in 2013. This increase was driven by higher revenues in all segments, with the largest increase, both in dollars and percentage points, occurring in the Water segment. A more detailed analysis of these fluctuations is provided in </w:t>
      </w:r>
      <w:r>
        <w:rPr>
          <w:rFonts w:ascii="Arial" w:cs="Arial" w:eastAsia="Arial" w:hAnsi="Arial"/>
          <w:sz w:val="18"/>
          <w:szCs w:val="18"/>
          <w:i w:val="1"/>
          <w:iCs w:val="1"/>
          <w:color w:val="222222"/>
        </w:rPr>
        <w:t>Operating Segment Results</w:t>
      </w:r>
      <w:r>
        <w:rPr>
          <w:rFonts w:ascii="Arial" w:cs="Arial" w:eastAsia="Arial" w:hAnsi="Arial"/>
          <w:sz w:val="18"/>
          <w:szCs w:val="18"/>
          <w:color w:val="222222"/>
        </w:rPr>
        <w:t>.</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No single customer accounted for more than 10% of total Company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w:t>
      </w:r>
      <w:r>
        <w:rPr>
          <w:rFonts w:ascii="Arial" w:cs="Arial" w:eastAsia="Arial" w:hAnsi="Arial"/>
          <w:sz w:val="18"/>
          <w:szCs w:val="18"/>
          <w:color w:val="222222"/>
        </w:rPr>
        <w:t>months ended</w:t>
      </w:r>
      <w:r>
        <w:rPr>
          <w:rFonts w:ascii="Arial" w:cs="Arial" w:eastAsia="Arial" w:hAnsi="Arial"/>
          <w:sz w:val="18"/>
          <w:szCs w:val="18"/>
          <w:color w:val="auto"/>
        </w:rPr>
        <w:t xml:space="preserve"> March 31, 2014 and March 31, 2013. Our 10 largest customers accounted for 20% of total revenues during </w:t>
      </w:r>
      <w:r>
        <w:rPr>
          <w:rFonts w:ascii="Arial" w:cs="Arial" w:eastAsia="Arial" w:hAnsi="Arial"/>
          <w:sz w:val="18"/>
          <w:szCs w:val="18"/>
          <w:color w:val="222222"/>
        </w:rPr>
        <w:t>the first quarters ended</w:t>
      </w:r>
      <w:r>
        <w:rPr>
          <w:rFonts w:ascii="Arial" w:cs="Arial" w:eastAsia="Arial" w:hAnsi="Arial"/>
          <w:sz w:val="18"/>
          <w:szCs w:val="18"/>
          <w:color w:val="auto"/>
        </w:rPr>
        <w:t xml:space="preserve"> March 31, 2014 and 2013,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22222"/>
        </w:rPr>
        <w:t xml:space="preserve">Gross margin for the </w:t>
      </w:r>
      <w:r>
        <w:rPr>
          <w:rFonts w:ascii="Arial" w:cs="Arial" w:eastAsia="Arial" w:hAnsi="Arial"/>
          <w:sz w:val="18"/>
          <w:szCs w:val="18"/>
          <w:color w:val="000000"/>
        </w:rPr>
        <w:t>first</w:t>
      </w:r>
      <w:r>
        <w:rPr>
          <w:rFonts w:ascii="Arial" w:cs="Arial" w:eastAsia="Arial" w:hAnsi="Arial"/>
          <w:sz w:val="18"/>
          <w:szCs w:val="18"/>
          <w:color w:val="222222"/>
        </w:rPr>
        <w:t xml:space="preserve"> quarter of 2014 was 32.5%, compared with 31.3% for the same period in 2013. </w:t>
      </w:r>
      <w:r>
        <w:rPr>
          <w:rFonts w:ascii="Arial" w:cs="Arial" w:eastAsia="Arial" w:hAnsi="Arial"/>
          <w:sz w:val="18"/>
          <w:szCs w:val="18"/>
          <w:color w:val="000000"/>
        </w:rPr>
        <w:t>Margins increased in the Gas and Water segments</w:t>
      </w:r>
      <w:r>
        <w:rPr>
          <w:rFonts w:ascii="Arial" w:cs="Arial" w:eastAsia="Arial" w:hAnsi="Arial"/>
          <w:sz w:val="18"/>
          <w:szCs w:val="18"/>
          <w:color w:val="222222"/>
        </w:rPr>
        <w:t xml:space="preserve"> </w:t>
      </w:r>
      <w:r>
        <w:rPr>
          <w:rFonts w:ascii="Arial" w:cs="Arial" w:eastAsia="Arial" w:hAnsi="Arial"/>
          <w:sz w:val="18"/>
          <w:szCs w:val="18"/>
          <w:color w:val="000000"/>
        </w:rPr>
        <w:t xml:space="preserve">but declined in the Electricity segment. </w:t>
      </w:r>
      <w:r>
        <w:rPr>
          <w:rFonts w:ascii="Arial" w:cs="Arial" w:eastAsia="Arial" w:hAnsi="Arial"/>
          <w:sz w:val="18"/>
          <w:szCs w:val="18"/>
          <w:color w:val="222222"/>
        </w:rPr>
        <w:t>The higher margins in the Gas and Water segments were primarily the result of</w:t>
      </w:r>
      <w:r>
        <w:rPr>
          <w:rFonts w:ascii="Arial" w:cs="Arial" w:eastAsia="Arial" w:hAnsi="Arial"/>
          <w:sz w:val="18"/>
          <w:szCs w:val="18"/>
          <w:color w:val="000000"/>
        </w:rPr>
        <w:t xml:space="preserve"> more favorable product mix, which is due to higher volumes of products with higher margins as a proportion of total sales, and improved absorption as a result of increased volumes. </w:t>
      </w:r>
      <w:r>
        <w:rPr>
          <w:rFonts w:ascii="Arial" w:cs="Arial" w:eastAsia="Arial" w:hAnsi="Arial"/>
          <w:sz w:val="18"/>
          <w:szCs w:val="18"/>
          <w:color w:val="222222"/>
        </w:rPr>
        <w:t>T</w:t>
      </w:r>
      <w:r>
        <w:rPr>
          <w:rFonts w:ascii="Arial" w:cs="Arial" w:eastAsia="Arial" w:hAnsi="Arial"/>
          <w:sz w:val="18"/>
          <w:szCs w:val="18"/>
          <w:color w:val="000000"/>
        </w:rPr>
        <w:t xml:space="preserve">he Electricity segment gross margin declined because of lower volumes; less favorable product mix, which is due to higher volumes of products with lower margins as a proportion of total sales; and increased warranty expense. </w:t>
      </w:r>
      <w:r>
        <w:rPr>
          <w:rFonts w:ascii="Arial" w:cs="Arial" w:eastAsia="Arial" w:hAnsi="Arial"/>
          <w:sz w:val="18"/>
          <w:szCs w:val="18"/>
          <w:color w:val="222222"/>
        </w:rPr>
        <w:t>A more detailed analysis of these fluctuations is provided in</w:t>
      </w:r>
      <w:r>
        <w:rPr>
          <w:rFonts w:ascii="Arial" w:cs="Arial" w:eastAsia="Arial" w:hAnsi="Arial"/>
          <w:sz w:val="18"/>
          <w:szCs w:val="18"/>
          <w:color w:val="000000"/>
        </w:rPr>
        <w:t xml:space="preserve"> </w:t>
      </w:r>
      <w:r>
        <w:rPr>
          <w:rFonts w:ascii="Arial" w:cs="Arial" w:eastAsia="Arial" w:hAnsi="Arial"/>
          <w:sz w:val="18"/>
          <w:szCs w:val="18"/>
          <w:i w:val="1"/>
          <w:iCs w:val="1"/>
          <w:color w:val="222222"/>
        </w:rPr>
        <w:t>Operating Segment</w:t>
      </w:r>
      <w:r>
        <w:rPr>
          <w:rFonts w:ascii="Arial" w:cs="Arial" w:eastAsia="Arial" w:hAnsi="Arial"/>
          <w:sz w:val="18"/>
          <w:szCs w:val="18"/>
          <w:color w:val="000000"/>
        </w:rPr>
        <w:t xml:space="preserve"> </w:t>
      </w:r>
      <w:r>
        <w:rPr>
          <w:rFonts w:ascii="Arial" w:cs="Arial" w:eastAsia="Arial" w:hAnsi="Arial"/>
          <w:sz w:val="18"/>
          <w:szCs w:val="18"/>
          <w:i w:val="1"/>
          <w:iCs w:val="1"/>
          <w:color w:val="222222"/>
        </w:rPr>
        <w:t>Results</w:t>
      </w:r>
      <w:r>
        <w:rPr>
          <w:rFonts w:ascii="Arial" w:cs="Arial" w:eastAsia="Arial" w:hAnsi="Arial"/>
          <w:sz w:val="18"/>
          <w:szCs w:val="18"/>
          <w:color w:val="222222"/>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15: Segment Information”.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9"/>
              </w:rPr>
              <w:t>Three Months Ended March 31,</w:t>
            </w: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2"/>
              </w:rPr>
              <w:t>2014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17"/>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92"/>
              </w:rPr>
              <w:t>% Change</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24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Segment Revenues</w:t>
            </w:r>
          </w:p>
        </w:tc>
        <w:tc>
          <w:tcPr>
            <w:tcW w:w="280" w:type="dxa"/>
            <w:vAlign w:val="bottom"/>
          </w:tcPr>
          <w:p>
            <w:pPr>
              <w:spacing w:after="0"/>
              <w:rPr>
                <w:sz w:val="21"/>
                <w:szCs w:val="21"/>
                <w:color w:val="auto"/>
              </w:rPr>
            </w:pPr>
          </w:p>
        </w:tc>
        <w:tc>
          <w:tcPr>
            <w:tcW w:w="204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(in thousands)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180,218</w:t>
            </w: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175,763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jc w:val="center"/>
              <w:ind w:right="157"/>
              <w:spacing w:after="0"/>
              <w:rPr>
                <w:sz w:val="20"/>
                <w:szCs w:val="20"/>
                <w:color w:val="auto"/>
              </w:rPr>
            </w:pPr>
            <w:r>
              <w:rPr>
                <w:rFonts w:ascii="Arial" w:cs="Arial" w:eastAsia="Arial" w:hAnsi="Arial"/>
                <w:sz w:val="13"/>
                <w:szCs w:val="13"/>
                <w:color w:val="auto"/>
                <w:w w:val="95"/>
              </w:rPr>
              <w:t>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40" w:type="dxa"/>
            <w:vAlign w:val="bottom"/>
          </w:tcPr>
          <w:p>
            <w:pPr>
              <w:ind w:left="380"/>
              <w:spacing w:after="0"/>
              <w:rPr>
                <w:sz w:val="20"/>
                <w:szCs w:val="20"/>
                <w:color w:val="auto"/>
              </w:rPr>
            </w:pPr>
            <w:r>
              <w:rPr>
                <w:rFonts w:ascii="Arial" w:cs="Arial" w:eastAsia="Arial" w:hAnsi="Arial"/>
                <w:sz w:val="13"/>
                <w:szCs w:val="13"/>
                <w:color w:val="auto"/>
              </w:rPr>
              <w:t>Gas</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146,109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136,915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center"/>
              <w:ind w:right="157"/>
              <w:spacing w:after="0"/>
              <w:rPr>
                <w:sz w:val="20"/>
                <w:szCs w:val="20"/>
                <w:color w:val="auto"/>
              </w:rPr>
            </w:pPr>
            <w:r>
              <w:rPr>
                <w:rFonts w:ascii="Arial" w:cs="Arial" w:eastAsia="Arial" w:hAnsi="Arial"/>
                <w:sz w:val="13"/>
                <w:szCs w:val="13"/>
                <w:color w:val="auto"/>
                <w:w w:val="95"/>
              </w:rPr>
              <w:t>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148,468</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134,858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right="157"/>
              <w:spacing w:after="0"/>
              <w:rPr>
                <w:sz w:val="20"/>
                <w:szCs w:val="20"/>
                <w:color w:val="auto"/>
              </w:rPr>
            </w:pPr>
            <w:r>
              <w:rPr>
                <w:rFonts w:ascii="Arial" w:cs="Arial" w:eastAsia="Arial" w:hAnsi="Arial"/>
                <w:sz w:val="13"/>
                <w:szCs w:val="13"/>
                <w:color w:val="auto"/>
                <w:w w:val="84"/>
              </w:rPr>
              <w:t>10%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240" w:type="dxa"/>
            <w:vAlign w:val="bottom"/>
          </w:tcPr>
          <w:p>
            <w:pPr>
              <w:ind w:left="880"/>
              <w:spacing w:after="0"/>
              <w:rPr>
                <w:sz w:val="20"/>
                <w:szCs w:val="20"/>
                <w:color w:val="auto"/>
              </w:rPr>
            </w:pPr>
            <w:r>
              <w:rPr>
                <w:rFonts w:ascii="Arial" w:cs="Arial" w:eastAsia="Arial" w:hAnsi="Arial"/>
                <w:sz w:val="13"/>
                <w:szCs w:val="13"/>
                <w:color w:val="auto"/>
              </w:rPr>
              <w:t>Total revenues</w:t>
            </w: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474,795</w:t>
            </w:r>
          </w:p>
        </w:tc>
        <w:tc>
          <w:tcPr>
            <w:tcW w:w="6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447,536</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color w:val="auto"/>
                <w:w w:val="95"/>
              </w:rPr>
              <w:t>6%</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3"/>
                <w:szCs w:val="13"/>
                <w:b w:val="1"/>
                <w:bCs w:val="1"/>
                <w:color w:val="auto"/>
              </w:rPr>
              <w:t>Three Months Ended March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3"/>
                <w:szCs w:val="13"/>
                <w:b w:val="1"/>
                <w:bCs w:val="1"/>
                <w:color w:val="auto"/>
                <w:w w:val="82"/>
              </w:rPr>
              <w:t>2014</w:t>
            </w:r>
          </w:p>
        </w:tc>
        <w:tc>
          <w:tcPr>
            <w:tcW w:w="1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1537"/>
              <w:spacing w:after="0"/>
              <w:rPr>
                <w:sz w:val="20"/>
                <w:szCs w:val="20"/>
                <w:color w:val="auto"/>
              </w:rPr>
            </w:pPr>
            <w:r>
              <w:rPr>
                <w:rFonts w:ascii="Arial" w:cs="Arial" w:eastAsia="Arial" w:hAnsi="Arial"/>
                <w:sz w:val="13"/>
                <w:szCs w:val="13"/>
                <w:b w:val="1"/>
                <w:bCs w:val="1"/>
                <w:color w:val="auto"/>
                <w:w w:val="82"/>
              </w:rPr>
              <w:t>2013</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157"/>
              <w:spacing w:after="0" w:line="148" w:lineRule="exact"/>
              <w:rPr>
                <w:sz w:val="20"/>
                <w:szCs w:val="20"/>
                <w:color w:val="auto"/>
              </w:rPr>
            </w:pPr>
            <w:r>
              <w:rPr>
                <w:rFonts w:ascii="Arial" w:cs="Arial" w:eastAsia="Arial" w:hAnsi="Arial"/>
                <w:sz w:val="13"/>
                <w:szCs w:val="13"/>
                <w:b w:val="1"/>
                <w:bCs w:val="1"/>
                <w:i w:val="1"/>
                <w:iCs w:val="1"/>
                <w:color w:val="auto"/>
                <w:w w:val="85"/>
              </w:rPr>
              <w:t>Gross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2"/>
          </w:tcPr>
          <w:p>
            <w:pPr>
              <w:jc w:val="center"/>
              <w:ind w:right="580"/>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280" w:type="dxa"/>
            <w:vAlign w:val="bottom"/>
          </w:tcPr>
          <w:p>
            <w:pPr>
              <w:spacing w:after="0"/>
              <w:rPr>
                <w:sz w:val="12"/>
                <w:szCs w:val="12"/>
                <w:color w:val="auto"/>
              </w:rPr>
            </w:pPr>
          </w:p>
        </w:tc>
        <w:tc>
          <w:tcPr>
            <w:tcW w:w="1360" w:type="dxa"/>
            <w:vAlign w:val="bottom"/>
          </w:tcPr>
          <w:p>
            <w:pPr>
              <w:jc w:val="center"/>
              <w:ind w:right="157"/>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79"/>
              </w:rPr>
              <w:t>Gross</w:t>
            </w: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157"/>
              <w:spacing w:after="0"/>
              <w:rPr>
                <w:sz w:val="20"/>
                <w:szCs w:val="20"/>
                <w:color w:val="auto"/>
              </w:rPr>
            </w:pPr>
            <w:r>
              <w:rPr>
                <w:rFonts w:ascii="Arial" w:cs="Arial" w:eastAsia="Arial" w:hAnsi="Arial"/>
                <w:sz w:val="13"/>
                <w:szCs w:val="13"/>
                <w:b w:val="1"/>
                <w:bCs w:val="1"/>
                <w:i w:val="1"/>
                <w:iCs w:val="1"/>
                <w:color w:val="auto"/>
                <w:w w:val="94"/>
              </w:rPr>
              <w:t>Profit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3"/>
                <w:szCs w:val="13"/>
                <w:b w:val="1"/>
                <w:bCs w:val="1"/>
                <w:i w:val="1"/>
                <w:iCs w:val="1"/>
                <w:color w:val="auto"/>
                <w:w w:val="89"/>
              </w:rPr>
              <w:t>Margin</w:t>
            </w:r>
          </w:p>
        </w:tc>
        <w:tc>
          <w:tcPr>
            <w:tcW w:w="280" w:type="dxa"/>
            <w:vAlign w:val="bottom"/>
          </w:tcPr>
          <w:p>
            <w:pPr>
              <w:spacing w:after="0"/>
              <w:rPr>
                <w:sz w:val="14"/>
                <w:szCs w:val="14"/>
                <w:color w:val="auto"/>
              </w:rPr>
            </w:pPr>
          </w:p>
        </w:tc>
        <w:tc>
          <w:tcPr>
            <w:tcW w:w="1360" w:type="dxa"/>
            <w:vAlign w:val="bottom"/>
          </w:tcPr>
          <w:p>
            <w:pPr>
              <w:jc w:val="center"/>
              <w:ind w:right="157"/>
              <w:spacing w:after="0"/>
              <w:rPr>
                <w:sz w:val="20"/>
                <w:szCs w:val="20"/>
                <w:color w:val="auto"/>
              </w:rPr>
            </w:pPr>
            <w:r>
              <w:rPr>
                <w:rFonts w:ascii="Arial" w:cs="Arial" w:eastAsia="Arial" w:hAnsi="Arial"/>
                <w:sz w:val="13"/>
                <w:szCs w:val="13"/>
                <w:b w:val="1"/>
                <w:bCs w:val="1"/>
                <w:i w:val="1"/>
                <w:iCs w:val="1"/>
                <w:color w:val="auto"/>
                <w:w w:val="88"/>
              </w:rPr>
              <w:t>Profit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0" w:type="dxa"/>
            <w:vAlign w:val="bottom"/>
          </w:tcPr>
          <w:p>
            <w:pPr>
              <w:spacing w:after="0"/>
              <w:rPr>
                <w:sz w:val="1"/>
                <w:szCs w:val="1"/>
                <w:color w:val="auto"/>
              </w:rPr>
            </w:pPr>
          </w:p>
        </w:tc>
      </w:tr>
      <w:tr>
        <w:trPr>
          <w:trHeight w:val="200"/>
        </w:trPr>
        <w:tc>
          <w:tcPr>
            <w:tcW w:w="424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Segment Gross Profit and Margin</w:t>
            </w: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4"/>
              </w:rPr>
              <w:t>(in thousands)</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4"/>
              </w:rPr>
              <w:t>(in thousands)</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42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42,740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right="417"/>
              <w:spacing w:after="0"/>
              <w:rPr>
                <w:sz w:val="20"/>
                <w:szCs w:val="20"/>
                <w:color w:val="auto"/>
              </w:rPr>
            </w:pPr>
            <w:r>
              <w:rPr>
                <w:rFonts w:ascii="Arial" w:cs="Arial" w:eastAsia="Arial" w:hAnsi="Arial"/>
                <w:sz w:val="13"/>
                <w:szCs w:val="13"/>
                <w:color w:val="auto"/>
                <w:w w:val="92"/>
              </w:rPr>
              <w:t>23.7%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44,912</w:t>
            </w:r>
          </w:p>
        </w:tc>
        <w:tc>
          <w:tcPr>
            <w:tcW w:w="1860" w:type="dxa"/>
            <w:vAlign w:val="bottom"/>
            <w:gridSpan w:val="3"/>
            <w:shd w:val="clear" w:color="auto" w:fill="CCEEFF"/>
          </w:tcPr>
          <w:p>
            <w:pPr>
              <w:jc w:val="center"/>
              <w:ind w:left="97"/>
              <w:spacing w:after="0"/>
              <w:rPr>
                <w:sz w:val="20"/>
                <w:szCs w:val="20"/>
                <w:color w:val="auto"/>
              </w:rPr>
            </w:pPr>
            <w:r>
              <w:rPr>
                <w:rFonts w:ascii="Arial" w:cs="Arial" w:eastAsia="Arial" w:hAnsi="Arial"/>
                <w:sz w:val="13"/>
                <w:szCs w:val="13"/>
                <w:color w:val="auto"/>
                <w:w w:val="92"/>
              </w:rPr>
              <w:t>25.6%</w:t>
            </w:r>
          </w:p>
        </w:tc>
        <w:tc>
          <w:tcPr>
            <w:tcW w:w="0" w:type="dxa"/>
            <w:vAlign w:val="bottom"/>
          </w:tcPr>
          <w:p>
            <w:pPr>
              <w:spacing w:after="0"/>
              <w:rPr>
                <w:sz w:val="1"/>
                <w:szCs w:val="1"/>
                <w:color w:val="auto"/>
              </w:rPr>
            </w:pPr>
          </w:p>
        </w:tc>
      </w:tr>
      <w:tr>
        <w:trPr>
          <w:trHeight w:val="262"/>
        </w:trPr>
        <w:tc>
          <w:tcPr>
            <w:tcW w:w="4240" w:type="dxa"/>
            <w:vAlign w:val="bottom"/>
          </w:tcPr>
          <w:p>
            <w:pPr>
              <w:ind w:left="380"/>
              <w:spacing w:after="0"/>
              <w:rPr>
                <w:sz w:val="20"/>
                <w:szCs w:val="20"/>
                <w:color w:val="auto"/>
              </w:rPr>
            </w:pPr>
            <w:r>
              <w:rPr>
                <w:rFonts w:ascii="Arial" w:cs="Arial" w:eastAsia="Arial" w:hAnsi="Arial"/>
                <w:sz w:val="13"/>
                <w:szCs w:val="13"/>
                <w:color w:val="auto"/>
              </w:rPr>
              <w:t>Gas</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58,406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jc w:val="center"/>
              <w:ind w:right="417"/>
              <w:spacing w:after="0"/>
              <w:rPr>
                <w:sz w:val="20"/>
                <w:szCs w:val="20"/>
                <w:color w:val="auto"/>
              </w:rPr>
            </w:pPr>
            <w:r>
              <w:rPr>
                <w:rFonts w:ascii="Arial" w:cs="Arial" w:eastAsia="Arial" w:hAnsi="Arial"/>
                <w:sz w:val="13"/>
                <w:szCs w:val="13"/>
                <w:color w:val="auto"/>
                <w:w w:val="92"/>
              </w:rPr>
              <w:t>40.0%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50,642</w:t>
            </w:r>
          </w:p>
        </w:tc>
        <w:tc>
          <w:tcPr>
            <w:tcW w:w="1860" w:type="dxa"/>
            <w:vAlign w:val="bottom"/>
            <w:gridSpan w:val="3"/>
          </w:tcPr>
          <w:p>
            <w:pPr>
              <w:jc w:val="center"/>
              <w:ind w:left="97"/>
              <w:spacing w:after="0"/>
              <w:rPr>
                <w:sz w:val="20"/>
                <w:szCs w:val="20"/>
                <w:color w:val="auto"/>
              </w:rPr>
            </w:pPr>
            <w:r>
              <w:rPr>
                <w:rFonts w:ascii="Arial" w:cs="Arial" w:eastAsia="Arial" w:hAnsi="Arial"/>
                <w:sz w:val="13"/>
                <w:szCs w:val="13"/>
                <w:color w:val="auto"/>
                <w:w w:val="92"/>
              </w:rPr>
              <w:t>37.0%</w:t>
            </w:r>
          </w:p>
        </w:tc>
        <w:tc>
          <w:tcPr>
            <w:tcW w:w="0" w:type="dxa"/>
            <w:vAlign w:val="bottom"/>
          </w:tcPr>
          <w:p>
            <w:pPr>
              <w:spacing w:after="0"/>
              <w:rPr>
                <w:sz w:val="1"/>
                <w:szCs w:val="1"/>
                <w:color w:val="auto"/>
              </w:rPr>
            </w:pPr>
          </w:p>
        </w:tc>
      </w:tr>
      <w:tr>
        <w:trPr>
          <w:trHeight w:val="272"/>
        </w:trPr>
        <w:tc>
          <w:tcPr>
            <w:tcW w:w="4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53,389</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60" w:type="dxa"/>
            <w:vAlign w:val="bottom"/>
            <w:shd w:val="clear" w:color="auto" w:fill="CCEEFF"/>
          </w:tcPr>
          <w:p>
            <w:pPr>
              <w:jc w:val="center"/>
              <w:ind w:right="417"/>
              <w:spacing w:after="0"/>
              <w:rPr>
                <w:sz w:val="20"/>
                <w:szCs w:val="20"/>
                <w:color w:val="auto"/>
              </w:rPr>
            </w:pPr>
            <w:r>
              <w:rPr>
                <w:rFonts w:ascii="Arial" w:cs="Arial" w:eastAsia="Arial" w:hAnsi="Arial"/>
                <w:sz w:val="13"/>
                <w:szCs w:val="13"/>
                <w:color w:val="auto"/>
                <w:w w:val="92"/>
              </w:rPr>
              <w:t>36.0%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44,569</w:t>
            </w:r>
          </w:p>
        </w:tc>
        <w:tc>
          <w:tcPr>
            <w:tcW w:w="60" w:type="dxa"/>
            <w:vAlign w:val="bottom"/>
            <w:tcBorders>
              <w:bottom w:val="single" w:sz="8" w:color="auto"/>
            </w:tcBorders>
            <w:shd w:val="clear" w:color="auto" w:fill="CCEEFF"/>
          </w:tcPr>
          <w:p>
            <w:pPr>
              <w:spacing w:after="0"/>
              <w:rPr>
                <w:sz w:val="23"/>
                <w:szCs w:val="23"/>
                <w:color w:val="auto"/>
              </w:rPr>
            </w:pPr>
          </w:p>
        </w:tc>
        <w:tc>
          <w:tcPr>
            <w:tcW w:w="180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92"/>
              </w:rPr>
              <w:t>33.0%</w:t>
            </w:r>
          </w:p>
        </w:tc>
        <w:tc>
          <w:tcPr>
            <w:tcW w:w="0" w:type="dxa"/>
            <w:vAlign w:val="bottom"/>
          </w:tcPr>
          <w:p>
            <w:pPr>
              <w:spacing w:after="0"/>
              <w:rPr>
                <w:sz w:val="1"/>
                <w:szCs w:val="1"/>
                <w:color w:val="auto"/>
              </w:rPr>
            </w:pPr>
          </w:p>
        </w:tc>
      </w:tr>
      <w:tr>
        <w:trPr>
          <w:trHeight w:val="242"/>
        </w:trPr>
        <w:tc>
          <w:tcPr>
            <w:tcW w:w="4240" w:type="dxa"/>
            <w:vAlign w:val="bottom"/>
          </w:tcPr>
          <w:p>
            <w:pPr>
              <w:ind w:left="880"/>
              <w:spacing w:after="0"/>
              <w:rPr>
                <w:sz w:val="20"/>
                <w:szCs w:val="20"/>
                <w:color w:val="auto"/>
              </w:rPr>
            </w:pPr>
            <w:r>
              <w:rPr>
                <w:rFonts w:ascii="Arial" w:cs="Arial" w:eastAsia="Arial" w:hAnsi="Arial"/>
                <w:sz w:val="13"/>
                <w:szCs w:val="13"/>
                <w:color w:val="auto"/>
              </w:rPr>
              <w:t>Total gross profit and margin</w:t>
            </w: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154,535</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417"/>
              <w:spacing w:after="0"/>
              <w:rPr>
                <w:sz w:val="20"/>
                <w:szCs w:val="20"/>
                <w:color w:val="auto"/>
              </w:rPr>
            </w:pPr>
            <w:r>
              <w:rPr>
                <w:rFonts w:ascii="Arial" w:cs="Arial" w:eastAsia="Arial" w:hAnsi="Arial"/>
                <w:sz w:val="13"/>
                <w:szCs w:val="13"/>
                <w:color w:val="auto"/>
                <w:w w:val="92"/>
              </w:rPr>
              <w:t>32.5%</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140,123</w:t>
            </w:r>
          </w:p>
        </w:tc>
        <w:tc>
          <w:tcPr>
            <w:tcW w:w="1860" w:type="dxa"/>
            <w:vAlign w:val="bottom"/>
            <w:tcBorders>
              <w:bottom w:val="single" w:sz="8" w:color="auto"/>
            </w:tcBorders>
            <w:gridSpan w:val="3"/>
          </w:tcPr>
          <w:p>
            <w:pPr>
              <w:jc w:val="center"/>
              <w:ind w:left="97"/>
              <w:spacing w:after="0"/>
              <w:rPr>
                <w:sz w:val="20"/>
                <w:szCs w:val="20"/>
                <w:color w:val="auto"/>
              </w:rPr>
            </w:pPr>
            <w:r>
              <w:rPr>
                <w:rFonts w:ascii="Arial" w:cs="Arial" w:eastAsia="Arial" w:hAnsi="Arial"/>
                <w:sz w:val="13"/>
                <w:szCs w:val="13"/>
                <w:color w:val="auto"/>
                <w:w w:val="92"/>
              </w:rPr>
              <w:t>31.3%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4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3"/>
                <w:szCs w:val="13"/>
                <w:b w:val="1"/>
                <w:bCs w:val="1"/>
                <w:color w:val="auto"/>
              </w:rPr>
              <w:t>Three Months Ended March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3"/>
                <w:szCs w:val="13"/>
                <w:b w:val="1"/>
                <w:bCs w:val="1"/>
                <w:color w:val="auto"/>
                <w:w w:val="82"/>
              </w:rPr>
              <w:t>2014</w:t>
            </w:r>
          </w:p>
        </w:tc>
        <w:tc>
          <w:tcPr>
            <w:tcW w:w="1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1537"/>
              <w:spacing w:after="0"/>
              <w:rPr>
                <w:sz w:val="20"/>
                <w:szCs w:val="20"/>
                <w:color w:val="auto"/>
              </w:rPr>
            </w:pPr>
            <w:r>
              <w:rPr>
                <w:rFonts w:ascii="Arial" w:cs="Arial" w:eastAsia="Arial" w:hAnsi="Arial"/>
                <w:sz w:val="13"/>
                <w:szCs w:val="13"/>
                <w:b w:val="1"/>
                <w:bCs w:val="1"/>
                <w:color w:val="auto"/>
                <w:w w:val="82"/>
              </w:rPr>
              <w:t>2013</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157"/>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2"/>
          </w:tcPr>
          <w:p>
            <w:pPr>
              <w:jc w:val="center"/>
              <w:ind w:right="580"/>
              <w:spacing w:after="0" w:line="148" w:lineRule="exact"/>
              <w:rPr>
                <w:sz w:val="20"/>
                <w:szCs w:val="20"/>
                <w:color w:val="auto"/>
              </w:rPr>
            </w:pPr>
            <w:r>
              <w:rPr>
                <w:rFonts w:ascii="Arial" w:cs="Arial" w:eastAsia="Arial" w:hAnsi="Arial"/>
                <w:sz w:val="13"/>
                <w:szCs w:val="13"/>
                <w:b w:val="1"/>
                <w:bCs w:val="1"/>
                <w:i w:val="1"/>
                <w:iCs w:val="1"/>
                <w:color w:val="auto"/>
                <w:w w:val="87"/>
              </w:rPr>
              <w:t>Operating</w:t>
            </w:r>
          </w:p>
        </w:tc>
        <w:tc>
          <w:tcPr>
            <w:tcW w:w="280" w:type="dxa"/>
            <w:vAlign w:val="bottom"/>
          </w:tcPr>
          <w:p>
            <w:pPr>
              <w:spacing w:after="0"/>
              <w:rPr>
                <w:sz w:val="12"/>
                <w:szCs w:val="12"/>
                <w:color w:val="auto"/>
              </w:rPr>
            </w:pPr>
          </w:p>
        </w:tc>
        <w:tc>
          <w:tcPr>
            <w:tcW w:w="1360" w:type="dxa"/>
            <w:vAlign w:val="bottom"/>
          </w:tcPr>
          <w:p>
            <w:pPr>
              <w:jc w:val="center"/>
              <w:ind w:right="177"/>
              <w:spacing w:after="0" w:line="148" w:lineRule="exact"/>
              <w:rPr>
                <w:sz w:val="20"/>
                <w:szCs w:val="20"/>
                <w:color w:val="auto"/>
              </w:rPr>
            </w:pPr>
            <w:r>
              <w:rPr>
                <w:rFonts w:ascii="Arial" w:cs="Arial" w:eastAsia="Arial" w:hAnsi="Arial"/>
                <w:sz w:val="13"/>
                <w:szCs w:val="13"/>
                <w:b w:val="1"/>
                <w:bCs w:val="1"/>
                <w:i w:val="1"/>
                <w:iCs w:val="1"/>
                <w:color w:val="auto"/>
                <w:w w:val="84"/>
              </w:rPr>
              <w:t>Operating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8" w:lineRule="exact"/>
              <w:rPr>
                <w:sz w:val="20"/>
                <w:szCs w:val="20"/>
                <w:color w:val="auto"/>
              </w:rPr>
            </w:pPr>
            <w:r>
              <w:rPr>
                <w:rFonts w:ascii="Arial" w:cs="Arial" w:eastAsia="Arial" w:hAnsi="Arial"/>
                <w:sz w:val="13"/>
                <w:szCs w:val="13"/>
                <w:b w:val="1"/>
                <w:bCs w:val="1"/>
                <w:i w:val="1"/>
                <w:iCs w:val="1"/>
                <w:color w:val="auto"/>
                <w:w w:val="87"/>
              </w:rPr>
              <w:t>Operating</w:t>
            </w: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157"/>
              <w:spacing w:after="0"/>
              <w:rPr>
                <w:sz w:val="20"/>
                <w:szCs w:val="20"/>
                <w:color w:val="auto"/>
              </w:rPr>
            </w:pPr>
            <w:r>
              <w:rPr>
                <w:rFonts w:ascii="Arial" w:cs="Arial" w:eastAsia="Arial" w:hAnsi="Arial"/>
                <w:sz w:val="13"/>
                <w:szCs w:val="13"/>
                <w:b w:val="1"/>
                <w:bCs w:val="1"/>
                <w:i w:val="1"/>
                <w:iCs w:val="1"/>
                <w:color w:val="auto"/>
                <w:w w:val="86"/>
              </w:rPr>
              <w:t>Income (Loss)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3"/>
                <w:szCs w:val="13"/>
                <w:b w:val="1"/>
                <w:bCs w:val="1"/>
                <w:i w:val="1"/>
                <w:iCs w:val="1"/>
                <w:color w:val="auto"/>
                <w:w w:val="89"/>
              </w:rPr>
              <w:t>Margin</w:t>
            </w:r>
          </w:p>
        </w:tc>
        <w:tc>
          <w:tcPr>
            <w:tcW w:w="280" w:type="dxa"/>
            <w:vAlign w:val="bottom"/>
          </w:tcPr>
          <w:p>
            <w:pPr>
              <w:spacing w:after="0"/>
              <w:rPr>
                <w:sz w:val="14"/>
                <w:szCs w:val="14"/>
                <w:color w:val="auto"/>
              </w:rPr>
            </w:pPr>
          </w:p>
        </w:tc>
        <w:tc>
          <w:tcPr>
            <w:tcW w:w="1360" w:type="dxa"/>
            <w:vAlign w:val="bottom"/>
          </w:tcPr>
          <w:p>
            <w:pPr>
              <w:jc w:val="center"/>
              <w:ind w:right="157"/>
              <w:spacing w:after="0"/>
              <w:rPr>
                <w:sz w:val="20"/>
                <w:szCs w:val="20"/>
                <w:color w:val="auto"/>
              </w:rPr>
            </w:pPr>
            <w:r>
              <w:rPr>
                <w:rFonts w:ascii="Arial" w:cs="Arial" w:eastAsia="Arial" w:hAnsi="Arial"/>
                <w:sz w:val="13"/>
                <w:szCs w:val="13"/>
                <w:b w:val="1"/>
                <w:bCs w:val="1"/>
                <w:i w:val="1"/>
                <w:iCs w:val="1"/>
                <w:color w:val="auto"/>
                <w:w w:val="83"/>
              </w:rPr>
              <w:t>Income (Loss)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0" w:type="dxa"/>
            <w:vAlign w:val="bottom"/>
          </w:tcPr>
          <w:p>
            <w:pPr>
              <w:spacing w:after="0"/>
              <w:rPr>
                <w:sz w:val="1"/>
                <w:szCs w:val="1"/>
                <w:color w:val="auto"/>
              </w:rPr>
            </w:pPr>
          </w:p>
        </w:tc>
      </w:tr>
      <w:tr>
        <w:trPr>
          <w:trHeight w:val="200"/>
        </w:trPr>
        <w:tc>
          <w:tcPr>
            <w:tcW w:w="424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Segment Operating Income (Loss) and Operating Margin</w:t>
            </w: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4"/>
              </w:rPr>
              <w:t>(in thousands)</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4"/>
              </w:rPr>
              <w:t>(in thousands)</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42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Electricity</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(22,969)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right="417"/>
              <w:spacing w:after="0"/>
              <w:rPr>
                <w:sz w:val="20"/>
                <w:szCs w:val="20"/>
                <w:color w:val="auto"/>
              </w:rPr>
            </w:pPr>
            <w:r>
              <w:rPr>
                <w:rFonts w:ascii="Arial" w:cs="Arial" w:eastAsia="Arial" w:hAnsi="Arial"/>
                <w:sz w:val="13"/>
                <w:szCs w:val="13"/>
                <w:color w:val="auto"/>
                <w:w w:val="86"/>
              </w:rPr>
              <w:t>(13)%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(19,050)</w:t>
            </w:r>
          </w:p>
        </w:tc>
        <w:tc>
          <w:tcPr>
            <w:tcW w:w="1860" w:type="dxa"/>
            <w:vAlign w:val="bottom"/>
            <w:gridSpan w:val="3"/>
            <w:shd w:val="clear" w:color="auto" w:fill="CCEEFF"/>
          </w:tcPr>
          <w:p>
            <w:pPr>
              <w:jc w:val="center"/>
              <w:ind w:left="97"/>
              <w:spacing w:after="0"/>
              <w:rPr>
                <w:sz w:val="20"/>
                <w:szCs w:val="20"/>
                <w:color w:val="auto"/>
              </w:rPr>
            </w:pPr>
            <w:r>
              <w:rPr>
                <w:rFonts w:ascii="Arial" w:cs="Arial" w:eastAsia="Arial" w:hAnsi="Arial"/>
                <w:sz w:val="13"/>
                <w:szCs w:val="13"/>
                <w:color w:val="auto"/>
                <w:w w:val="86"/>
              </w:rPr>
              <w:t>(11)%</w:t>
            </w:r>
          </w:p>
        </w:tc>
        <w:tc>
          <w:tcPr>
            <w:tcW w:w="0" w:type="dxa"/>
            <w:vAlign w:val="bottom"/>
          </w:tcPr>
          <w:p>
            <w:pPr>
              <w:spacing w:after="0"/>
              <w:rPr>
                <w:sz w:val="1"/>
                <w:szCs w:val="1"/>
                <w:color w:val="auto"/>
              </w:rPr>
            </w:pPr>
          </w:p>
        </w:tc>
      </w:tr>
      <w:tr>
        <w:trPr>
          <w:trHeight w:val="262"/>
        </w:trPr>
        <w:tc>
          <w:tcPr>
            <w:tcW w:w="4240" w:type="dxa"/>
            <w:vAlign w:val="bottom"/>
          </w:tcPr>
          <w:p>
            <w:pPr>
              <w:ind w:left="380"/>
              <w:spacing w:after="0"/>
              <w:rPr>
                <w:sz w:val="20"/>
                <w:szCs w:val="20"/>
                <w:color w:val="auto"/>
              </w:rPr>
            </w:pPr>
            <w:r>
              <w:rPr>
                <w:rFonts w:ascii="Arial" w:cs="Arial" w:eastAsia="Arial" w:hAnsi="Arial"/>
                <w:sz w:val="13"/>
                <w:szCs w:val="13"/>
                <w:color w:val="auto"/>
              </w:rPr>
              <w:t>Gas</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25,724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jc w:val="center"/>
              <w:ind w:right="417"/>
              <w:spacing w:after="0"/>
              <w:rPr>
                <w:sz w:val="20"/>
                <w:szCs w:val="20"/>
                <w:color w:val="auto"/>
              </w:rPr>
            </w:pPr>
            <w:r>
              <w:rPr>
                <w:rFonts w:ascii="Arial" w:cs="Arial" w:eastAsia="Arial" w:hAnsi="Arial"/>
                <w:sz w:val="13"/>
                <w:szCs w:val="13"/>
                <w:color w:val="auto"/>
                <w:w w:val="84"/>
              </w:rPr>
              <w:t>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19,530</w:t>
            </w:r>
          </w:p>
        </w:tc>
        <w:tc>
          <w:tcPr>
            <w:tcW w:w="1860" w:type="dxa"/>
            <w:vAlign w:val="bottom"/>
            <w:gridSpan w:val="3"/>
          </w:tcPr>
          <w:p>
            <w:pPr>
              <w:jc w:val="center"/>
              <w:ind w:left="97"/>
              <w:spacing w:after="0"/>
              <w:rPr>
                <w:sz w:val="20"/>
                <w:szCs w:val="20"/>
                <w:color w:val="auto"/>
              </w:rPr>
            </w:pPr>
            <w:r>
              <w:rPr>
                <w:rFonts w:ascii="Arial" w:cs="Arial" w:eastAsia="Arial" w:hAnsi="Arial"/>
                <w:sz w:val="13"/>
                <w:szCs w:val="13"/>
                <w:color w:val="auto"/>
                <w:w w:val="84"/>
              </w:rPr>
              <w:t>14%</w:t>
            </w: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Water</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20,643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right="417"/>
              <w:spacing w:after="0"/>
              <w:rPr>
                <w:sz w:val="20"/>
                <w:szCs w:val="20"/>
                <w:color w:val="auto"/>
              </w:rPr>
            </w:pPr>
            <w:r>
              <w:rPr>
                <w:rFonts w:ascii="Arial" w:cs="Arial" w:eastAsia="Arial" w:hAnsi="Arial"/>
                <w:sz w:val="13"/>
                <w:szCs w:val="13"/>
                <w:color w:val="auto"/>
                <w:w w:val="84"/>
              </w:rPr>
              <w:t>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12,575</w:t>
            </w:r>
          </w:p>
        </w:tc>
        <w:tc>
          <w:tcPr>
            <w:tcW w:w="1860" w:type="dxa"/>
            <w:vAlign w:val="bottom"/>
            <w:gridSpan w:val="3"/>
            <w:shd w:val="clear" w:color="auto" w:fill="CCEEFF"/>
          </w:tcPr>
          <w:p>
            <w:pPr>
              <w:jc w:val="center"/>
              <w:ind w:left="97"/>
              <w:spacing w:after="0"/>
              <w:rPr>
                <w:sz w:val="20"/>
                <w:szCs w:val="20"/>
                <w:color w:val="auto"/>
              </w:rPr>
            </w:pPr>
            <w:r>
              <w:rPr>
                <w:rFonts w:ascii="Arial" w:cs="Arial" w:eastAsia="Arial" w:hAnsi="Arial"/>
                <w:sz w:val="13"/>
                <w:szCs w:val="13"/>
                <w:color w:val="auto"/>
                <w:w w:val="95"/>
              </w:rPr>
              <w:t>9%</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Corporate unallocated</w:t>
            </w: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(18,859)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(10,708)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240" w:type="dxa"/>
            <w:vAlign w:val="bottom"/>
            <w:shd w:val="clear" w:color="auto" w:fill="CCEEFF"/>
          </w:tcPr>
          <w:p>
            <w:pPr>
              <w:ind w:left="880"/>
              <w:spacing w:after="0"/>
              <w:rPr>
                <w:sz w:val="20"/>
                <w:szCs w:val="20"/>
                <w:color w:val="auto"/>
              </w:rPr>
            </w:pPr>
            <w:r>
              <w:rPr>
                <w:rFonts w:ascii="Arial" w:cs="Arial" w:eastAsia="Arial" w:hAnsi="Arial"/>
                <w:sz w:val="13"/>
                <w:szCs w:val="13"/>
                <w:color w:val="auto"/>
              </w:rPr>
              <w:t>Total Company</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right="417"/>
              <w:spacing w:after="0"/>
              <w:rPr>
                <w:sz w:val="20"/>
                <w:szCs w:val="20"/>
                <w:color w:val="auto"/>
              </w:rPr>
            </w:pPr>
            <w:r>
              <w:rPr>
                <w:rFonts w:ascii="Arial" w:cs="Arial" w:eastAsia="Arial" w:hAnsi="Arial"/>
                <w:sz w:val="13"/>
                <w:szCs w:val="13"/>
                <w:color w:val="auto"/>
                <w:w w:val="95"/>
              </w:rPr>
              <w:t>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2,347</w:t>
            </w:r>
          </w:p>
        </w:tc>
        <w:tc>
          <w:tcPr>
            <w:tcW w:w="1860" w:type="dxa"/>
            <w:vAlign w:val="bottom"/>
            <w:gridSpan w:val="3"/>
            <w:shd w:val="clear" w:color="auto" w:fill="CCEEFF"/>
          </w:tcPr>
          <w:p>
            <w:pPr>
              <w:jc w:val="center"/>
              <w:ind w:left="97"/>
              <w:spacing w:after="0"/>
              <w:rPr>
                <w:sz w:val="20"/>
                <w:szCs w:val="20"/>
                <w:color w:val="auto"/>
              </w:rPr>
            </w:pPr>
            <w:r>
              <w:rPr>
                <w:rFonts w:ascii="Arial" w:cs="Arial" w:eastAsia="Arial" w:hAnsi="Arial"/>
                <w:sz w:val="13"/>
                <w:szCs w:val="13"/>
                <w:color w:val="auto"/>
                <w:w w:val="95"/>
              </w:rPr>
              <w:t>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2014 vs. Three months ended March 31, 2013</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Electricity revenues increased $4.5 million, or 3%, for the three months ended March 31, 2014, compared with the same period in 2013. Revenues in 2014 were higher primarily due to increased product shipments and higher professional services in North America, the impact of which was partially offset by lower volumes of prepayment meters in Asia/Pacific. The net translation effect of our operations denominated in foreign currencies into U.S. dollars negatively impacted Electricity revenues by $4.4 million in 2014.</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accounted for more than 10% of the Electricity operating segment revenues during the three months ended March 31, 2014 and 2013</w:t>
      </w:r>
      <w:r>
        <w:rPr>
          <w:rFonts w:ascii="Arial" w:cs="Arial" w:eastAsia="Arial" w:hAnsi="Arial"/>
          <w:sz w:val="16"/>
          <w:szCs w:val="16"/>
          <w:i w:val="1"/>
          <w:iCs w:val="1"/>
          <w:color w:val="auto"/>
        </w:rPr>
        <w:t>.</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2014 vs. Three months ended March 31,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Electricity gross margin was 23.7% for the three months ended March 31, 2014, compared with 25.6% for the first three months in 2013. During the first quarter of 2014, gross margin decreased 190 basis points over the prior year, primarily as the result of less favorable product mix, lower volumes of standard and prepayment meters, and higher warranty expense, partially offset by higher volumes of smart meters.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2014 vs. Three months ended March 31, 2013</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Electricity operating expenses increased $1.7 million, or 3%, for the three months ended March 31, 2014, compared with the same period in 2013 primarily as a result of $2.5 million in higher litigation expenses and $1.0 million in goodwill impairment, offset partially by lower sales and marketing and product development expenses. Operating expenses for sales and marketing, product development, general and administrative, and amortization of intangible assets as a percentage of revenues were 36% in 2014 and 37% in 2013.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2014 vs. Three months ended March 31, 2013</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Gas revenues increased $9.2 million, or 7%, for the three months ended March 31, 2014, compared with the first quarter of 2013, primarily driven by North America, which had an increase of $10.4 million of product shipments partially offset by $2.4 million of lower professional services.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accounted for more than 10% of the Gas operating segment revenues during the three months ended March 31, 2014 and 2013.</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2014 vs. Three months ended March 31, 2013</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Gas gross margin was 40.0% for the three months ended March 31, 2014, compared with 37.0% for first quarter in 2013. The increase was driven by higher volumes and more favorable product mix in North America, as well as lower warranty costs across the Gas business.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2014 vs. Three months ended March 31,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Gas operating expenses increased $1.6 million, or 5.0%, for the three months ended March 31, 2014, compared with the same period in 2013. This was due primarily to higher product development costs in 2014. Operating expenses for sales and marketing, product development, general and administrative, and amortization of intangible assets as a percentage of revenues were 23% in 2014 and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2014 vs. Three months ended March 31, 2013</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Revenues increased $13.6 million, or 10%, for the three months ended March 31, 2014, compared with the first quarter of 2013. This increase was primarily due to $11.6 million in higher product volume, including heat products, in EMEA and by $2.2 million in increased shipments in Latin America.</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more than 10% of the Water operating segment revenues during the three months ended March 31, 2014 and 2013.</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2014 vs. Three months ended March 31,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Water gross margin increased to 36.0% for the three months ended March 31, 2014, compared with 33.0% for the same period last year, primarily as the result of a decrease in professional services in North America, which have a lower gross margin, along with increased product volumes in North America and Latin America.</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2014 vs. Three months ended March 31,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for the three months ended March 31, 2014 increased by $0.8 million, or 2%, over the first quarter of 2013, primarily as the result of increased share of allocated costs. Operating expenses for sales and marketing, product development, general and administrative, and amortization of intangible assets as a percentage of revenues were 22% in 2014 and 23% in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increased by $8.2 million in the three months ended March 31, 2014, due to increased restructuring costs of $4.2 million during the first quarter 2014 as compared with the same period of 2013, as well as higher professional services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for a reported period represent customer contracts and purchase orders received during the period that have met certain conditions, such as regulatory and/or contractual approval. Total backlog represents committed but undelivered products and services for contracts and purchase orders at period 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2014</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745</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1,333</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2013</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527</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1,068</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549</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2013</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457</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2013</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515</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1,058</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558</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March 31, 2013</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447</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1,029</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565</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3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 Bookings</w:t>
            </w:r>
          </w:p>
        </w:tc>
        <w:tc>
          <w:tcPr>
            <w:tcW w:w="560" w:type="dxa"/>
            <w:vAlign w:val="bottom"/>
          </w:tcPr>
          <w:p>
            <w:pPr>
              <w:spacing w:after="0"/>
              <w:rPr>
                <w:sz w:val="18"/>
                <w:szCs w:val="18"/>
                <w:color w:val="auto"/>
              </w:rPr>
            </w:pPr>
          </w:p>
        </w:tc>
        <w:tc>
          <w:tcPr>
            <w:tcW w:w="1840" w:type="dxa"/>
            <w:vAlign w:val="bottom"/>
          </w:tcPr>
          <w:p>
            <w:pPr>
              <w:jc w:val="right"/>
              <w:ind w:right="699"/>
              <w:spacing w:after="0"/>
              <w:rPr>
                <w:sz w:val="20"/>
                <w:szCs w:val="20"/>
                <w:color w:val="auto"/>
              </w:rPr>
            </w:pPr>
            <w:r>
              <w:rPr>
                <w:rFonts w:ascii="Arial" w:cs="Arial" w:eastAsia="Arial" w:hAnsi="Arial"/>
                <w:sz w:val="16"/>
                <w:szCs w:val="16"/>
                <w:b w:val="1"/>
                <w:bCs w:val="1"/>
                <w:color w:val="auto"/>
              </w:rPr>
              <w:t>Electricity</w:t>
            </w:r>
          </w:p>
        </w:tc>
        <w:tc>
          <w:tcPr>
            <w:tcW w:w="760" w:type="dxa"/>
            <w:vAlign w:val="bottom"/>
          </w:tcPr>
          <w:p>
            <w:pPr>
              <w:spacing w:after="0"/>
              <w:rPr>
                <w:sz w:val="18"/>
                <w:szCs w:val="18"/>
                <w:color w:val="auto"/>
              </w:rPr>
            </w:pPr>
          </w:p>
        </w:tc>
        <w:tc>
          <w:tcPr>
            <w:tcW w:w="1620" w:type="dxa"/>
            <w:vAlign w:val="bottom"/>
          </w:tcPr>
          <w:p>
            <w:pPr>
              <w:jc w:val="right"/>
              <w:ind w:right="939"/>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(in millions)</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2014</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December 31, 2013</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527</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193</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2013</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June 30, 2013</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515</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256</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150</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March 31, 2013</w:t>
            </w:r>
          </w:p>
        </w:tc>
        <w:tc>
          <w:tcPr>
            <w:tcW w:w="38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447</w:t>
            </w:r>
          </w:p>
        </w:tc>
        <w:tc>
          <w:tcPr>
            <w:tcW w:w="5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7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33"/>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Bookings during the first quarter of 2014 include a $279 million booking for a significant project in our Electricity operating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Three Months Ended March 31,</w:t>
            </w:r>
          </w:p>
        </w:tc>
        <w:tc>
          <w:tcPr>
            <w:tcW w:w="1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2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3"/>
                <w:szCs w:val="13"/>
                <w:color w:val="auto"/>
              </w:rPr>
            </w:pPr>
          </w:p>
        </w:tc>
        <w:tc>
          <w:tcPr>
            <w:tcW w:w="160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47,609</w:t>
            </w:r>
          </w:p>
        </w:tc>
        <w:tc>
          <w:tcPr>
            <w:tcW w:w="140" w:type="dxa"/>
            <w:vAlign w:val="bottom"/>
            <w:shd w:val="clear" w:color="auto" w:fill="CCEEFF"/>
          </w:tcPr>
          <w:p>
            <w:pPr>
              <w:spacing w:after="0"/>
              <w:rPr>
                <w:sz w:val="17"/>
                <w:szCs w:val="17"/>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48,216</w:t>
            </w:r>
          </w:p>
        </w:tc>
        <w:tc>
          <w:tcPr>
            <w:tcW w:w="100" w:type="dxa"/>
            <w:vAlign w:val="bottom"/>
            <w:shd w:val="clear" w:color="auto" w:fill="CCEEFF"/>
          </w:tcPr>
          <w:p>
            <w:pPr>
              <w:spacing w:after="0"/>
              <w:rPr>
                <w:sz w:val="17"/>
                <w:szCs w:val="17"/>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6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40"/>
              <w:spacing w:after="0"/>
              <w:rPr>
                <w:sz w:val="20"/>
                <w:szCs w:val="20"/>
                <w:color w:val="auto"/>
              </w:rPr>
            </w:pPr>
            <w:r>
              <w:rPr>
                <w:rFonts w:ascii="Arial" w:cs="Arial" w:eastAsia="Arial" w:hAnsi="Arial"/>
                <w:sz w:val="14"/>
                <w:szCs w:val="14"/>
                <w:color w:val="auto"/>
              </w:rPr>
              <w:t>Product development</w:t>
            </w:r>
          </w:p>
        </w:tc>
        <w:tc>
          <w:tcPr>
            <w:tcW w:w="320" w:type="dxa"/>
            <w:vAlign w:val="bottom"/>
          </w:tcPr>
          <w:p>
            <w:pPr>
              <w:spacing w:after="0"/>
              <w:rPr>
                <w:sz w:val="16"/>
                <w:szCs w:val="16"/>
                <w:color w:val="auto"/>
              </w:rPr>
            </w:pPr>
          </w:p>
        </w:tc>
        <w:tc>
          <w:tcPr>
            <w:tcW w:w="1620" w:type="dxa"/>
            <w:vAlign w:val="bottom"/>
            <w:vMerge w:val="restart"/>
          </w:tcPr>
          <w:p>
            <w:pPr>
              <w:jc w:val="right"/>
              <w:ind w:right="48"/>
              <w:spacing w:after="0"/>
              <w:rPr>
                <w:sz w:val="20"/>
                <w:szCs w:val="20"/>
                <w:color w:val="auto"/>
              </w:rPr>
            </w:pPr>
            <w:r>
              <w:rPr>
                <w:rFonts w:ascii="Arial" w:cs="Arial" w:eastAsia="Arial" w:hAnsi="Arial"/>
                <w:sz w:val="14"/>
                <w:szCs w:val="14"/>
                <w:color w:val="auto"/>
              </w:rPr>
              <w:t>44,409</w:t>
            </w:r>
          </w:p>
        </w:tc>
        <w:tc>
          <w:tcPr>
            <w:tcW w:w="140" w:type="dxa"/>
            <w:vAlign w:val="bottom"/>
          </w:tcPr>
          <w:p>
            <w:pPr>
              <w:spacing w:after="0"/>
              <w:rPr>
                <w:sz w:val="16"/>
                <w:szCs w:val="16"/>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w w:val="92"/>
              </w:rPr>
              <w:t>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44,208</w:t>
            </w:r>
          </w:p>
        </w:tc>
        <w:tc>
          <w:tcPr>
            <w:tcW w:w="100" w:type="dxa"/>
            <w:vAlign w:val="bottom"/>
          </w:tcPr>
          <w:p>
            <w:pPr>
              <w:spacing w:after="0"/>
              <w:rPr>
                <w:sz w:val="16"/>
                <w:szCs w:val="16"/>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spacing w:after="0"/>
              <w:rPr>
                <w:sz w:val="17"/>
                <w:szCs w:val="17"/>
                <w:color w:val="auto"/>
              </w:rPr>
            </w:pPr>
          </w:p>
        </w:tc>
        <w:tc>
          <w:tcPr>
            <w:tcW w:w="1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40,407</w:t>
            </w:r>
          </w:p>
        </w:tc>
        <w:tc>
          <w:tcPr>
            <w:tcW w:w="140" w:type="dxa"/>
            <w:vAlign w:val="bottom"/>
            <w:shd w:val="clear" w:color="auto" w:fill="CCEEFF"/>
          </w:tcPr>
          <w:p>
            <w:pPr>
              <w:spacing w:after="0"/>
              <w:rPr>
                <w:sz w:val="17"/>
                <w:szCs w:val="17"/>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33,595</w:t>
            </w:r>
          </w:p>
        </w:tc>
        <w:tc>
          <w:tcPr>
            <w:tcW w:w="100" w:type="dxa"/>
            <w:vAlign w:val="bottom"/>
            <w:shd w:val="clear" w:color="auto" w:fill="CCEEFF"/>
          </w:tcPr>
          <w:p>
            <w:pPr>
              <w:spacing w:after="0"/>
              <w:rPr>
                <w:sz w:val="17"/>
                <w:szCs w:val="17"/>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8%</w:t>
            </w: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4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6"/>
                <w:szCs w:val="16"/>
                <w:color w:val="auto"/>
              </w:rPr>
            </w:pPr>
          </w:p>
        </w:tc>
        <w:tc>
          <w:tcPr>
            <w:tcW w:w="1620" w:type="dxa"/>
            <w:vAlign w:val="bottom"/>
            <w:vMerge w:val="restart"/>
          </w:tcPr>
          <w:p>
            <w:pPr>
              <w:jc w:val="right"/>
              <w:ind w:right="48"/>
              <w:spacing w:after="0"/>
              <w:rPr>
                <w:sz w:val="20"/>
                <w:szCs w:val="20"/>
                <w:color w:val="auto"/>
              </w:rPr>
            </w:pPr>
            <w:r>
              <w:rPr>
                <w:rFonts w:ascii="Arial" w:cs="Arial" w:eastAsia="Arial" w:hAnsi="Arial"/>
                <w:sz w:val="14"/>
                <w:szCs w:val="14"/>
                <w:color w:val="auto"/>
              </w:rPr>
              <w:t>11,070</w:t>
            </w:r>
          </w:p>
        </w:tc>
        <w:tc>
          <w:tcPr>
            <w:tcW w:w="140" w:type="dxa"/>
            <w:vAlign w:val="bottom"/>
          </w:tcPr>
          <w:p>
            <w:pPr>
              <w:spacing w:after="0"/>
              <w:rPr>
                <w:sz w:val="16"/>
                <w:szCs w:val="16"/>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w w:val="98"/>
              </w:rPr>
              <w:t>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color w:val="auto"/>
              </w:rPr>
              <w:t>10,744</w:t>
            </w:r>
          </w:p>
        </w:tc>
        <w:tc>
          <w:tcPr>
            <w:tcW w:w="100" w:type="dxa"/>
            <w:vAlign w:val="bottom"/>
          </w:tcPr>
          <w:p>
            <w:pPr>
              <w:spacing w:after="0"/>
              <w:rPr>
                <w:sz w:val="16"/>
                <w:szCs w:val="16"/>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w w:val="98"/>
              </w:rPr>
              <w:t>2%</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Restructuring</w:t>
            </w:r>
          </w:p>
        </w:tc>
        <w:tc>
          <w:tcPr>
            <w:tcW w:w="320" w:type="dxa"/>
            <w:vAlign w:val="bottom"/>
            <w:shd w:val="clear" w:color="auto" w:fill="CCEEFF"/>
          </w:tcPr>
          <w:p>
            <w:pPr>
              <w:spacing w:after="0"/>
              <w:rPr>
                <w:sz w:val="17"/>
                <w:szCs w:val="17"/>
                <w:color w:val="auto"/>
              </w:rPr>
            </w:pPr>
          </w:p>
        </w:tc>
        <w:tc>
          <w:tcPr>
            <w:tcW w:w="1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5,524</w:t>
            </w:r>
          </w:p>
        </w:tc>
        <w:tc>
          <w:tcPr>
            <w:tcW w:w="140" w:type="dxa"/>
            <w:vAlign w:val="bottom"/>
            <w:shd w:val="clear" w:color="auto" w:fill="CCEEFF"/>
          </w:tcPr>
          <w:p>
            <w:pPr>
              <w:spacing w:after="0"/>
              <w:rPr>
                <w:sz w:val="17"/>
                <w:szCs w:val="17"/>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1,013</w:t>
            </w:r>
          </w:p>
        </w:tc>
        <w:tc>
          <w:tcPr>
            <w:tcW w:w="100" w:type="dxa"/>
            <w:vAlign w:val="bottom"/>
            <w:shd w:val="clear" w:color="auto" w:fill="CCEEFF"/>
          </w:tcPr>
          <w:p>
            <w:pPr>
              <w:spacing w:after="0"/>
              <w:rPr>
                <w:sz w:val="17"/>
                <w:szCs w:val="17"/>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40"/>
              <w:spacing w:after="0"/>
              <w:rPr>
                <w:sz w:val="20"/>
                <w:szCs w:val="20"/>
                <w:color w:val="auto"/>
              </w:rPr>
            </w:pPr>
            <w:r>
              <w:rPr>
                <w:rFonts w:ascii="Arial" w:cs="Arial" w:eastAsia="Arial" w:hAnsi="Arial"/>
                <w:sz w:val="14"/>
                <w:szCs w:val="14"/>
                <w:color w:val="auto"/>
              </w:rPr>
              <w:t>Goodwill impairment</w:t>
            </w:r>
          </w:p>
        </w:tc>
        <w:tc>
          <w:tcPr>
            <w:tcW w:w="320" w:type="dxa"/>
            <w:vAlign w:val="bottom"/>
          </w:tcPr>
          <w:p>
            <w:pPr>
              <w:spacing w:after="0"/>
              <w:rPr>
                <w:sz w:val="16"/>
                <w:szCs w:val="16"/>
                <w:color w:val="auto"/>
              </w:rPr>
            </w:pPr>
          </w:p>
        </w:tc>
        <w:tc>
          <w:tcPr>
            <w:tcW w:w="1620" w:type="dxa"/>
            <w:vAlign w:val="bottom"/>
            <w:vMerge w:val="restart"/>
          </w:tcPr>
          <w:p>
            <w:pPr>
              <w:jc w:val="right"/>
              <w:ind w:right="48"/>
              <w:spacing w:after="0"/>
              <w:rPr>
                <w:sz w:val="20"/>
                <w:szCs w:val="20"/>
                <w:color w:val="auto"/>
              </w:rPr>
            </w:pPr>
            <w:r>
              <w:rPr>
                <w:rFonts w:ascii="Arial" w:cs="Arial" w:eastAsia="Arial" w:hAnsi="Arial"/>
                <w:sz w:val="14"/>
                <w:szCs w:val="14"/>
                <w:color w:val="auto"/>
              </w:rPr>
              <w:t>977</w:t>
            </w:r>
          </w:p>
        </w:tc>
        <w:tc>
          <w:tcPr>
            <w:tcW w:w="140" w:type="dxa"/>
            <w:vAlign w:val="bottom"/>
          </w:tcPr>
          <w:p>
            <w:pPr>
              <w:spacing w:after="0"/>
              <w:rPr>
                <w:sz w:val="16"/>
                <w:szCs w:val="16"/>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8"/>
              </w:rPr>
              <w:t>—%</w:t>
            </w:r>
          </w:p>
        </w:tc>
        <w:tc>
          <w:tcPr>
            <w:tcW w:w="320" w:type="dxa"/>
            <w:vAlign w:val="bottom"/>
          </w:tcPr>
          <w:p>
            <w:pPr>
              <w:spacing w:after="0"/>
              <w:rPr>
                <w:sz w:val="16"/>
                <w:szCs w:val="16"/>
                <w:color w:val="auto"/>
              </w:rPr>
            </w:pPr>
          </w:p>
        </w:tc>
        <w:tc>
          <w:tcPr>
            <w:tcW w:w="1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3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149,996</w:t>
            </w:r>
          </w:p>
        </w:tc>
        <w:tc>
          <w:tcPr>
            <w:tcW w:w="14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137,776</w:t>
            </w:r>
          </w:p>
        </w:tc>
        <w:tc>
          <w:tcPr>
            <w:tcW w:w="10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0" w:type="dxa"/>
            <w:vAlign w:val="bottom"/>
          </w:tcPr>
          <w:p>
            <w:pPr>
              <w:spacing w:after="0"/>
              <w:rPr>
                <w:sz w:val="1"/>
                <w:szCs w:val="1"/>
                <w:color w:val="auto"/>
              </w:rPr>
            </w:pPr>
          </w:p>
        </w:tc>
      </w:tr>
      <w:tr>
        <w:trPr>
          <w:trHeight w:val="60"/>
        </w:trPr>
        <w:tc>
          <w:tcPr>
            <w:tcW w:w="33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9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6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9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Operating expenses increased $12.2 million for the three months ended March 31, 2014, primarily due to increased restructuring costs associated with the 2013 Projects, litigation reserves, which are included within general and administrative operating expense, and goodwill impairment.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4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March 31,</w:t>
            </w:r>
          </w:p>
        </w:tc>
        <w:tc>
          <w:tcPr>
            <w:tcW w:w="7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7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0" w:type="dxa"/>
            <w:vAlign w:val="bottom"/>
            <w:gridSpan w:val="3"/>
          </w:tcPr>
          <w:p>
            <w:pPr>
              <w:jc w:val="right"/>
              <w:ind w:right="999"/>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(2,505)</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(1,925)</w:t>
            </w:r>
          </w:p>
        </w:tc>
      </w:tr>
      <w:tr>
        <w:trPr>
          <w:trHeight w:val="33"/>
        </w:trPr>
        <w:tc>
          <w:tcPr>
            <w:tcW w:w="6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(2,498)</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(817)</w:t>
            </w:r>
          </w:p>
        </w:tc>
      </w:tr>
      <w:tr>
        <w:trPr>
          <w:trHeight w:val="33"/>
        </w:trPr>
        <w:tc>
          <w:tcPr>
            <w:tcW w:w="67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balances and certain deposits on hand with third parties. 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declined during the three months ended March 31, 2014 as interest rates remained low, and we recognized interest on deposits with government entities related to tax contingencies in 2013.</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for the three months ended March 31, 2014 increased due to the impact of interest rate swaps, which became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third quarter of 2013 and a higher interest rate margin on the credit facility, offset partially by lower debt outstanding. Average total debt outstanding was $375.0 million and $416.7 million for the quarters ended March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of prepaid debt fees</w:t>
      </w:r>
      <w:r>
        <w:rPr>
          <w:rFonts w:ascii="Arial" w:cs="Arial" w:eastAsia="Arial" w:hAnsi="Arial"/>
          <w:sz w:val="16"/>
          <w:szCs w:val="16"/>
          <w:color w:val="auto"/>
        </w:rPr>
        <w:t>: Amortization of prepaid debt fees for the three months ended March 31, 2014 remained consistent with the same period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Refer to Item 1: “Financial Statements Note 6: Debt” for additional details related to our long-term borrowings.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Other expenses, net, consist primarily of unrealized and realized foreign currency gains and losses from balances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 currencies other than the reporting entity's functional currency and other non-operating income (expenses). As a result of currency movements in certain markets in which we do business, foreign currency losses, net of hedging, were $2.1 million for the three months ended March 31, 2014, compared with net foreign currency losses of $594,000 in the same period in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9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c>
          <w:tcPr>
            <w:tcW w:w="7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2013</w:t>
            </w:r>
          </w:p>
        </w:tc>
        <w:tc>
          <w:tcPr>
            <w:tcW w:w="7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66,761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(8,397)</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(15,569)</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(35,507)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(17,243)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(2,633)</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21,522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(34,850)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$146.3 million at March 31, 2014, compared with $124.8 million at December 31, 2013.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provided by operating activities during the three months ended March 31, 2014 was $66.2 million higher than during the same period in 2013. This increase was primarily due to invoice timing, resulting in $37.8 million of decreased payments in accounts payable during the first quarter of 2014 compared with the first quarter of 2013, as well as $7.0 million in increased collections of accounts receivable and $3.0 million in increased receipts of unearned revenue.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used in investing activities during the three months ended March 31, 2014 was $7.2 million lower compared with the same period in 2013, primarily due to a decline in the acquisition of property, plant, and equipment of $6.2 million.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during the three months ended March 31, 2014 was $18.3 million higher, compared with the same period in 2013, primarily as a result of $11.9 million in increased debt repayments and $2.7 million higher repurchases of our common stock. Refer to Part II, Item 2: "Unregistered Sale of Equity Securities and Use of Proceeds" for additional details related to our share repurchase program.</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three months ended March 31, 2014 was a decrease of $1.3 million, compared with a decrease of $2.6 million for the same period in 2013.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March 31, 2014 and December 31, 2013 that we believe are reasonably likely to have a current or future effect on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$328.2 million at March 31, 2014, compared with $344.4 million at December 31, 2013.</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credit facility consists of a $300 million U.S. dollar term loan and a multicurrency revolving line of credit (the revolver) with a principal amount of up to $660 million. At March 31, 2014, $95.0 million was outstanding under the revolver, and $47.3 million was utilized by outstanding standby letters of credit, resulting in $517.7 million available for additional borrowings.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Repurchase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8, 2013, the Board authorized a twelve-month repurchase program of up to $50 million in shares of our common stock. The March 8, 2013 authorization expired on March 7, 2014. From January 1, 2014 through March 7, 2014, we repurchased 75,203 shares of our common stock, totaling $2.9 million.</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7, 2014, the Board authorized a twelve-month repurchase program of up to $50 million in shares of our common stock, to begin on March 8, 2014, upon the expiration of the previous stock repurchase program. From March 8, 2014 through March 31, 2014, we have not repurchased any shares of our common stock, and $50.0 million remains under the current repurchase program.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Repurchases are made in the open market or in privately negotiated transactions and in accordance with applicable securities laws. Refer to Part II, Item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"Unregistered Sales of Equity Securities and Use of Proceeds" for additional information related to our share repurchase program.</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third quarter of 2013, we announced the approval of projects to restructure our operations to improve profitability and increase efficiencies. These restructuring projects will reduce headcount and close or consolidate several manufacturing and office facilities.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began implementing these projects in the third quarter of 2013, and we expect to substantially complete these projects by December 31, 2014. Certain projects are subject to a variety of labor and employment laws, rules, and regulations, which could result in a delay in implementing the projects at some locations. This may delay the completion of the restructuring projects beyond December 31, 2014. During the three months ended March 31, 2014, the total expected costs increased $5.8 million from our December 31, 2013 expected costs. This increase was primarily a result of additional workforce reductions from the planned consolidation of certain corporate functions, offset by lower than expected severance costs in the Electricity and Gas segments. At March 31, 2014, the current and long-term portions of the restructuring related liability balances were $32.0 million and $6.0 million, respectively. For further details regarding our restructuring activities, refer to Item 1: “Financial Statements, Note 12: Restructuring.”</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$1.8 million in U.S federal taxes, and $18.1 million in local and foreign taxes in 2014. For a discussion of our tax provision and unrecognized tax benefits, see Item 1: “Financial Statements, Note 10: Income Taxes.”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2014, there was $39.5 million of cash and short-term investments held by foreign subsidiaries that could be repatriated to fund U.S. operations, and additional tax costs may be required. We do not provide U.S. deferred taxes related to the cash in these foreign subsidiaries because our investment is considered permanent in duration.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or because we exercise control over the operations. The noncontrolling interest balance in our Consolidated Balance Sheets represents the proportional share of the equity of the joint venture entities, which is attributable to the minority shareholders. Approximately $23.1 million of our consolidated cash balance at March 31, 2014 resides in our joint venture entities. As a result, the minority shareholders of these entities control their proportional share of this cash balance, and there may be limitations on our ability to repatriate cash to the United States from these entities.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2014 contributions, refer to Item 1: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Note 8: Defined Benefit Pension Plans.”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description of our bonus and profit sharing plans, including the amounts accrued at March 31, 2014 and the expected timing of payment, refer to </w:t>
      </w:r>
      <w:r>
        <w:rPr>
          <w:rFonts w:ascii="Arial" w:cs="Arial" w:eastAsia="Arial" w:hAnsi="Arial"/>
          <w:sz w:val="18"/>
          <w:szCs w:val="18"/>
          <w:i w:val="1"/>
          <w:iCs w:val="1"/>
          <w:color w:val="auto"/>
        </w:rPr>
        <w:t>Bonus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Profit Sharing </w:t>
      </w:r>
      <w:r>
        <w:rPr>
          <w:rFonts w:ascii="Arial" w:cs="Arial" w:eastAsia="Arial" w:hAnsi="Arial"/>
          <w:sz w:val="18"/>
          <w:szCs w:val="18"/>
          <w:color w:val="auto"/>
        </w:rPr>
        <w:t>within Critical Accounting Estimates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2013, which was filed with the SEC on February 26, 2014, as well as “Quantitative and Qualitative Disclosures About Market Risk” within Item 3 of Part I included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A majority of our revenue is recognized when products are shipped to or received by a customer or when services are provided.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implementation services are essential to a software arrangement, revenue is recognized using either the percentage-of-completion methodology of contract accounting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it is estimated.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The objective of ESP is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our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and Asset Impairments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record a liability for costs associated with an exit or disposal activity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 impairments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the Company's goodwill balance is allocated to it based on relative fair value.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actual amount of restructuring and asset impairment charges could be materially different, either higher or lower, than those we have recorded.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calculation of our annual estimated effective tax rate requires significant judgment and is subject to several factors, including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The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and intangible assets may result from our acquisitions.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The reporting units are aligned with our reporting segments, effective in the fourth quarter of 2013.</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on our qualitative analysis as of October 1, 2013, we determined that it was more likely than not that the fair value of the Gas and Water reporting units exceeded their respective carrying values. As a result, it was not necessary to complete the two-step impairment test for those reporting units. However, during the fourth quarter of 2013 in conjunction with our annual goodwill impairment test, we recognized a goodwill impairment of $173.2 million in our Electricity reporting unit as the result of delays in global smart grid projects and lower volumes and pricing pressures in certain regions in Europe and Asia/Pacific. The revised forecast for the Electricity business drove a decrease in the fair value of the reporting unit. Upon finalizing our 2013 goodwill analysis late in the year-end reporting process, we determined $977,000 of additional goodwill impairment expense should have been recognized. See Item 1: “Financial Statements, Note 5: Goodwill.” for further information regarding this adjustment.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goodwill balance in the Electricity reporting unit before and after the goodwill impairment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gridSpan w:val="2"/>
          </w:tcPr>
          <w:p>
            <w:pPr>
              <w:ind w:left="40"/>
              <w:spacing w:after="0"/>
              <w:rPr>
                <w:sz w:val="20"/>
                <w:szCs w:val="20"/>
                <w:color w:val="auto"/>
              </w:rPr>
            </w:pPr>
            <w:r>
              <w:rPr>
                <w:rFonts w:ascii="Arial" w:cs="Arial" w:eastAsia="Arial" w:hAnsi="Arial"/>
                <w:sz w:val="16"/>
                <w:szCs w:val="16"/>
                <w:b w:val="1"/>
                <w:bCs w:val="1"/>
                <w:color w:val="auto"/>
              </w:rPr>
              <w:t>Reporting Unit</w:t>
            </w:r>
          </w:p>
        </w:tc>
        <w:tc>
          <w:tcPr>
            <w:tcW w:w="18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Before Impairment</w:t>
            </w:r>
          </w:p>
        </w:tc>
        <w:tc>
          <w:tcPr>
            <w:tcW w:w="340" w:type="dxa"/>
            <w:vAlign w:val="bottom"/>
          </w:tcPr>
          <w:p>
            <w:pPr>
              <w:spacing w:after="0"/>
              <w:rPr>
                <w:sz w:val="18"/>
                <w:szCs w:val="18"/>
                <w:color w:val="auto"/>
              </w:rPr>
            </w:pPr>
          </w:p>
        </w:tc>
        <w:tc>
          <w:tcPr>
            <w:tcW w:w="1600" w:type="dxa"/>
            <w:vAlign w:val="bottom"/>
          </w:tcPr>
          <w:p>
            <w:pPr>
              <w:jc w:val="center"/>
              <w:ind w:right="199"/>
              <w:spacing w:after="0"/>
              <w:rPr>
                <w:sz w:val="20"/>
                <w:szCs w:val="20"/>
                <w:color w:val="auto"/>
              </w:rPr>
            </w:pPr>
            <w:r>
              <w:rPr>
                <w:rFonts w:ascii="Arial" w:cs="Arial" w:eastAsia="Arial" w:hAnsi="Arial"/>
                <w:sz w:val="16"/>
                <w:szCs w:val="16"/>
                <w:b w:val="1"/>
                <w:bCs w:val="1"/>
                <w:color w:val="auto"/>
                <w:w w:val="97"/>
              </w:rPr>
              <w:t>Impairment</w:t>
            </w:r>
          </w:p>
        </w:tc>
        <w:tc>
          <w:tcPr>
            <w:tcW w:w="300" w:type="dxa"/>
            <w:vAlign w:val="bottom"/>
          </w:tcPr>
          <w:p>
            <w:pPr>
              <w:spacing w:after="0"/>
              <w:rPr>
                <w:sz w:val="18"/>
                <w:szCs w:val="18"/>
                <w:color w:val="auto"/>
              </w:rPr>
            </w:pP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After Impairment</w:t>
            </w:r>
          </w:p>
        </w:tc>
      </w:tr>
      <w:tr>
        <w:trPr>
          <w:trHeight w:val="33"/>
        </w:trPr>
        <w:tc>
          <w:tcPr>
            <w:tcW w:w="3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231,894</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174,226</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57,668</w:t>
            </w:r>
          </w:p>
        </w:tc>
      </w:tr>
      <w:tr>
        <w:trPr>
          <w:trHeight w:val="33"/>
        </w:trPr>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95% of our benefit obligation, we use three discount rates, with consideration of the duration of the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the highest and lowest yielding 10% of bonds within each maturity group. The discount rates used, depending on the duration of the plans, were 2.75%, 3.25% and 3.50%, respectively. The weighted average discount rate used to measure the projected benefit obligation for all of the plans at December 31, 2013 was 3.76%. A change of 25 basis points in the discount rate would change our pension benefit obligation by approximately $3.5 million. The financial and actuarial assumptions used at December 31, 2013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general funding policy for these qualified pension plans is to contribute amounts at least sufficient to satisfy funding standards of the respective countries for each plan. Refer to Item 1: “Financial Statements, Note 8: Defined Benefit Pension Plans” for our expected contributions for 2014.</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 For the three months ended March 31, 2014, we accrued $7.7 million for such awards, compared with $5.3 million for the same periods in 2013. Awards are typically distributed in the first quarter of the following year.</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The fair value of restricted stock units with a market condition is estimated at the date of award using a Monte Carlo simulation model, which includes assumptions for the dividend yield, expected volatility, risk-free interest rate and the expected term. 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without a market condition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October 1, 2013, we changed the terms of the ESPP to reduce the discount to 5% from the fair market value of the stock at the end of each fiscal quarter. As a result of this change, the ESPP is no longer considered compensatory, and no compensation expense is recognized for sales of our common stock to employees.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exposed to interest rate risk through our variable rate debt instruments. In May 2012, we entered into six forward starting pay-fixed, receive one-month LIBOR interest rate swaps. The interest rate swaps convert $200 million of our LIBOR-based debt from a floating LIBOR interest rate to a fixed interest rate of 1.00% (excluding the applicable margin on the debt) and are effective from July 31, 2013 to August 8, 2016.</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March 31, 2014. Weighted average variable rates in the table are based on implied forward rates in the Reuters U.S. dollar yield curve as of March 31, 2014 and our estimated leverage ratio, which determines our additional interest rate margin at March 31, 2014.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920" w:type="dxa"/>
            <w:vAlign w:val="bottom"/>
          </w:tcPr>
          <w:p>
            <w:pPr>
              <w:spacing w:after="0"/>
              <w:rPr>
                <w:sz w:val="20"/>
                <w:szCs w:val="20"/>
                <w:color w:val="auto"/>
              </w:rPr>
            </w:pPr>
            <w:r>
              <w:rPr>
                <w:rFonts w:ascii="Arial" w:cs="Arial" w:eastAsia="Arial" w:hAnsi="Arial"/>
                <w:sz w:val="14"/>
                <w:szCs w:val="14"/>
                <w:i w:val="1"/>
                <w:iCs w:val="1"/>
                <w:color w:val="auto"/>
              </w:rPr>
              <w:t>Variable Rate Debt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580"/>
              <w:spacing w:after="0"/>
              <w:rPr>
                <w:sz w:val="20"/>
                <w:szCs w:val="20"/>
                <w:color w:val="auto"/>
              </w:rPr>
            </w:pPr>
            <w:r>
              <w:rPr>
                <w:rFonts w:ascii="Arial" w:cs="Arial" w:eastAsia="Arial" w:hAnsi="Arial"/>
                <w:sz w:val="14"/>
                <w:szCs w:val="14"/>
                <w:color w:val="auto"/>
              </w:rPr>
              <w:t>Principal: U.S. dollar term loan</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9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580"/>
              <w:spacing w:after="0"/>
              <w:rPr>
                <w:sz w:val="20"/>
                <w:szCs w:val="20"/>
                <w:color w:val="auto"/>
              </w:rPr>
            </w:pPr>
            <w:r>
              <w:rPr>
                <w:rFonts w:ascii="Arial" w:cs="Arial" w:eastAsia="Arial" w:hAnsi="Arial"/>
                <w:sz w:val="14"/>
                <w:szCs w:val="14"/>
                <w:color w:val="auto"/>
              </w:rPr>
              <w:t>Average interest rate</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20"/>
        <w:spacing w:after="0" w:line="310" w:lineRule="auto"/>
        <w:rPr>
          <w:sz w:val="20"/>
          <w:szCs w:val="20"/>
          <w:color w:val="auto"/>
        </w:rPr>
      </w:pPr>
      <w:r>
        <w:rPr>
          <w:rFonts w:ascii="Arial" w:cs="Arial" w:eastAsia="Arial" w:hAnsi="Arial"/>
          <w:sz w:val="14"/>
          <w:szCs w:val="14"/>
          <w:color w:val="auto"/>
        </w:rPr>
        <w:t xml:space="preserve">Principal: Multicurrency revolving line of credit </w:t>
      </w:r>
      <w:r>
        <w:rPr>
          <w:rFonts w:ascii="Arial" w:cs="Arial" w:eastAsia="Arial" w:hAnsi="Arial"/>
          <w:sz w:val="28"/>
          <w:szCs w:val="28"/>
          <w:color w:val="auto"/>
          <w:vertAlign w:val="subscript"/>
        </w:rPr>
        <w:t>$</w:t>
      </w:r>
      <w:r>
        <w:rPr>
          <w:rFonts w:ascii="Arial" w:cs="Arial" w:eastAsia="Arial" w:hAnsi="Arial"/>
          <w:sz w:val="14"/>
          <w:szCs w:val="14"/>
          <w:color w:val="auto"/>
        </w:rPr>
        <w:t xml:space="preserve"> Average interest rate</w:t>
      </w:r>
    </w:p>
    <w:p>
      <w:pPr>
        <w:spacing w:after="0" w:line="311" w:lineRule="exact"/>
        <w:rPr>
          <w:sz w:val="20"/>
          <w:szCs w:val="20"/>
          <w:color w:val="auto"/>
        </w:rPr>
      </w:pPr>
    </w:p>
    <w:p>
      <w:pPr>
        <w:ind w:left="380" w:right="580" w:firstLine="243"/>
        <w:spacing w:after="0" w:line="434" w:lineRule="auto"/>
        <w:rPr>
          <w:sz w:val="20"/>
          <w:szCs w:val="20"/>
          <w:color w:val="auto"/>
        </w:rPr>
      </w:pPr>
      <w:r>
        <w:rPr>
          <w:rFonts w:ascii="Arial" w:cs="Arial" w:eastAsia="Arial" w:hAnsi="Arial"/>
          <w:sz w:val="14"/>
          <w:szCs w:val="14"/>
          <w:color w:val="auto"/>
        </w:rPr>
        <w:t>Interest rate swap on LIBOR-based debt Average interest rate (Pay) Average interest rate (Receive) Net/Spread</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jc w:val="right"/>
              <w:ind w:right="448"/>
              <w:spacing w:after="0"/>
              <w:rPr>
                <w:sz w:val="20"/>
                <w:szCs w:val="20"/>
                <w:color w:val="auto"/>
              </w:rPr>
            </w:pPr>
            <w:r>
              <w:rPr>
                <w:rFonts w:ascii="Arial" w:cs="Arial" w:eastAsia="Arial" w:hAnsi="Arial"/>
                <w:sz w:val="14"/>
                <w:szCs w:val="14"/>
                <w:b w:val="1"/>
                <w:bCs w:val="1"/>
                <w:color w:val="auto"/>
                <w:w w:val="83"/>
              </w:rPr>
              <w:t>2014</w:t>
            </w: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6"/>
                <w:szCs w:val="16"/>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Fair Value</w:t>
            </w: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540"/>
        </w:trPr>
        <w:tc>
          <w:tcPr>
            <w:tcW w:w="800" w:type="dxa"/>
            <w:vAlign w:val="bottom"/>
          </w:tcPr>
          <w:p>
            <w:pPr>
              <w:jc w:val="right"/>
              <w:ind w:right="248"/>
              <w:spacing w:after="0"/>
              <w:rPr>
                <w:sz w:val="20"/>
                <w:szCs w:val="20"/>
                <w:color w:val="auto"/>
              </w:rPr>
            </w:pPr>
            <w:r>
              <w:rPr>
                <w:rFonts w:ascii="Arial" w:cs="Arial" w:eastAsia="Arial" w:hAnsi="Arial"/>
                <w:sz w:val="14"/>
                <w:szCs w:val="14"/>
                <w:color w:val="auto"/>
              </w:rPr>
              <w:t>20,625</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202,500</w:t>
            </w:r>
          </w:p>
        </w:tc>
        <w:tc>
          <w:tcPr>
            <w:tcW w:w="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ind w:left="5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253,125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252,465</w:t>
            </w:r>
          </w:p>
        </w:tc>
      </w:tr>
      <w:tr>
        <w:trPr>
          <w:trHeight w:val="270"/>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1.68 %</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tcPr>
          <w:p>
            <w:pPr>
              <w:jc w:val="center"/>
              <w:ind w:left="341"/>
              <w:spacing w:after="0"/>
              <w:rPr>
                <w:sz w:val="20"/>
                <w:szCs w:val="20"/>
                <w:color w:val="auto"/>
              </w:rPr>
            </w:pPr>
            <w:r>
              <w:rPr>
                <w:rFonts w:ascii="Arial" w:cs="Arial" w:eastAsia="Arial" w:hAnsi="Arial"/>
                <w:sz w:val="14"/>
                <w:szCs w:val="14"/>
                <w:color w:val="auto"/>
                <w:w w:val="98"/>
              </w:rPr>
              <w:t>—%</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540"/>
        </w:trPr>
        <w:tc>
          <w:tcPr>
            <w:tcW w:w="8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95,000</w:t>
            </w:r>
          </w:p>
        </w:tc>
        <w:tc>
          <w:tcPr>
            <w:tcW w:w="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ind w:left="5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95,000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94,719</w:t>
            </w:r>
          </w:p>
        </w:tc>
      </w:tr>
      <w:tr>
        <w:trPr>
          <w:trHeight w:val="270"/>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1.68 %</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tcPr>
          <w:p>
            <w:pPr>
              <w:jc w:val="center"/>
              <w:ind w:left="341"/>
              <w:spacing w:after="0"/>
              <w:rPr>
                <w:sz w:val="20"/>
                <w:szCs w:val="20"/>
                <w:color w:val="auto"/>
              </w:rPr>
            </w:pPr>
            <w:r>
              <w:rPr>
                <w:rFonts w:ascii="Arial" w:cs="Arial" w:eastAsia="Arial" w:hAnsi="Arial"/>
                <w:sz w:val="14"/>
                <w:szCs w:val="14"/>
                <w:color w:val="auto"/>
                <w:w w:val="98"/>
              </w:rPr>
              <w:t>—%</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810"/>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1.00 %</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tcPr>
          <w:p>
            <w:pPr>
              <w:jc w:val="center"/>
              <w:ind w:left="34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6"/>
        </w:trPr>
        <w:tc>
          <w:tcPr>
            <w:tcW w:w="800" w:type="dxa"/>
            <w:vAlign w:val="bottom"/>
          </w:tcPr>
          <w:p>
            <w:pPr>
              <w:jc w:val="right"/>
              <w:ind w:right="88"/>
              <w:spacing w:after="0"/>
              <w:rPr>
                <w:sz w:val="20"/>
                <w:szCs w:val="20"/>
                <w:color w:val="auto"/>
              </w:rPr>
            </w:pPr>
            <w:r>
              <w:rPr>
                <w:rFonts w:ascii="Arial" w:cs="Arial" w:eastAsia="Arial" w:hAnsi="Arial"/>
                <w:sz w:val="14"/>
                <w:szCs w:val="14"/>
                <w:color w:val="auto"/>
              </w:rPr>
              <w:t>0.18 %</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0.57 %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left="34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8"/>
        </w:trPr>
        <w:tc>
          <w:tcPr>
            <w:tcW w:w="800" w:type="dxa"/>
            <w:vAlign w:val="bottom"/>
          </w:tcPr>
          <w:p>
            <w:pPr>
              <w:jc w:val="right"/>
              <w:ind w:right="68"/>
              <w:spacing w:after="0"/>
              <w:rPr>
                <w:sz w:val="20"/>
                <w:szCs w:val="20"/>
                <w:color w:val="auto"/>
              </w:rPr>
            </w:pPr>
            <w:r>
              <w:rPr>
                <w:rFonts w:ascii="Arial" w:cs="Arial" w:eastAsia="Arial" w:hAnsi="Arial"/>
                <w:sz w:val="14"/>
                <w:szCs w:val="14"/>
                <w:color w:val="auto"/>
              </w:rPr>
              <w:t>(0.82)%</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center"/>
              <w:ind w:left="34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-1715770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-1372235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-1029335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-686435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-343535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-2024380</wp:posOffset>
            </wp:positionV>
            <wp:extent cx="50685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300"/>
            <w:col w:w="7580"/>
          </w:cols>
          <w:pgMar w:left="240" w:top="125" w:right="239" w:bottom="1440" w:gutter="0" w:footer="0" w:header="0"/>
          <w:type w:val="continuous"/>
        </w:sectPr>
      </w:pPr>
    </w:p>
    <w:p>
      <w:pPr>
        <w:spacing w:after="0" w:line="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March 31, 2014, we estimate that, if market interest rates average one percentage point higher in 2014 than in the table above, our financial results in 2014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60% of total revenues for the three months ended March 31, 2014, compared with 64% for the same respective period in 2013.</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126 contracts were entered into during the three months ended March 31, 2014) not designated for hedge accounting, with the intent to reduce earnings volatility associated with certain of these balances. The notional amounts of the contracts ranged from $283,000 to $12.4 million, offsetting our exposures from the euro, South African rand, Saudi riyal, Canadian dollar, Australian dollar, Chinese yuan renminbi, and various other currencies.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16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left="660" w:hanging="328"/>
        <w:spacing w:after="0" w:line="288"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At March 31, 2014, an evaluation was performed under the supervision and with the participation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2014,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9"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While we are continuing the process of upgrading our global enterprise resource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there have been no changes in our internal control over financial reporting during the three months ended March 31, 2014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to risk factors during the first quarter of 2014 from those previously disclosed in Item 1A: "Risk Factors" of Part I of our Annual Report on Form 10-K for the fiscal year ended December 31, 2013, which was filed with the SEC on February 26, 2014.</w:t>
      </w:r>
    </w:p>
    <w:p>
      <w:pPr>
        <w:spacing w:after="0" w:line="32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information about the Company's purchases of its shares of common stock, based on settlement date, during the quarterly period ended March 31, 2014.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 Price Paid per</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Purchased Under the</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(2)</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January 1 through January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22,955</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February 1 through February 28</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73,500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39.18</w:t>
            </w: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73,500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20,075</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1 through March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w:t>
            </w:r>
          </w:p>
        </w:tc>
      </w:tr>
      <w:tr>
        <w:trPr>
          <w:trHeight w:val="244"/>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75,203</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39.20</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75,203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340" w:hanging="332"/>
        <w:spacing w:after="0" w:line="225"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On February 7, 2014, the Board authorized a new repurchase program of up to $50 million of our common stock over a 12-month period, which took effect following the expiration of the previous stock repurchase program on March 7, 2014. Repurchases are made in the open market or in privately negotiated transactions, and in accordance with applicable securities laws. No shares were purchased outside of these plans.</w:t>
      </w:r>
    </w:p>
    <w:p>
      <w:pPr>
        <w:spacing w:after="0" w:line="19"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Includes commissions.</w:t>
      </w:r>
    </w:p>
    <w:p>
      <w:pPr>
        <w:spacing w:after="0" w:line="32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first quarter of 2014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700" w:type="dxa"/>
            <w:vAlign w:val="bottom"/>
          </w:tcPr>
          <w:p>
            <w:pPr>
              <w:spacing w:after="0"/>
              <w:rPr>
                <w:sz w:val="18"/>
                <w:szCs w:val="18"/>
                <w:color w:val="auto"/>
              </w:rPr>
            </w:pPr>
          </w:p>
        </w:tc>
      </w:tr>
      <w:tr>
        <w:trPr>
          <w:trHeight w:val="234"/>
        </w:trPr>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61"/>
        </w:trPr>
        <w:tc>
          <w:tcPr>
            <w:tcW w:w="1620" w:type="dxa"/>
            <w:vAlign w:val="bottom"/>
          </w:tcPr>
          <w:p>
            <w:pPr>
              <w:jc w:val="right"/>
              <w:ind w:right="49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620" w:type="dxa"/>
            <w:vAlign w:val="bottom"/>
          </w:tcPr>
          <w:p>
            <w:pPr>
              <w:jc w:val="right"/>
              <w:ind w:right="49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620" w:type="dxa"/>
            <w:vAlign w:val="bottom"/>
          </w:tcPr>
          <w:p>
            <w:pPr>
              <w:jc w:val="right"/>
              <w:ind w:right="49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101.INS</w:t>
            </w:r>
          </w:p>
        </w:tc>
        <w:tc>
          <w:tcPr>
            <w:tcW w:w="970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101.PRE</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94"/>
        </w:trPr>
        <w:tc>
          <w:tcPr>
            <w:tcW w:w="3660" w:type="dxa"/>
            <w:vAlign w:val="bottom"/>
          </w:tcPr>
          <w:p>
            <w:pPr>
              <w:jc w:val="center"/>
              <w:spacing w:after="0"/>
              <w:rPr>
                <w:sz w:val="20"/>
                <w:szCs w:val="20"/>
                <w:color w:val="auto"/>
              </w:rPr>
            </w:pPr>
            <w:r>
              <w:rPr>
                <w:rFonts w:ascii="Arial" w:cs="Arial" w:eastAsia="Arial" w:hAnsi="Arial"/>
                <w:sz w:val="18"/>
                <w:szCs w:val="18"/>
                <w:color w:val="auto"/>
                <w:w w:val="93"/>
              </w:rPr>
              <w:t>April 30, 2014</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6"/>
              </w:rPr>
              <w:t>/s/ STEVEN M. HELMBRECHT</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2"/>
              </w:rPr>
              <w:t>Steven M. Helmbrecht</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1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9"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2014</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2014</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March 31, 2014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Steven M. Helmbrecht,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April 30, 2014</w:t>
      </w:r>
    </w:p>
    <w:p>
      <w:pPr>
        <w:spacing w:after="0" w:line="3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April 30, 2014</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2019-12-05T21:48:04Z</dcterms:created>
  <dcterms:modified xsi:type="dcterms:W3CDTF">2019-12-05T21:48:04Z</dcterms:modified>
</cp:coreProperties>
</file>