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495300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233"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364"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580" w:space="720"/>
            <w:col w:w="3120"/>
          </w:cols>
          <w:pgMar w:left="240" w:top="233" w:right="239" w:bottom="1440" w:gutter="0" w:footer="0" w:header="0"/>
          <w:type w:val="continuous"/>
        </w:sectPr>
      </w:pPr>
    </w:p>
    <w:p>
      <w:pPr>
        <w:ind w:left="19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460" w:space="720"/>
            <w:col w:w="4240"/>
          </w:cols>
          <w:pgMar w:left="240" w:top="233"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September 30, 2011 there were outstanding 40,732,045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FF"/>
          </w:rPr>
          <w:t>Financial Statements (Unaudited)</w:t>
        </w:r>
      </w:hyperlink>
    </w:p>
    <w:p>
      <w:pPr>
        <w:spacing w:after="0" w:line="200" w:lineRule="exact"/>
        <w:rPr>
          <w:sz w:val="20"/>
          <w:szCs w:val="20"/>
          <w:color w:val="auto"/>
        </w:rPr>
      </w:pPr>
    </w:p>
    <w:p>
      <w:pPr>
        <w:spacing w:after="0" w:line="228" w:lineRule="exact"/>
        <w:rPr>
          <w:sz w:val="20"/>
          <w:szCs w:val="20"/>
          <w:color w:val="auto"/>
        </w:rPr>
      </w:pPr>
    </w:p>
    <w:p>
      <w:pPr>
        <w:ind w:left="10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w:t>
        </w:r>
      </w:hyperlink>
    </w:p>
    <w:p>
      <w:pPr>
        <w:spacing w:after="0" w:line="293" w:lineRule="exact"/>
        <w:rPr>
          <w:sz w:val="20"/>
          <w:szCs w:val="20"/>
          <w:color w:val="auto"/>
        </w:rPr>
      </w:pPr>
    </w:p>
    <w:p>
      <w:pPr>
        <w:ind w:left="10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w:t>
        </w:r>
      </w:hyperlink>
    </w:p>
    <w:p>
      <w:pPr>
        <w:spacing w:after="0" w:line="293" w:lineRule="exact"/>
        <w:rPr>
          <w:sz w:val="20"/>
          <w:szCs w:val="20"/>
          <w:color w:val="auto"/>
        </w:rPr>
      </w:pPr>
    </w:p>
    <w:p>
      <w:pPr>
        <w:ind w:left="10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Cash Flows</w:t>
        </w:r>
      </w:hyperlink>
    </w:p>
    <w:p>
      <w:pPr>
        <w:spacing w:after="0" w:line="293" w:lineRule="exact"/>
        <w:rPr>
          <w:sz w:val="20"/>
          <w:szCs w:val="20"/>
          <w:color w:val="auto"/>
        </w:rPr>
      </w:pPr>
    </w:p>
    <w:p>
      <w:pPr>
        <w:ind w:left="10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Condensed Consolidated Financial Statements</w:t>
        </w:r>
      </w:hyperlink>
    </w:p>
    <w:p>
      <w:pPr>
        <w:spacing w:after="0" w:line="200" w:lineRule="exact"/>
        <w:rPr>
          <w:sz w:val="20"/>
          <w:szCs w:val="20"/>
          <w:color w:val="auto"/>
        </w:rPr>
      </w:pPr>
    </w:p>
    <w:p>
      <w:pPr>
        <w:spacing w:after="0" w:line="228"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4">
        <w:r>
          <w:rPr>
            <w:rFonts w:ascii="Arial" w:cs="Arial" w:eastAsia="Arial" w:hAnsi="Arial"/>
            <w:sz w:val="16"/>
            <w:szCs w:val="16"/>
            <w:u w:val="single" w:color="auto"/>
            <w:color w:val="0000FF"/>
          </w:rPr>
          <w:t>Management’s Discussion and Analysis of Financial Condition and Results of Operations</w:t>
        </w:r>
      </w:hyperlink>
    </w:p>
    <w:p>
      <w:pPr>
        <w:spacing w:after="0" w:line="200" w:lineRule="exact"/>
        <w:rPr>
          <w:sz w:val="20"/>
          <w:szCs w:val="20"/>
          <w:color w:val="auto"/>
        </w:rPr>
      </w:pPr>
    </w:p>
    <w:p>
      <w:pPr>
        <w:spacing w:after="0" w:line="38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8">
        <w:r>
          <w:rPr>
            <w:rFonts w:ascii="Arial" w:cs="Arial" w:eastAsia="Arial" w:hAnsi="Arial"/>
            <w:sz w:val="18"/>
            <w:szCs w:val="18"/>
            <w:u w:val="single" w:color="auto"/>
            <w:color w:val="0000FF"/>
          </w:rPr>
          <w:t>Quantitative and Qualitative Disclosures About Market Risk</w:t>
        </w:r>
      </w:hyperlink>
    </w:p>
    <w:p>
      <w:pPr>
        <w:spacing w:after="0" w:line="200" w:lineRule="exact"/>
        <w:rPr>
          <w:sz w:val="20"/>
          <w:szCs w:val="20"/>
          <w:color w:val="auto"/>
        </w:rPr>
      </w:pPr>
    </w:p>
    <w:p>
      <w:pPr>
        <w:spacing w:after="0" w:line="3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49">
        <w:r>
          <w:rPr>
            <w:rFonts w:ascii="Arial" w:cs="Arial" w:eastAsia="Arial" w:hAnsi="Arial"/>
            <w:sz w:val="18"/>
            <w:szCs w:val="18"/>
            <w:u w:val="single" w:color="auto"/>
            <w:color w:val="0000FF"/>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PART II: OTHER INFORMATION</w:t>
        </w:r>
      </w:hyperlink>
    </w:p>
    <w:p>
      <w:pPr>
        <w:spacing w:after="0" w:line="200" w:lineRule="exact"/>
        <w:rPr>
          <w:sz w:val="20"/>
          <w:szCs w:val="20"/>
          <w:color w:val="auto"/>
        </w:rPr>
      </w:pPr>
    </w:p>
    <w:p>
      <w:pPr>
        <w:spacing w:after="0" w:line="232"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0">
        <w:r>
          <w:rPr>
            <w:rFonts w:ascii="Arial" w:cs="Arial" w:eastAsia="Arial" w:hAnsi="Arial"/>
            <w:sz w:val="18"/>
            <w:szCs w:val="18"/>
            <w:u w:val="single" w:color="auto"/>
            <w:color w:val="0000FF"/>
          </w:rPr>
          <w:t>Legal Proceedings</w:t>
        </w:r>
      </w:hyperlink>
    </w:p>
    <w:p>
      <w:pPr>
        <w:spacing w:after="0" w:line="200" w:lineRule="exact"/>
        <w:rPr>
          <w:sz w:val="20"/>
          <w:szCs w:val="20"/>
          <w:color w:val="auto"/>
        </w:rPr>
      </w:pPr>
    </w:p>
    <w:p>
      <w:pPr>
        <w:spacing w:after="0" w:line="3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0">
        <w:r>
          <w:rPr>
            <w:rFonts w:ascii="Arial" w:cs="Arial" w:eastAsia="Arial" w:hAnsi="Arial"/>
            <w:sz w:val="18"/>
            <w:szCs w:val="18"/>
            <w:u w:val="single" w:color="auto"/>
            <w:color w:val="0000FF"/>
          </w:rPr>
          <w:t>Risk Factors</w:t>
        </w:r>
      </w:hyperlink>
    </w:p>
    <w:p>
      <w:pPr>
        <w:spacing w:after="0" w:line="200" w:lineRule="exact"/>
        <w:rPr>
          <w:sz w:val="20"/>
          <w:szCs w:val="20"/>
          <w:color w:val="auto"/>
        </w:rPr>
      </w:pPr>
    </w:p>
    <w:p>
      <w:pPr>
        <w:spacing w:after="0" w:line="3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0">
        <w:r>
          <w:rPr>
            <w:rFonts w:ascii="Arial" w:cs="Arial" w:eastAsia="Arial" w:hAnsi="Arial"/>
            <w:sz w:val="18"/>
            <w:szCs w:val="18"/>
            <w:u w:val="single" w:color="auto"/>
            <w:color w:val="0000FF"/>
          </w:rPr>
          <w:t>Other Information</w:t>
        </w:r>
      </w:hyperlink>
    </w:p>
    <w:p>
      <w:pPr>
        <w:spacing w:after="0" w:line="200" w:lineRule="exact"/>
        <w:rPr>
          <w:sz w:val="20"/>
          <w:szCs w:val="20"/>
          <w:color w:val="auto"/>
        </w:rPr>
      </w:pPr>
    </w:p>
    <w:p>
      <w:pPr>
        <w:spacing w:after="0" w:line="3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1">
        <w:r>
          <w:rPr>
            <w:rFonts w:ascii="Arial" w:cs="Arial" w:eastAsia="Arial" w:hAnsi="Arial"/>
            <w:sz w:val="18"/>
            <w:szCs w:val="18"/>
            <w:u w:val="single" w:color="auto"/>
            <w:color w:val="0000FF"/>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32</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48</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48</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48</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49</w:t>
        </w:r>
      </w:hyperlink>
    </w:p>
    <w:p>
      <w:pPr>
        <w:spacing w:after="0" w:line="200" w:lineRule="exact"/>
        <w:rPr>
          <w:sz w:val="20"/>
          <w:szCs w:val="20"/>
          <w:color w:val="auto"/>
        </w:rPr>
      </w:pPr>
    </w:p>
    <w:p>
      <w:pPr>
        <w:sectPr>
          <w:pgSz w:w="11900" w:h="16838" w:orient="portrait"/>
          <w:cols w:equalWidth="0" w:num="2">
            <w:col w:w="9780" w:space="720"/>
            <w:col w:w="640"/>
          </w:cols>
          <w:pgMar w:left="240" w:top="125" w:right="519" w:bottom="1440" w:gutter="0" w:footer="0" w:header="0"/>
        </w:sect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FF"/>
                <w:w w:val="98"/>
              </w:rPr>
            </w:pPr>
            <w:hyperlink w:anchor="page51">
              <w:r>
                <w:rPr>
                  <w:rFonts w:ascii="Arial" w:cs="Arial" w:eastAsia="Arial" w:hAnsi="Arial"/>
                  <w:sz w:val="18"/>
                  <w:szCs w:val="18"/>
                  <w:b w:val="1"/>
                  <w:bCs w:val="1"/>
                  <w:color w:val="0000FF"/>
                  <w:w w:val="98"/>
                </w:rPr>
                <w:t>SIGNATURE</w:t>
              </w:r>
            </w:hyperlink>
          </w:p>
        </w:tc>
        <w:tc>
          <w:tcPr>
            <w:tcW w:w="1004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1060" w:type="dxa"/>
            <w:vAlign w:val="bottom"/>
            <w:shd w:val="clear" w:color="auto" w:fill="0000FF"/>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(restated)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(restated)</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gridSpan w:val="6"/>
          </w:tcPr>
          <w:p>
            <w:pPr>
              <w:spacing w:after="0"/>
              <w:rPr>
                <w:sz w:val="20"/>
                <w:szCs w:val="20"/>
                <w:color w:val="auto"/>
              </w:rPr>
            </w:pPr>
            <w:r>
              <w:rPr>
                <w:rFonts w:ascii="Arial" w:cs="Arial" w:eastAsia="Arial" w:hAnsi="Arial"/>
                <w:sz w:val="18"/>
                <w:szCs w:val="18"/>
                <w:b w:val="1"/>
                <w:bCs w:val="1"/>
                <w:color w:val="auto"/>
                <w:w w:val="91"/>
              </w:rPr>
              <w:t>(in thousands, except per share data)</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1,791,647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1,638,613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439,377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391,888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1,240,276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1,125,730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181,763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551,371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512,883</w:t>
            </w: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45,037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138,530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123,708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100,100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30,710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100,661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97,052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51,459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540,400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540,400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673,430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122,827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950,449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372,319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(497,252)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(399,078)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140,564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(47,212)</w:t>
            </w:r>
          </w:p>
        </w:tc>
        <w:tc>
          <w:tcPr>
            <w:tcW w:w="0" w:type="dxa"/>
            <w:vAlign w:val="bottom"/>
          </w:tcPr>
          <w:p>
            <w:pPr>
              <w:spacing w:after="0"/>
              <w:rPr>
                <w:sz w:val="1"/>
                <w:szCs w:val="1"/>
                <w:color w:val="auto"/>
              </w:rPr>
            </w:pPr>
          </w:p>
        </w:tc>
      </w:tr>
      <w:tr>
        <w:trPr>
          <w:trHeight w:val="291"/>
        </w:trPr>
        <w:tc>
          <w:tcPr>
            <w:tcW w:w="56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(15,152)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(517,082)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40,725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40,307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40,648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40,950</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677"/>
        </w:trPr>
        <w:tc>
          <w:tcPr>
            <w:tcW w:w="1280" w:type="dxa"/>
            <w:vAlign w:val="bottom"/>
            <w:tcBorders>
              <w:top w:val="single" w:sz="8" w:color="0000FF"/>
            </w:tcBorders>
          </w:tcPr>
          <w:p>
            <w:pPr>
              <w:spacing w:after="0"/>
              <w:rPr>
                <w:sz w:val="24"/>
                <w:szCs w:val="24"/>
                <w:color w:val="auto"/>
              </w:rPr>
            </w:pPr>
          </w:p>
        </w:tc>
        <w:tc>
          <w:tcPr>
            <w:tcW w:w="3440" w:type="dxa"/>
            <w:vAlign w:val="bottom"/>
          </w:tcPr>
          <w:p>
            <w:pPr>
              <w:spacing w:after="0"/>
              <w:rPr>
                <w:sz w:val="24"/>
                <w:szCs w:val="24"/>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ITRON, INC.</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860" w:type="dxa"/>
            <w:vAlign w:val="bottom"/>
            <w:gridSpan w:val="5"/>
          </w:tcPr>
          <w:p>
            <w:pPr>
              <w:jc w:val="center"/>
              <w:ind w:left="9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 2011</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2010</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344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169,477</w:t>
            </w:r>
          </w:p>
        </w:tc>
      </w:tr>
      <w:tr>
        <w:trPr>
          <w:trHeight w:val="243"/>
        </w:trPr>
        <w:tc>
          <w:tcPr>
            <w:tcW w:w="472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377,107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371,662</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208,157</w:t>
            </w:r>
          </w:p>
        </w:tc>
      </w:tr>
      <w:tr>
        <w:trPr>
          <w:trHeight w:val="243"/>
        </w:trPr>
        <w:tc>
          <w:tcPr>
            <w:tcW w:w="4720" w:type="dxa"/>
            <w:vAlign w:val="bottom"/>
            <w:gridSpan w:val="2"/>
          </w:tcPr>
          <w:p>
            <w:pPr>
              <w:ind w:left="380"/>
              <w:spacing w:after="0"/>
              <w:rPr>
                <w:sz w:val="20"/>
                <w:szCs w:val="20"/>
                <w:color w:val="auto"/>
              </w:rPr>
            </w:pPr>
            <w:r>
              <w:rPr>
                <w:rFonts w:ascii="Arial" w:cs="Arial" w:eastAsia="Arial" w:hAnsi="Arial"/>
                <w:sz w:val="18"/>
                <w:szCs w:val="18"/>
                <w:color w:val="auto"/>
              </w:rPr>
              <w:t>Deferred tax assets current, net</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44,953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55,351</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77,570</w:t>
            </w:r>
          </w:p>
        </w:tc>
      </w:tr>
      <w:tr>
        <w:trPr>
          <w:trHeight w:val="237"/>
        </w:trPr>
        <w:tc>
          <w:tcPr>
            <w:tcW w:w="472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880,353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882,217</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287,565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299,242</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35,050</w:t>
            </w: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66,878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28,242</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291,670</w:t>
            </w: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714,606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1,209,376</w:t>
            </w:r>
          </w:p>
        </w:tc>
      </w:tr>
      <w:tr>
        <w:trPr>
          <w:trHeight w:val="27"/>
        </w:trPr>
        <w:tc>
          <w:tcPr>
            <w:tcW w:w="12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2,241,678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2,745,797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LIABILITIES AND SHAREHOLDERS’ EQUITY</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241,949</w:t>
            </w:r>
          </w:p>
        </w:tc>
      </w:tr>
      <w:tr>
        <w:trPr>
          <w:trHeight w:val="243"/>
        </w:trPr>
        <w:tc>
          <w:tcPr>
            <w:tcW w:w="47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31,198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49,690</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110,479</w:t>
            </w:r>
          </w:p>
        </w:tc>
      </w:tr>
      <w:tr>
        <w:trPr>
          <w:trHeight w:val="243"/>
        </w:trPr>
        <w:tc>
          <w:tcPr>
            <w:tcW w:w="472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23,812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19,725</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228,721</w:t>
            </w:r>
          </w:p>
        </w:tc>
      </w:tr>
      <w:tr>
        <w:trPr>
          <w:trHeight w:val="243"/>
        </w:trPr>
        <w:tc>
          <w:tcPr>
            <w:tcW w:w="472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50,798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24,912</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28,258</w:t>
            </w:r>
          </w:p>
        </w:tc>
      </w:tr>
      <w:tr>
        <w:trPr>
          <w:trHeight w:val="237"/>
        </w:trPr>
        <w:tc>
          <w:tcPr>
            <w:tcW w:w="472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507,943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703,734</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481,252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382,220</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26,371</w:t>
            </w: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Pension plan benefit liability</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66,550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61,450</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54,412</w:t>
            </w: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88,744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89,315</w:t>
            </w:r>
          </w:p>
        </w:tc>
      </w:tr>
      <w:tr>
        <w:trPr>
          <w:trHeight w:val="27"/>
        </w:trPr>
        <w:tc>
          <w:tcPr>
            <w:tcW w:w="12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1,317,502</w:t>
            </w:r>
          </w:p>
        </w:tc>
      </w:tr>
      <w:tr>
        <w:trPr>
          <w:trHeight w:val="284"/>
        </w:trPr>
        <w:tc>
          <w:tcPr>
            <w:tcW w:w="1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gridSpan w:val="2"/>
          </w:tcPr>
          <w:p>
            <w:pPr>
              <w:ind w:left="380"/>
              <w:spacing w:after="0"/>
              <w:rPr>
                <w:sz w:val="20"/>
                <w:szCs w:val="20"/>
                <w:color w:val="auto"/>
              </w:rPr>
            </w:pPr>
            <w:r>
              <w:rPr>
                <w:rFonts w:ascii="Arial" w:cs="Arial" w:eastAsia="Arial" w:hAnsi="Arial"/>
                <w:sz w:val="18"/>
                <w:szCs w:val="18"/>
                <w:color w:val="auto"/>
              </w:rPr>
              <w:t>Preferred stock</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1,343,940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1,328,249</w:t>
            </w:r>
          </w:p>
        </w:tc>
      </w:tr>
      <w:tr>
        <w:trPr>
          <w:trHeight w:val="243"/>
        </w:trPr>
        <w:tc>
          <w:tcPr>
            <w:tcW w:w="47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(34,974)</w:t>
            </w:r>
          </w:p>
        </w:tc>
      </w:tr>
      <w:tr>
        <w:trPr>
          <w:trHeight w:val="27"/>
        </w:trPr>
        <w:tc>
          <w:tcPr>
            <w:tcW w:w="1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 retained earnings</w:t>
            </w:r>
          </w:p>
        </w:tc>
        <w:tc>
          <w:tcPr>
            <w:tcW w:w="2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135,020</w:t>
            </w:r>
          </w:p>
        </w:tc>
      </w:tr>
      <w:tr>
        <w:trPr>
          <w:trHeight w:val="237"/>
        </w:trPr>
        <w:tc>
          <w:tcPr>
            <w:tcW w:w="4720" w:type="dxa"/>
            <w:vAlign w:val="bottom"/>
            <w:gridSpan w:val="2"/>
          </w:tcPr>
          <w:p>
            <w:pPr>
              <w:ind w:left="720"/>
              <w:spacing w:after="0"/>
              <w:rPr>
                <w:sz w:val="20"/>
                <w:szCs w:val="20"/>
                <w:color w:val="auto"/>
              </w:rPr>
            </w:pPr>
            <w:r>
              <w:rPr>
                <w:rFonts w:ascii="Arial" w:cs="Arial" w:eastAsia="Arial" w:hAnsi="Arial"/>
                <w:sz w:val="18"/>
                <w:szCs w:val="18"/>
                <w:color w:val="auto"/>
              </w:rPr>
              <w:t>Total shareholders’ equity</w:t>
            </w:r>
          </w:p>
        </w:tc>
        <w:tc>
          <w:tcPr>
            <w:tcW w:w="2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1,026,981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1,428,295</w:t>
            </w:r>
          </w:p>
        </w:tc>
      </w:tr>
      <w:tr>
        <w:trPr>
          <w:trHeight w:val="27"/>
        </w:trPr>
        <w:tc>
          <w:tcPr>
            <w:tcW w:w="12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2,241,678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2,745,797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9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08" w:right="239" w:bottom="908"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677"/>
        </w:trPr>
        <w:tc>
          <w:tcPr>
            <w:tcW w:w="1280" w:type="dxa"/>
            <w:vAlign w:val="bottom"/>
            <w:tcBorders>
              <w:top w:val="single" w:sz="8" w:color="0000FF"/>
            </w:tcBorders>
          </w:tcPr>
          <w:p>
            <w:pPr>
              <w:spacing w:after="0"/>
              <w:rPr>
                <w:sz w:val="24"/>
                <w:szCs w:val="24"/>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b w:val="1"/>
                <w:bCs w:val="1"/>
                <w:color w:val="auto"/>
              </w:rPr>
              <w:t>ITRON, INC.</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49"/>
        </w:trPr>
        <w:tc>
          <w:tcPr>
            <w:tcW w:w="12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2010</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(restated)</w:t>
            </w:r>
          </w:p>
        </w:tc>
      </w:tr>
      <w:tr>
        <w:trPr>
          <w:trHeight w:val="270"/>
        </w:trPr>
        <w:tc>
          <w:tcPr>
            <w:tcW w:w="1280" w:type="dxa"/>
            <w:vAlign w:val="bottom"/>
          </w:tcPr>
          <w:p>
            <w:pPr>
              <w:spacing w:after="0"/>
              <w:rPr>
                <w:sz w:val="23"/>
                <w:szCs w:val="23"/>
                <w:color w:val="auto"/>
              </w:rPr>
            </w:pPr>
          </w:p>
        </w:tc>
        <w:tc>
          <w:tcPr>
            <w:tcW w:w="7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(455,526)</w:t>
            </w:r>
          </w:p>
        </w:tc>
        <w:tc>
          <w:tcPr>
            <w:tcW w:w="7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78,200</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96,919</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97,184</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12,401</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14,222</w:t>
            </w:r>
          </w:p>
        </w:tc>
      </w:tr>
      <w:tr>
        <w:trPr>
          <w:trHeight w:val="243"/>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Amortization of prepaid debt fees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5,365</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4,219</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5,336</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7,505</w:t>
            </w:r>
          </w:p>
        </w:tc>
      </w:tr>
      <w:tr>
        <w:trPr>
          <w:trHeight w:val="243"/>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Deferred taxes,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(1,410)</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Goodwill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540,400</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Other adjustments, net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1,961</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4,008</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(21,940)</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(53,425)</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(32,750)</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(57,698)</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(8,672)</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12,347</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38,139</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(28,018)</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26,799</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22,862</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28,028</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16,535</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Other operating,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(6,003)</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(4,387)</w:t>
            </w:r>
          </w:p>
        </w:tc>
      </w:tr>
      <w:tr>
        <w:trPr>
          <w:trHeight w:val="27"/>
        </w:trPr>
        <w:tc>
          <w:tcPr>
            <w:tcW w:w="12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153,801</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167,116</w:t>
            </w:r>
          </w:p>
        </w:tc>
      </w:tr>
      <w:tr>
        <w:trPr>
          <w:trHeight w:val="365"/>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(45,799)</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(45,507)</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Business acquisition, net of cash equivalents acquired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(14,635)</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3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w:t>
            </w:r>
          </w:p>
        </w:tc>
      </w:tr>
      <w:tr>
        <w:trPr>
          <w:trHeight w:val="237"/>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(59,800)</w:t>
            </w:r>
          </w:p>
        </w:tc>
        <w:tc>
          <w:tcPr>
            <w:tcW w:w="3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(40,095)</w:t>
            </w:r>
          </w:p>
        </w:tc>
      </w:tr>
      <w:tr>
        <w:trPr>
          <w:trHeight w:val="392"/>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670,000</w:t>
            </w:r>
          </w:p>
        </w:tc>
        <w:tc>
          <w:tcPr>
            <w:tcW w:w="760" w:type="dxa"/>
            <w:vAlign w:val="bottom"/>
            <w:gridSpan w:val="2"/>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(804,304)</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(106,524)</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3,512</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7,931</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3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37"/>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(136,111)</w:t>
            </w:r>
          </w:p>
        </w:tc>
        <w:tc>
          <w:tcPr>
            <w:tcW w:w="3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(100,923)</w:t>
            </w:r>
          </w:p>
        </w:tc>
      </w:tr>
      <w:tr>
        <w:trPr>
          <w:trHeight w:val="149"/>
        </w:trPr>
        <w:tc>
          <w:tcPr>
            <w:tcW w:w="128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2,147</w:t>
            </w:r>
          </w:p>
        </w:tc>
        <w:tc>
          <w:tcPr>
            <w:tcW w:w="3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(39,963)</w:t>
            </w:r>
          </w:p>
        </w:tc>
        <w:tc>
          <w:tcPr>
            <w:tcW w:w="3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26,221</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169,477</w:t>
            </w:r>
          </w:p>
        </w:tc>
        <w:tc>
          <w:tcPr>
            <w:tcW w:w="3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121,893</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129,514</w:t>
            </w:r>
          </w:p>
        </w:tc>
        <w:tc>
          <w:tcPr>
            <w:tcW w:w="3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148,114</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2"/>
        </w:trPr>
        <w:tc>
          <w:tcPr>
            <w:tcW w:w="1280" w:type="dxa"/>
            <w:vAlign w:val="bottom"/>
          </w:tcPr>
          <w:p>
            <w:pPr>
              <w:spacing w:after="0"/>
              <w:rPr>
                <w:sz w:val="8"/>
                <w:szCs w:val="8"/>
                <w:color w:val="auto"/>
              </w:rPr>
            </w:pPr>
          </w:p>
        </w:tc>
        <w:tc>
          <w:tcPr>
            <w:tcW w:w="7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Property, plant, and equipment purchased but not yet paid,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(3,130)</w:t>
            </w:r>
          </w:p>
        </w:tc>
        <w:tc>
          <w:tcPr>
            <w:tcW w:w="7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(5,998)</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Fair value of contingent and deferred consideration payable for business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5,108</w:t>
            </w: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65"/>
        </w:trPr>
        <w:tc>
          <w:tcPr>
            <w:tcW w:w="8360" w:type="dxa"/>
            <w:vAlign w:val="bottom"/>
            <w:gridSpan w:val="2"/>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720"/>
              <w:spacing w:after="0"/>
              <w:rPr>
                <w:sz w:val="20"/>
                <w:szCs w:val="20"/>
                <w:color w:val="auto"/>
              </w:rPr>
            </w:pPr>
            <w:r>
              <w:rPr>
                <w:rFonts w:ascii="Arial" w:cs="Arial" w:eastAsia="Arial" w:hAnsi="Arial"/>
                <w:sz w:val="18"/>
                <w:szCs w:val="18"/>
                <w:color w:val="auto"/>
              </w:rPr>
              <w:t>Income taxes,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12,904</w:t>
            </w:r>
          </w:p>
        </w:tc>
        <w:tc>
          <w:tcPr>
            <w:tcW w:w="7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17,447</w:t>
            </w:r>
          </w:p>
        </w:tc>
      </w:tr>
      <w:tr>
        <w:trPr>
          <w:trHeight w:val="27"/>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net of amounts capitalized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25,964</w:t>
            </w:r>
          </w:p>
        </w:tc>
        <w:tc>
          <w:tcPr>
            <w:tcW w:w="3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31,666</w:t>
            </w:r>
          </w:p>
        </w:tc>
      </w:tr>
      <w:tr>
        <w:trPr>
          <w:trHeight w:val="27"/>
        </w:trPr>
        <w:tc>
          <w:tcPr>
            <w:tcW w:w="1280" w:type="dxa"/>
            <w:vAlign w:val="bottom"/>
            <w:shd w:val="clear" w:color="auto" w:fill="CCEEFF"/>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38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for the three and nine months ended September 30, 2011 and 2010, the Consolidated Balance Sheets as of September 30, 2011 and December 31, 2010, and the Consolidated Statements of Cash Flows for the nine months ended September 30, 2011 and 2010 of Itron, Inc. and its subsidiaries. All entries required for the fair presentation of the financial statements are of a normal recurring nature, except as disclosed.</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2010 audited financial statements and notes included in our Annual Report on Form 10-K for the year ended December 31, 2010, as filed with the SEC on February 25, 2011. The results of operations for the three and nine months ended September 30, 2011 are not necessarily indicative of the results expected for the full fiscal year or for any other fiscal period.</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Variable interest entities of which we are the primary beneficiary are consolidated. At September 30, 2011, our investments in variable interest entities and noncontrolling interests were not material. Intercompany transactions and balances have been eliminated upon consolidation.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On January 10, 2011, we completed the acquisition of Asais S.A.S. and Asais Conseil S.A.S. (collectively Asais), an energy information management software and consulting services provider, located in France. The acquisition consisted of cash and contingent consideration. The acquisition was immaterial to our financial position, results of operations, and cash flows. (See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policy below.)</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(OCI) and are recognized in earnings when the hedged item affects earnings.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 Refer to Note 7 and Note 12 for further disclosures of our derivative instruments and their impact on OCI.</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30 years for buildings and improvements and three to 10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or asset group may not be recoverable. We have had no significant impairments of long-lived assets. Assets held for sale are classified within other current assets in the Consolidated Balance Sheets, are reported at the lower of the carrying amount or fair value less costs to sell, and are no longer depreciated. We had no assets held for sale at September 30, 2011 and December 31, 2010. Gains and losses from asset disposals and impairment losses are classified within the statement of operations according to the use of the asset.</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including contingent maturity or 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 results of operations are also included as of the date of acquisition in our consolidated results. Intangible assets that arise from contractual/legal rights, or are capable of being separated, as well as in-process research and development, are measured and recorded at fair value, and amortized over the estimated useful life.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Our Itron North America operating segment represents one reporting unit, while our Itron International operating segment has three reporting units. In the first quarter of 2012, we will reallocate our goodwill from our existing reporting units to the new reporting units within the Energy and Water operating segments based on the relative fair values of the existing and new reporting units on January 1, 2012.</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The impairment test for goodwill involves comparing the fair value of the reporting units to their carrying amounts. If the carrying amount of a reporting unit exceeds its fair value, a second step is required to measure for a goodwill impairment loss. This step revalues all assets and liabilities of the reporting unit to their current fair values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our aggregate market value of our shares of common stock on the date of valuation, while considering a reasonable control premium.</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Changes in these factors and related estimates could materially affect our financial position and results of operations.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sponsor both funded and unfunded defined benefit pension plans for our international employees. We recognize a liability for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arrangements, 4) upon receipt of customer acceptance, or 5) transfer of title. The majority of our revenue is recognized when products are shipped to or received by a customer or when services are provided.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primarily enter into two types of multiple deliverable arrangements, which include a combination of hardware and associated software and services:</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Arrangements that do not include the deployment of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implementation services are essential to the functionality of the associated software, software and implementation revenues are recognized using either the percentage-of-completion methodology of contract accounting if project costs can be estimated, or the completed contract methodology if project costs cannot be reliably estimated.</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Arrangements to deploy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Revenue from associated software and services is recognized using the units-of-delivery method of contract accounting, as the software is essential to the functionality of the related hardware and the implementation services are essential to the functionality of the associated software. This methodology often results in the deferral of costs and revenues as professional services and software implementation typically commence prior to deployment of hardware.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software arrangements.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allocate consideration to each deliverable in an arrangement based on its relative selling price. We determine selling price using VSOE, if it exists, otherwise we use third-party evidence (TPE). If neither VSOE nor TPE of selling price exists for a unit of accounting, we use estimated selling price (ESP).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establish selling price using VSOE or TPE, we use ESP in the allocation of arrangement consideration. The objective of ESP is to determine the price at which we would transact if the product or service were regularly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we experience significant variances in our selling prices or if a significant change in our business necessitates a more timely analysis.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Unearned revenue is recorded when a customer pays for products or services, but the criteria for revenue recognition have not been met as of the balance sheet date. Unearned revenues of $66.2 million and $42.8 million at September 30, 2011 and December 31, 2010 related primarily to professional services and software associated with our smart metering contracts, extended or noncustomary warranty, and prepaid post-contract support. Deferred cost is recorded for products or services for which ownership (typically defined as title and risk of loss) has transferred to the customer, but the criteria for revenue recognition have not been met as of the balance sheet date. Deferred costs were $15.9 million and $10.0 million at September 30, 2011 and December 31, 2010 and are recorded within other assets in the Consolidated Balance Sheets.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generally do not capitalize product and software development expenses due to the relatively short period of time between technological feasibility and the completion of product and software development, and the immaterial nature of these costs.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Loss on Extinguishment of Debt, Net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Upon partial or full redemption of our borrowings, we recognize a gain or loss for the difference between the cash paid and the net carrying amount of the debt redeemed. Included in the net carrying amount is any unamortized premium or discount from the original issuance of the debt.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determining the estimated annual ETR, we analyze various factors, including projections of our annual earnings, taxing jurisdictions in which the earnings will be generated, the impact of state and local income taxes, our ability to use tax credits and net operating loss carryforwards, and available tax planning alternatives.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firstLine="8"/>
        <w:spacing w:after="0" w:line="292" w:lineRule="auto"/>
        <w:tabs>
          <w:tab w:leader="none" w:pos="258"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rates is recognized in the period that includes the enactment date. A valuation allowance is recorded to reduce the carrying amount of deferred tax assets if it is not more likely than not that such assets will be realized. We do not record tax liabilities on undistributed earnings of international subsidiaries that are permanently reinvested.</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accounting for uncertain tax positions utilizes a two step approach. A tax position is first evaluated for recognition based on its technical merits. Tax positions that have a greater than fifty percent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more-likely-than-not recognition threshold or upon expiration of the statute of limitations. We classify interest expense and penalties related to uncertain tax positions and interest income on tax overpayments as part of income tax expense.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Revenues and expenses for these subsidiaries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We hold no assets or liabilities measured using Level 1 fair value inputs.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Restatement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unaudited quarterly financial information for the first three quarters of 2010 was restated in the fourth quarter of 2010. The restatement was made primarily to defer revenue previously recognized on one contract due to a misinterpretation of an extended warranty provision. While the restatement was not deemed material to the first three quarters of 2010, we concluded that the aggregate correction of such amounts would be material to the fourth quarter of 2010. Accordingly, although not material to our financial statements for the first three quarters of 2010, the results of operations for the three and nine months ended September 30, 2010 and cash flows for the nine months ended September 30, 2010 have been restated, as well as certain balance sheet components as of September 30, 2010. The consolidated statement of operations, consolidated balance sheet, and consolidated statement of cash flows have been restated,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 of operations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360" w:type="dxa"/>
            <w:vAlign w:val="bottom"/>
            <w:gridSpan w:val="3"/>
          </w:tcPr>
          <w:p>
            <w:pPr>
              <w:jc w:val="right"/>
              <w:ind w:right="457"/>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September 30, 2010</w:t>
            </w:r>
          </w:p>
        </w:tc>
        <w:tc>
          <w:tcPr>
            <w:tcW w:w="100" w:type="dxa"/>
            <w:vAlign w:val="bottom"/>
          </w:tcPr>
          <w:p>
            <w:pPr>
              <w:spacing w:after="0"/>
              <w:rPr>
                <w:sz w:val="18"/>
                <w:szCs w:val="18"/>
                <w:color w:val="auto"/>
              </w:rPr>
            </w:pPr>
          </w:p>
        </w:tc>
        <w:tc>
          <w:tcPr>
            <w:tcW w:w="2360" w:type="dxa"/>
            <w:vAlign w:val="bottom"/>
            <w:gridSpan w:val="3"/>
          </w:tcPr>
          <w:p>
            <w:pPr>
              <w:jc w:val="right"/>
              <w:ind w:right="457"/>
              <w:spacing w:after="0"/>
              <w:rPr>
                <w:sz w:val="20"/>
                <w:szCs w:val="20"/>
                <w:color w:val="auto"/>
              </w:rPr>
            </w:pPr>
            <w:r>
              <w:rPr>
                <w:rFonts w:ascii="Arial" w:cs="Arial" w:eastAsia="Arial" w:hAnsi="Arial"/>
                <w:sz w:val="16"/>
                <w:szCs w:val="16"/>
                <w:b w:val="1"/>
                <w:bCs w:val="1"/>
                <w:color w:val="auto"/>
              </w:rPr>
              <w:t>September 30, 2010</w:t>
            </w:r>
          </w:p>
        </w:tc>
      </w:tr>
      <w:tr>
        <w:trPr>
          <w:trHeight w:val="33"/>
        </w:trPr>
        <w:tc>
          <w:tcPr>
            <w:tcW w:w="40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ind w:right="136"/>
              <w:spacing w:after="0"/>
              <w:rPr>
                <w:sz w:val="20"/>
                <w:szCs w:val="20"/>
                <w:color w:val="auto"/>
              </w:rPr>
            </w:pPr>
            <w:r>
              <w:rPr>
                <w:rFonts w:ascii="Arial" w:cs="Arial" w:eastAsia="Arial" w:hAnsi="Arial"/>
                <w:sz w:val="16"/>
                <w:szCs w:val="16"/>
                <w:b w:val="1"/>
                <w:bCs w:val="1"/>
                <w:color w:val="auto"/>
                <w:w w:val="87"/>
              </w:rPr>
              <w:t>As previously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38"/>
              <w:spacing w:after="0"/>
              <w:rPr>
                <w:sz w:val="20"/>
                <w:szCs w:val="20"/>
                <w:color w:val="auto"/>
              </w:rPr>
            </w:pPr>
            <w:r>
              <w:rPr>
                <w:rFonts w:ascii="Arial" w:cs="Arial" w:eastAsia="Arial" w:hAnsi="Arial"/>
                <w:sz w:val="16"/>
                <w:szCs w:val="16"/>
                <w:b w:val="1"/>
                <w:bCs w:val="1"/>
                <w:color w:val="auto"/>
                <w:w w:val="87"/>
              </w:rPr>
              <w:t>As previously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ind w:right="296"/>
              <w:spacing w:after="0"/>
              <w:rPr>
                <w:sz w:val="20"/>
                <w:szCs w:val="20"/>
                <w:color w:val="auto"/>
              </w:rPr>
            </w:pPr>
            <w:r>
              <w:rPr>
                <w:rFonts w:ascii="Arial" w:cs="Arial" w:eastAsia="Arial" w:hAnsi="Arial"/>
                <w:sz w:val="16"/>
                <w:szCs w:val="16"/>
                <w:b w:val="1"/>
                <w:bCs w:val="1"/>
                <w:color w:val="auto"/>
              </w:rPr>
              <w:t>reported</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1"/>
              </w:rPr>
              <w:t>As restated</w:t>
            </w:r>
          </w:p>
        </w:tc>
        <w:tc>
          <w:tcPr>
            <w:tcW w:w="100" w:type="dxa"/>
            <w:vAlign w:val="bottom"/>
          </w:tcPr>
          <w:p>
            <w:pPr>
              <w:spacing w:after="0"/>
              <w:rPr>
                <w:sz w:val="18"/>
                <w:szCs w:val="18"/>
                <w:color w:val="auto"/>
              </w:rPr>
            </w:pPr>
          </w:p>
        </w:tc>
        <w:tc>
          <w:tcPr>
            <w:tcW w:w="1160" w:type="dxa"/>
            <w:vAlign w:val="bottom"/>
          </w:tcPr>
          <w:p>
            <w:pPr>
              <w:jc w:val="right"/>
              <w:ind w:right="298"/>
              <w:spacing w:after="0"/>
              <w:rPr>
                <w:sz w:val="20"/>
                <w:szCs w:val="20"/>
                <w:color w:val="auto"/>
              </w:rPr>
            </w:pPr>
            <w:r>
              <w:rPr>
                <w:rFonts w:ascii="Arial" w:cs="Arial" w:eastAsia="Arial" w:hAnsi="Arial"/>
                <w:sz w:val="16"/>
                <w:szCs w:val="16"/>
                <w:b w:val="1"/>
                <w:bCs w:val="1"/>
                <w:color w:val="auto"/>
              </w:rPr>
              <w:t>reported</w:t>
            </w:r>
          </w:p>
        </w:tc>
        <w:tc>
          <w:tcPr>
            <w:tcW w:w="180" w:type="dxa"/>
            <w:vAlign w:val="bottom"/>
          </w:tcPr>
          <w:p>
            <w:pPr>
              <w:spacing w:after="0"/>
              <w:rPr>
                <w:sz w:val="18"/>
                <w:szCs w:val="18"/>
                <w:color w:val="auto"/>
              </w:rPr>
            </w:pPr>
          </w:p>
        </w:tc>
        <w:tc>
          <w:tcPr>
            <w:tcW w:w="1020" w:type="dxa"/>
            <w:vAlign w:val="bottom"/>
          </w:tcPr>
          <w:p>
            <w:pPr>
              <w:jc w:val="right"/>
              <w:ind w:right="117"/>
              <w:spacing w:after="0"/>
              <w:rPr>
                <w:sz w:val="20"/>
                <w:szCs w:val="20"/>
                <w:color w:val="auto"/>
              </w:rPr>
            </w:pPr>
            <w:r>
              <w:rPr>
                <w:rFonts w:ascii="Arial" w:cs="Arial" w:eastAsia="Arial" w:hAnsi="Arial"/>
                <w:sz w:val="16"/>
                <w:szCs w:val="16"/>
                <w:b w:val="1"/>
                <w:bCs w:val="1"/>
                <w:color w:val="auto"/>
                <w:w w:val="91"/>
              </w:rPr>
              <w:t>As restated</w:t>
            </w:r>
          </w:p>
        </w:tc>
      </w:tr>
      <w:tr>
        <w:trPr>
          <w:trHeight w:val="33"/>
        </w:trPr>
        <w:tc>
          <w:tcPr>
            <w:tcW w:w="40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89"/>
              </w:rPr>
              <w:t>(in thousands, except per share data)</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575,968</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573,651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1,644,708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1,638,613</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Cost of revenues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jc w:val="right"/>
              <w:ind w:right="76"/>
              <w:spacing w:after="0"/>
              <w:rPr>
                <w:sz w:val="20"/>
                <w:szCs w:val="20"/>
                <w:color w:val="auto"/>
              </w:rPr>
            </w:pPr>
            <w:r>
              <w:rPr>
                <w:rFonts w:ascii="Arial" w:cs="Arial" w:eastAsia="Arial" w:hAnsi="Arial"/>
                <w:sz w:val="16"/>
                <w:szCs w:val="16"/>
                <w:color w:val="auto"/>
              </w:rPr>
              <w:t>391,761</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391,888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8"/>
              <w:spacing w:after="0"/>
              <w:rPr>
                <w:sz w:val="20"/>
                <w:szCs w:val="20"/>
                <w:color w:val="auto"/>
              </w:rPr>
            </w:pPr>
            <w:r>
              <w:rPr>
                <w:rFonts w:ascii="Arial" w:cs="Arial" w:eastAsia="Arial" w:hAnsi="Arial"/>
                <w:sz w:val="16"/>
                <w:szCs w:val="16"/>
                <w:color w:val="auto"/>
              </w:rPr>
              <w:t>1,125,282</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1,125,730</w:t>
            </w: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184,207</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181,763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519,426</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512,883</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jc w:val="right"/>
              <w:ind w:right="76"/>
              <w:spacing w:after="0"/>
              <w:rPr>
                <w:sz w:val="20"/>
                <w:szCs w:val="20"/>
                <w:color w:val="auto"/>
              </w:rPr>
            </w:pPr>
            <w:r>
              <w:rPr>
                <w:rFonts w:ascii="Arial" w:cs="Arial" w:eastAsia="Arial" w:hAnsi="Arial"/>
                <w:sz w:val="16"/>
                <w:szCs w:val="16"/>
                <w:color w:val="auto"/>
              </w:rPr>
              <w:t>61,380</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8"/>
              <w:spacing w:after="0"/>
              <w:rPr>
                <w:sz w:val="20"/>
                <w:szCs w:val="20"/>
                <w:color w:val="auto"/>
              </w:rPr>
            </w:pPr>
            <w:r>
              <w:rPr>
                <w:rFonts w:ascii="Arial" w:cs="Arial" w:eastAsia="Arial" w:hAnsi="Arial"/>
                <w:sz w:val="16"/>
                <w:szCs w:val="16"/>
                <w:color w:val="auto"/>
              </w:rPr>
              <w:t>147,107</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140,564</w:t>
            </w: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43,795</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41,351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99,895</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93,352</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Income tax (provision) benefit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6"/>
                <w:szCs w:val="16"/>
                <w:color w:val="auto"/>
              </w:rPr>
              <w:t>(14,687)</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(17,100)</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(15,152)</w:t>
            </w: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29,108</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27,639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82,795</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78,200</w:t>
            </w:r>
          </w:p>
        </w:tc>
      </w:tr>
      <w:tr>
        <w:trPr>
          <w:trHeight w:val="270"/>
        </w:trPr>
        <w:tc>
          <w:tcPr>
            <w:tcW w:w="4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 - Basic</w:t>
            </w:r>
          </w:p>
        </w:tc>
        <w:tc>
          <w:tcPr>
            <w:tcW w:w="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0.72</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auto"/>
              </w:rPr>
              <w:t>Earnings per common share - Diluted</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0.71</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2.02</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575"/>
        </w:trPr>
        <w:tc>
          <w:tcPr>
            <w:tcW w:w="4080" w:type="dxa"/>
            <w:vAlign w:val="bottom"/>
          </w:tcPr>
          <w:p>
            <w:pPr>
              <w:ind w:left="80"/>
              <w:spacing w:after="0"/>
              <w:rPr>
                <w:sz w:val="20"/>
                <w:szCs w:val="20"/>
                <w:color w:val="auto"/>
              </w:rPr>
            </w:pPr>
            <w:r>
              <w:rPr>
                <w:rFonts w:ascii="Arial" w:cs="Arial" w:eastAsia="Arial" w:hAnsi="Arial"/>
                <w:sz w:val="16"/>
                <w:szCs w:val="16"/>
                <w:b w:val="1"/>
                <w:bCs w:val="1"/>
                <w:color w:val="auto"/>
              </w:rPr>
              <w:t>Consolidated balance sheet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September 30, 2010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As previously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reported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383,814</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383,431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auto"/>
              </w:rPr>
              <w:t>Deferred tax assets noncurrent, net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49,612</w:t>
            </w:r>
          </w:p>
        </w:tc>
        <w:tc>
          <w:tcPr>
            <w:tcW w:w="1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51,560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warranty</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25,441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auto"/>
              </w:rPr>
              <w:t>Other long-term obligations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68,417</w:t>
            </w:r>
          </w:p>
        </w:tc>
        <w:tc>
          <w:tcPr>
            <w:tcW w:w="1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74,167</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net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113,045</w:t>
            </w:r>
          </w:p>
        </w:tc>
        <w:tc>
          <w:tcPr>
            <w:tcW w:w="1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108,450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594"/>
        </w:trPr>
        <w:tc>
          <w:tcPr>
            <w:tcW w:w="4080" w:type="dxa"/>
            <w:vAlign w:val="bottom"/>
          </w:tcPr>
          <w:p>
            <w:pPr>
              <w:ind w:left="80"/>
              <w:spacing w:after="0"/>
              <w:rPr>
                <w:sz w:val="20"/>
                <w:szCs w:val="20"/>
                <w:color w:val="auto"/>
              </w:rPr>
            </w:pPr>
            <w:r>
              <w:rPr>
                <w:rFonts w:ascii="Arial" w:cs="Arial" w:eastAsia="Arial" w:hAnsi="Arial"/>
                <w:sz w:val="16"/>
                <w:szCs w:val="16"/>
                <w:b w:val="1"/>
                <w:bCs w:val="1"/>
                <w:color w:val="auto"/>
              </w:rPr>
              <w:t>Consolidated statement of cash flow</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2010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As previously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reported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20955</wp:posOffset>
            </wp:positionV>
            <wp:extent cx="16294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425386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3865"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4140" w:val="left"/>
        </w:tabs>
        <w:rPr>
          <w:sz w:val="20"/>
          <w:szCs w:val="20"/>
          <w:color w:val="auto"/>
        </w:rPr>
      </w:pPr>
      <w:r>
        <w:rPr>
          <w:rFonts w:ascii="Arial" w:cs="Arial" w:eastAsia="Arial" w:hAnsi="Arial"/>
          <w:sz w:val="16"/>
          <w:szCs w:val="16"/>
          <w:color w:val="auto"/>
        </w:rPr>
        <w:t>Net income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540" w:right="120" w:hanging="161"/>
        <w:spacing w:after="0" w:line="293" w:lineRule="auto"/>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25386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3865" cy="17145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6"/>
          <w:szCs w:val="16"/>
          <w:color w:val="auto"/>
        </w:rPr>
        <w:t>Deferred taxes,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Changes in operating assets and liabilities, net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25386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386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Unearned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425386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386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Warranty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(in thousands)</w:t>
      </w:r>
    </w:p>
    <w:p>
      <w:pPr>
        <w:spacing w:after="0" w:line="360" w:lineRule="exact"/>
        <w:rPr>
          <w:sz w:val="20"/>
          <w:szCs w:val="20"/>
          <w:color w:val="auto"/>
        </w:rPr>
      </w:pPr>
    </w:p>
    <w:p>
      <w:pPr>
        <w:ind w:left="60"/>
        <w:spacing w:after="0"/>
        <w:tabs>
          <w:tab w:leader="none" w:pos="700" w:val="left"/>
          <w:tab w:leader="none" w:pos="1380" w:val="left"/>
        </w:tabs>
        <w:rPr>
          <w:sz w:val="20"/>
          <w:szCs w:val="20"/>
          <w:color w:val="auto"/>
        </w:rPr>
      </w:pPr>
      <w:r>
        <w:rPr>
          <w:rFonts w:ascii="Arial" w:cs="Arial" w:eastAsia="Arial" w:hAnsi="Arial"/>
          <w:sz w:val="16"/>
          <w:szCs w:val="16"/>
          <w:color w:val="auto"/>
        </w:rPr>
        <w:t>82,795</w:t>
        <w:tab/>
        <w:t>$</w:t>
      </w:r>
      <w:r>
        <w:rPr>
          <w:sz w:val="20"/>
          <w:szCs w:val="20"/>
          <w:color w:val="auto"/>
        </w:rPr>
        <w:tab/>
      </w:r>
      <w:r>
        <w:rPr>
          <w:rFonts w:ascii="Arial" w:cs="Arial" w:eastAsia="Arial" w:hAnsi="Arial"/>
          <w:sz w:val="14"/>
          <w:szCs w:val="14"/>
          <w:color w:val="auto"/>
        </w:rPr>
        <w:t>78,200</w:t>
      </w:r>
    </w:p>
    <w:p>
      <w:pPr>
        <w:spacing w:after="0" w:line="200" w:lineRule="exact"/>
        <w:rPr>
          <w:sz w:val="20"/>
          <w:szCs w:val="20"/>
          <w:color w:val="auto"/>
        </w:rPr>
      </w:pPr>
    </w:p>
    <w:p>
      <w:pPr>
        <w:spacing w:after="0" w:line="345" w:lineRule="exact"/>
        <w:rPr>
          <w:sz w:val="20"/>
          <w:szCs w:val="20"/>
          <w:color w:val="auto"/>
        </w:rPr>
      </w:pPr>
    </w:p>
    <w:p>
      <w:pPr>
        <w:jc w:val="both"/>
        <w:ind w:left="280"/>
        <w:spacing w:after="0"/>
        <w:tabs>
          <w:tab w:leader="none" w:pos="1400" w:val="left"/>
        </w:tabs>
        <w:rPr>
          <w:sz w:val="20"/>
          <w:szCs w:val="20"/>
          <w:color w:val="auto"/>
        </w:rPr>
      </w:pPr>
      <w:r>
        <w:rPr>
          <w:rFonts w:ascii="Arial" w:cs="Arial" w:eastAsia="Arial" w:hAnsi="Arial"/>
          <w:sz w:val="16"/>
          <w:szCs w:val="16"/>
          <w:color w:val="auto"/>
        </w:rPr>
        <w:t>711</w:t>
      </w:r>
      <w:r>
        <w:rPr>
          <w:sz w:val="20"/>
          <w:szCs w:val="20"/>
          <w:color w:val="auto"/>
        </w:rPr>
        <w:tab/>
      </w:r>
      <w:r>
        <w:rPr>
          <w:rFonts w:ascii="Arial" w:cs="Arial" w:eastAsia="Arial" w:hAnsi="Arial"/>
          <w:sz w:val="16"/>
          <w:szCs w:val="16"/>
          <w:color w:val="auto"/>
        </w:rPr>
        <w:t>(1,237)</w:t>
      </w:r>
    </w:p>
    <w:p>
      <w:pPr>
        <w:spacing w:after="0" w:line="356" w:lineRule="exact"/>
        <w:rPr>
          <w:sz w:val="20"/>
          <w:szCs w:val="20"/>
          <w:color w:val="auto"/>
        </w:rPr>
      </w:pPr>
    </w:p>
    <w:p>
      <w:pPr>
        <w:spacing w:after="0"/>
        <w:tabs>
          <w:tab w:leader="none" w:pos="1320" w:val="left"/>
        </w:tabs>
        <w:rPr>
          <w:sz w:val="20"/>
          <w:szCs w:val="20"/>
          <w:color w:val="auto"/>
        </w:rPr>
      </w:pPr>
      <w:r>
        <w:rPr>
          <w:rFonts w:ascii="Arial" w:cs="Arial" w:eastAsia="Arial" w:hAnsi="Arial"/>
          <w:sz w:val="15"/>
          <w:szCs w:val="15"/>
          <w:color w:val="auto"/>
        </w:rPr>
        <w:t>(53,770)</w:t>
      </w:r>
      <w:r>
        <w:rPr>
          <w:sz w:val="20"/>
          <w:szCs w:val="20"/>
          <w:color w:val="auto"/>
        </w:rPr>
        <w:tab/>
      </w:r>
      <w:r>
        <w:rPr>
          <w:rFonts w:ascii="Arial" w:cs="Arial" w:eastAsia="Arial" w:hAnsi="Arial"/>
          <w:sz w:val="15"/>
          <w:szCs w:val="15"/>
          <w:color w:val="auto"/>
        </w:rPr>
        <w:t>(53,425)</w:t>
      </w:r>
    </w:p>
    <w:p>
      <w:pPr>
        <w:spacing w:after="0" w:line="98"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5"/>
          <w:szCs w:val="15"/>
          <w:color w:val="auto"/>
        </w:rPr>
        <w:t>(8,564)</w:t>
      </w:r>
      <w:r>
        <w:rPr>
          <w:sz w:val="20"/>
          <w:szCs w:val="20"/>
          <w:color w:val="auto"/>
        </w:rPr>
        <w:tab/>
      </w:r>
      <w:r>
        <w:rPr>
          <w:rFonts w:ascii="Arial" w:cs="Arial" w:eastAsia="Arial" w:hAnsi="Arial"/>
          <w:sz w:val="15"/>
          <w:szCs w:val="15"/>
          <w:color w:val="auto"/>
        </w:rPr>
        <w:t>(2,814)</w:t>
      </w:r>
    </w:p>
    <w:p>
      <w:pPr>
        <w:spacing w:after="0" w:line="98"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16"/>
          <w:szCs w:val="16"/>
          <w:color w:val="auto"/>
        </w:rPr>
        <w:t>16,087</w:t>
      </w:r>
      <w:r>
        <w:rPr>
          <w:sz w:val="20"/>
          <w:szCs w:val="20"/>
          <w:color w:val="auto"/>
        </w:rPr>
        <w:tab/>
      </w:r>
      <w:r>
        <w:rPr>
          <w:rFonts w:ascii="Arial" w:cs="Arial" w:eastAsia="Arial" w:hAnsi="Arial"/>
          <w:sz w:val="16"/>
          <w:szCs w:val="16"/>
          <w:color w:val="auto"/>
        </w:rPr>
        <w:t>16,535</w:t>
      </w:r>
    </w:p>
    <w:p>
      <w:pPr>
        <w:spacing w:after="0" w:line="200" w:lineRule="exact"/>
        <w:rPr>
          <w:sz w:val="20"/>
          <w:szCs w:val="20"/>
          <w:color w:val="auto"/>
        </w:rPr>
      </w:pPr>
    </w:p>
    <w:p>
      <w:pPr>
        <w:sectPr>
          <w:pgSz w:w="11900" w:h="16838" w:orient="portrait"/>
          <w:cols w:equalWidth="0" w:num="2">
            <w:col w:w="4240" w:space="540"/>
            <w:col w:w="6640"/>
          </w:cols>
          <w:pgMar w:left="240" w:top="125" w:right="239" w:bottom="1440" w:gutter="0" w:footer="0" w:header="0"/>
          <w:type w:val="continuous"/>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(Loss)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6"/>
          </w:tcPr>
          <w:p>
            <w:pPr>
              <w:ind w:left="240"/>
              <w:spacing w:after="0"/>
              <w:rPr>
                <w:sz w:val="20"/>
                <w:szCs w:val="20"/>
                <w:color w:val="auto"/>
              </w:rPr>
            </w:pPr>
            <w:r>
              <w:rPr>
                <w:rFonts w:ascii="Arial" w:cs="Arial" w:eastAsia="Arial" w:hAnsi="Arial"/>
                <w:sz w:val="16"/>
                <w:szCs w:val="16"/>
                <w:b w:val="1"/>
                <w:bCs w:val="1"/>
                <w:color w:val="auto"/>
              </w:rPr>
              <w:t>(in thousands, except per share data)</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(517,082)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27,639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(455,526)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78,200</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40,400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40,307</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Dilutive effect of convertible notes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Dilutive effect of stock-based awards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40,725</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40,828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40,648</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40,950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Basic</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17"/>
                <w:szCs w:val="17"/>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 to the repayment/redemption of our convertible notes, we were required to settle the principal amount of the convertible notes in cash and could elect to settle the remaining conversion obligation (stock price in excess of conversion price) in cash, shares, or a combination thereof. During the periods in which the convertible notes were outstanding, we included in the EPS calculation the amount of shares it would have taken to satisfy the conversion obligation, assuming that all of the convertible notes were converted. The average quarterly closing prices of our common stock were used as the basis for determining the dilutive effect on EPS. The average price of our common stock for the three and nine months ended September 30, 2011 and the three months ended September 30, 2010 did not exceed the conversion price of $65.16 and, therefore, did not have an effect on diluted shares outstanding. The average price of our common stock for the nine months ended September 30, 2010 exceeded the conversion price of $65.16 and, therefore, approximately 138,000 shares were included in the diluted EPS calculation for that period. The convertible notes were no longer outstanding as of September 30, 2011.</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1.4 million and 1.2 million stock-based awards were excluded from the calculation of diluted EPS for the three and nine months ended September 30, 2011, and approximately 526,000 and 432,000 stock-based awards were excluded from the calculation of diluted EPS for the three and nine months ended September 30, 2010, respectively, because they were anti-dilutive. These stock-based awards could be dilutive in future periods.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and rates as defined in the Rights Agreement, which may be adjusted by the Board of Directors. There was no preferred stock sold or outstanding at September 30, 2011 and December 31, 2010.</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0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2011</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2010</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Trade receivables (net of allowance of $7,452 and $9,045)</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340,641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328,811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36,466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42,851</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377,107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371,662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2011 and December 31, 2010, $887,000 and $12.5 million were recorded within trade receivables as billed but not yet paid by customers in accordance with contract retainage provisions. At September 30, 2011 and December 31, 2010, contract retainage amounts that were unbilled and classified as unbilled receivables were $5.8 million and $2.1 million. These contract retainage amounts within trade receivables and unbilled receivables are expected to be collected within the following 12 months.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September 30, 2011 and December 31, 2010, long-term unbilled receivables and long-term retainage contract receivables totaled $31.4 million and $5.9 million. The net increase in long-term other assets from December 31, 2010 to September 30, 2011 includes $11.7 million of retainage contract receivables and $7.5 million of unbilled receivables, which were reclassified to long-term as of September 30, 2011 due to delays in reaching certain contract milestones required for payment. These long-term unbilled receivables and retainage contract receivables are classified within other long-term assets as collection is not anticipated within the following 12 months. However, collection is expected within the following 18 months.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27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2"/>
              </w:rPr>
              <w:t>Nine Months Ended</w:t>
            </w:r>
          </w:p>
        </w:tc>
        <w:tc>
          <w:tcPr>
            <w:tcW w:w="56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6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6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w w:val="96"/>
              </w:rPr>
              <w:t>(in thousands)</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9,045</w:t>
            </w:r>
          </w:p>
        </w:tc>
        <w:tc>
          <w:tcPr>
            <w:tcW w:w="108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6,339</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Provision (release) of doubtful accounts, net</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128</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written-off</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(1,680)</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Effects of change in exchange rates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7,452</w:t>
            </w:r>
          </w:p>
        </w:tc>
        <w:tc>
          <w:tcPr>
            <w:tcW w:w="108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00" w:type="dxa"/>
            <w:vAlign w:val="bottom"/>
          </w:tcPr>
          <w:p>
            <w:pPr>
              <w:spacing w:after="0"/>
              <w:rPr>
                <w:sz w:val="20"/>
                <w:szCs w:val="20"/>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2011</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2010</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106,021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17,209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18,389</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91,047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83,747</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240,565</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208,157</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inventory levels may vary period to period as a result of our factory scheduling and the timing of contract fulfillments, which may include the buildup of finished goods for shipment.</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Consigned inventory is held at third-party locations; however, we retain title to the inventory until purchased by the third-party. Consigned inventory, consisting of raw materials and finished goods, was $14.5 million and $17.6 million at September 30, 2011 and December 31, 2010,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700" w:type="dxa"/>
            <w:vAlign w:val="bottom"/>
            <w:gridSpan w:val="2"/>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September 30, 2011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w w:val="90"/>
              </w:rPr>
              <w:t>December 31, 2010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ind w:left="440"/>
              <w:spacing w:after="0"/>
              <w:rPr>
                <w:sz w:val="20"/>
                <w:szCs w:val="20"/>
                <w:color w:val="auto"/>
              </w:rPr>
            </w:pPr>
            <w:r>
              <w:rPr>
                <w:rFonts w:ascii="Arial" w:cs="Arial" w:eastAsia="Arial" w:hAnsi="Arial"/>
                <w:sz w:val="16"/>
                <w:szCs w:val="16"/>
                <w:b w:val="1"/>
                <w:bCs w:val="1"/>
                <w:color w:val="auto"/>
                <w:w w:val="90"/>
              </w:rPr>
              <w:t>(in thousands)</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281,205</w:t>
            </w: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265,113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60"/>
              <w:spacing w:after="0"/>
              <w:rPr>
                <w:sz w:val="20"/>
                <w:szCs w:val="20"/>
                <w:color w:val="auto"/>
              </w:rPr>
            </w:pPr>
            <w:r>
              <w:rPr>
                <w:rFonts w:ascii="Arial" w:cs="Arial" w:eastAsia="Arial" w:hAnsi="Arial"/>
                <w:sz w:val="16"/>
                <w:szCs w:val="16"/>
                <w:color w:val="auto"/>
              </w:rPr>
              <w:t>Computers and purchased software</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75,657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63,077</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146,841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146,661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60"/>
              <w:spacing w:after="0"/>
              <w:rPr>
                <w:sz w:val="20"/>
                <w:szCs w:val="20"/>
                <w:color w:val="auto"/>
              </w:rPr>
            </w:pPr>
            <w:r>
              <w:rPr>
                <w:rFonts w:ascii="Arial" w:cs="Arial" w:eastAsia="Arial" w:hAnsi="Arial"/>
                <w:sz w:val="16"/>
                <w:szCs w:val="16"/>
                <w:color w:val="auto"/>
              </w:rPr>
              <w:t>Land</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32,402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35,968</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20,104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20,531</w:t>
            </w:r>
          </w:p>
        </w:tc>
        <w:tc>
          <w:tcPr>
            <w:tcW w:w="0" w:type="dxa"/>
            <w:vAlign w:val="bottom"/>
          </w:tcPr>
          <w:p>
            <w:pPr>
              <w:spacing w:after="0"/>
              <w:rPr>
                <w:sz w:val="1"/>
                <w:szCs w:val="1"/>
                <w:color w:val="auto"/>
              </w:rPr>
            </w:pPr>
          </w:p>
        </w:tc>
      </w:tr>
      <w:tr>
        <w:trPr>
          <w:trHeight w:val="21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Total cost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556,209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531,350</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(268,644)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(232,108)</w:t>
            </w:r>
          </w:p>
        </w:tc>
        <w:tc>
          <w:tcPr>
            <w:tcW w:w="0" w:type="dxa"/>
            <w:vAlign w:val="bottom"/>
          </w:tcPr>
          <w:p>
            <w:pPr>
              <w:spacing w:after="0"/>
              <w:rPr>
                <w:sz w:val="1"/>
                <w:szCs w:val="1"/>
                <w:color w:val="auto"/>
              </w:rPr>
            </w:pPr>
          </w:p>
        </w:tc>
      </w:tr>
      <w:tr>
        <w:trPr>
          <w:trHeight w:val="217"/>
        </w:trPr>
        <w:tc>
          <w:tcPr>
            <w:tcW w:w="4700" w:type="dxa"/>
            <w:vAlign w:val="bottom"/>
            <w:gridSpan w:val="2"/>
          </w:tcPr>
          <w:p>
            <w:pPr>
              <w:ind w:left="10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287,565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299,242</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3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7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gridSpan w:val="4"/>
          </w:tcPr>
          <w:p>
            <w:pPr>
              <w:jc w:val="center"/>
              <w:ind w:right="839"/>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Depreciation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16,607</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15,231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5"/>
              </w:rPr>
              <w:t>49,112</w:t>
            </w:r>
          </w:p>
        </w:tc>
        <w:tc>
          <w:tcPr>
            <w:tcW w:w="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45,725</w:t>
            </w:r>
          </w:p>
        </w:tc>
        <w:tc>
          <w:tcPr>
            <w:tcW w:w="0" w:type="dxa"/>
            <w:vAlign w:val="bottom"/>
          </w:tcPr>
          <w:p>
            <w:pPr>
              <w:spacing w:after="0"/>
              <w:rPr>
                <w:sz w:val="1"/>
                <w:szCs w:val="1"/>
                <w:color w:val="auto"/>
              </w:rPr>
            </w:pPr>
          </w:p>
        </w:tc>
      </w:tr>
      <w:tr>
        <w:trPr>
          <w:trHeight w:val="33"/>
        </w:trPr>
        <w:tc>
          <w:tcPr>
            <w:tcW w:w="128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ind w:left="80"/>
              <w:spacing w:after="0"/>
              <w:rPr>
                <w:sz w:val="20"/>
                <w:szCs w:val="20"/>
                <w:color w:val="auto"/>
              </w:rPr>
            </w:pPr>
            <w:r>
              <w:rPr>
                <w:rFonts w:ascii="Arial" w:cs="Arial" w:eastAsia="Arial" w:hAnsi="Arial"/>
                <w:sz w:val="16"/>
                <w:szCs w:val="16"/>
                <w:b w:val="1"/>
                <w:bCs w:val="1"/>
                <w:color w:val="auto"/>
              </w:rPr>
              <w:t>September 30, 2011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87"/>
              </w:rPr>
              <w:t>Gross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394,990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(303,634)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378,705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104,507</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292,479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(131,370)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161,109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282,997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172,458</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13,959</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24,256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746</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773,262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(509,039)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759,152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(467,482)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291,670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2010</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759,152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806,256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10,297</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 no longer in use written-off</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12,263</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(33,730)</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773,262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772,526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that were written-off had been fully amortized and were no longer in use. 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8"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Estimated Annual</w:t>
            </w:r>
          </w:p>
        </w:tc>
      </w:tr>
      <w:tr>
        <w:trPr>
          <w:trHeight w:val="210"/>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300" w:type="dxa"/>
            <w:vAlign w:val="bottom"/>
          </w:tcPr>
          <w:p>
            <w:pPr>
              <w:spacing w:after="0"/>
              <w:rPr>
                <w:sz w:val="18"/>
                <w:szCs w:val="18"/>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Amortization</w:t>
            </w:r>
          </w:p>
        </w:tc>
      </w:tr>
      <w:tr>
        <w:trPr>
          <w:trHeight w:val="33"/>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r>
      <w:tr>
        <w:trPr>
          <w:trHeight w:val="257"/>
        </w:trPr>
        <w:tc>
          <w:tcPr>
            <w:tcW w:w="8900" w:type="dxa"/>
            <w:vAlign w:val="bottom"/>
          </w:tcPr>
          <w:p>
            <w:pPr>
              <w:ind w:left="40"/>
              <w:spacing w:after="0"/>
              <w:rPr>
                <w:sz w:val="20"/>
                <w:szCs w:val="20"/>
                <w:color w:val="auto"/>
              </w:rPr>
            </w:pPr>
            <w:r>
              <w:rPr>
                <w:rFonts w:ascii="Arial" w:cs="Arial" w:eastAsia="Arial" w:hAnsi="Arial"/>
                <w:sz w:val="16"/>
                <w:szCs w:val="16"/>
                <w:color w:val="auto"/>
              </w:rPr>
              <w:t>2011 (amount remaining at September 30, 2011)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15,497</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2012</w:t>
            </w: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48,042</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39,582</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32,532</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26,698</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Beyond 2015</w:t>
            </w:r>
          </w:p>
        </w:tc>
        <w:tc>
          <w:tcPr>
            <w:tcW w:w="3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101,872</w:t>
            </w:r>
          </w:p>
        </w:tc>
      </w:tr>
      <w:tr>
        <w:trPr>
          <w:trHeight w:val="217"/>
        </w:trPr>
        <w:tc>
          <w:tcPr>
            <w:tcW w:w="8900" w:type="dxa"/>
            <w:vAlign w:val="bottom"/>
          </w:tcPr>
          <w:p>
            <w:pPr>
              <w:ind w:left="380"/>
              <w:spacing w:after="0"/>
              <w:rPr>
                <w:sz w:val="20"/>
                <w:szCs w:val="20"/>
                <w:color w:val="auto"/>
              </w:rPr>
            </w:pPr>
            <w:r>
              <w:rPr>
                <w:rFonts w:ascii="Arial" w:cs="Arial" w:eastAsia="Arial" w:hAnsi="Arial"/>
                <w:sz w:val="16"/>
                <w:szCs w:val="16"/>
                <w:color w:val="auto"/>
              </w:rPr>
              <w:t>Total intangible assets, net</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264,223</w:t>
            </w:r>
          </w:p>
        </w:tc>
      </w:tr>
      <w:tr>
        <w:trPr>
          <w:trHeight w:val="33"/>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8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September 30, 2011 and 2010: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Itron North</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Itron</w:t>
            </w: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0"/>
        </w:trPr>
        <w:tc>
          <w:tcPr>
            <w:tcW w:w="436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b w:val="1"/>
                <w:bCs w:val="1"/>
                <w:color w:val="auto"/>
              </w:rPr>
              <w:t>America</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5"/>
              </w:rPr>
              <w:t>International</w:t>
            </w:r>
          </w:p>
        </w:tc>
        <w:tc>
          <w:tcPr>
            <w:tcW w:w="340" w:type="dxa"/>
            <w:vAlign w:val="bottom"/>
          </w:tcPr>
          <w:p>
            <w:pPr>
              <w:spacing w:after="0"/>
              <w:rPr>
                <w:sz w:val="18"/>
                <w:szCs w:val="18"/>
                <w:color w:val="auto"/>
              </w:rPr>
            </w:pPr>
          </w:p>
        </w:tc>
        <w:tc>
          <w:tcPr>
            <w:tcW w:w="192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43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(in thousands)</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January 1, 2010</w:t>
            </w:r>
          </w:p>
        </w:tc>
        <w:tc>
          <w:tcPr>
            <w:tcW w:w="1600" w:type="dxa"/>
            <w:vAlign w:val="bottom"/>
            <w:tcBorders>
              <w:bottom w:val="single" w:sz="8" w:color="CCEEFF"/>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197,515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1,108,084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1,305,599</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6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(69,146)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(69,016)</w:t>
            </w:r>
          </w:p>
        </w:tc>
      </w:tr>
      <w:tr>
        <w:trPr>
          <w:trHeight w:val="33"/>
        </w:trPr>
        <w:tc>
          <w:tcPr>
            <w:tcW w:w="43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September 30, 2010</w:t>
            </w:r>
          </w:p>
        </w:tc>
        <w:tc>
          <w:tcPr>
            <w:tcW w:w="1600" w:type="dxa"/>
            <w:vAlign w:val="bottom"/>
            <w:tcBorders>
              <w:bottom w:val="single" w:sz="8" w:color="CCEEFF"/>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197,645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1,038,938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1,236,583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January 1, 2011</w:t>
            </w:r>
          </w:p>
        </w:tc>
        <w:tc>
          <w:tcPr>
            <w:tcW w:w="1600" w:type="dxa"/>
            <w:vAlign w:val="bottom"/>
            <w:tcBorders>
              <w:bottom w:val="single" w:sz="8" w:color="CCEEFF"/>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198,048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1,011,328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1,209,376</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Goodwill acquired</w:t>
            </w:r>
          </w:p>
        </w:tc>
        <w:tc>
          <w:tcPr>
            <w:tcW w:w="16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10,251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10,251</w:t>
            </w:r>
          </w:p>
        </w:tc>
      </w:tr>
      <w:tr>
        <w:trPr>
          <w:trHeight w:val="33"/>
        </w:trPr>
        <w:tc>
          <w:tcPr>
            <w:tcW w:w="4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w:t>
            </w:r>
          </w:p>
        </w:tc>
        <w:tc>
          <w:tcPr>
            <w:tcW w:w="1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(540,400)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(540,400)</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6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35,696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35,379</w:t>
            </w:r>
          </w:p>
        </w:tc>
      </w:tr>
      <w:tr>
        <w:trPr>
          <w:trHeight w:val="33"/>
        </w:trPr>
        <w:tc>
          <w:tcPr>
            <w:tcW w:w="43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September 30, 2011</w:t>
            </w:r>
          </w:p>
        </w:tc>
        <w:tc>
          <w:tcPr>
            <w:tcW w:w="1600" w:type="dxa"/>
            <w:vAlign w:val="bottom"/>
            <w:tcBorders>
              <w:bottom w:val="single" w:sz="8" w:color="CCEEFF"/>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197,731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516,875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714,606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considerable decline in the price of our shares of common stock at the end of September 2011, our aggregate market value was significantly lower than the aggregate carrying value of our net assets. Therefore, we performed an interim impairment test of our goodwill as of September 30, 2011, which resulted in an estimated goodwill write-down of $540.4 million in the third quarter of 2011. Pursuant to the procedures required to complete the two step goodwill impairment test, we will finalize the amount of the goodwill impairment charge during the fourth quarter of 2011, which could result in an increase or decrease to the estimated impairment charge recognized in the third quarter. The goodwill impairment charge does not affect the debt covenants under the Company's existing credit facility.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goodwill impairment was associated with two reporting units from the Itron International operating segment. The goodwill balance before and after the estimated goodwill impairment is as follows:</w:t>
      </w:r>
    </w:p>
    <w:p>
      <w:pPr>
        <w:spacing w:after="0" w:line="347"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 2011</w:t>
            </w: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339"/>
              <w:spacing w:after="0"/>
              <w:rPr>
                <w:sz w:val="20"/>
                <w:szCs w:val="20"/>
                <w:color w:val="auto"/>
              </w:rPr>
            </w:pPr>
            <w:r>
              <w:rPr>
                <w:rFonts w:ascii="Arial" w:cs="Arial" w:eastAsia="Arial" w:hAnsi="Arial"/>
                <w:sz w:val="16"/>
                <w:szCs w:val="16"/>
                <w:b w:val="1"/>
                <w:bCs w:val="1"/>
                <w:color w:val="auto"/>
                <w:w w:val="95"/>
              </w:rPr>
              <w:t>Before Estimated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b w:val="1"/>
                <w:bCs w:val="1"/>
                <w:color w:val="auto"/>
              </w:rPr>
              <w:t>After Estimated</w:t>
            </w:r>
          </w:p>
        </w:tc>
      </w:tr>
      <w:tr>
        <w:trPr>
          <w:trHeight w:val="210"/>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Reporting Unit</w:t>
            </w:r>
          </w:p>
        </w:tc>
        <w:tc>
          <w:tcPr>
            <w:tcW w:w="200" w:type="dxa"/>
            <w:vAlign w:val="bottom"/>
          </w:tcPr>
          <w:p>
            <w:pPr>
              <w:spacing w:after="0"/>
              <w:rPr>
                <w:sz w:val="18"/>
                <w:szCs w:val="18"/>
                <w:color w:val="auto"/>
              </w:rPr>
            </w:pPr>
          </w:p>
        </w:tc>
        <w:tc>
          <w:tcPr>
            <w:tcW w:w="1700" w:type="dxa"/>
            <w:vAlign w:val="bottom"/>
          </w:tcPr>
          <w:p>
            <w:pPr>
              <w:jc w:val="right"/>
              <w:ind w:right="519"/>
              <w:spacing w:after="0"/>
              <w:rPr>
                <w:sz w:val="20"/>
                <w:szCs w:val="20"/>
                <w:color w:val="auto"/>
              </w:rPr>
            </w:pPr>
            <w:r>
              <w:rPr>
                <w:rFonts w:ascii="Arial" w:cs="Arial" w:eastAsia="Arial" w:hAnsi="Arial"/>
                <w:sz w:val="16"/>
                <w:szCs w:val="16"/>
                <w:b w:val="1"/>
                <w:bCs w:val="1"/>
                <w:color w:val="auto"/>
              </w:rPr>
              <w:t>Impairment</w:t>
            </w:r>
          </w:p>
        </w:tc>
        <w:tc>
          <w:tcPr>
            <w:tcW w:w="100" w:type="dxa"/>
            <w:vAlign w:val="bottom"/>
          </w:tcPr>
          <w:p>
            <w:pPr>
              <w:spacing w:after="0"/>
              <w:rPr>
                <w:sz w:val="18"/>
                <w:szCs w:val="18"/>
                <w:color w:val="auto"/>
              </w:rPr>
            </w:pPr>
          </w:p>
        </w:tc>
        <w:tc>
          <w:tcPr>
            <w:tcW w:w="170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Estimated Impairment</w:t>
            </w:r>
          </w:p>
        </w:tc>
        <w:tc>
          <w:tcPr>
            <w:tcW w:w="320" w:type="dxa"/>
            <w:vAlign w:val="bottom"/>
          </w:tcPr>
          <w:p>
            <w:pPr>
              <w:spacing w:after="0"/>
              <w:rPr>
                <w:sz w:val="18"/>
                <w:szCs w:val="18"/>
                <w:color w:val="auto"/>
              </w:rPr>
            </w:pP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Impairment</w:t>
            </w:r>
          </w:p>
        </w:tc>
      </w:tr>
      <w:tr>
        <w:trPr>
          <w:trHeight w:val="33"/>
        </w:trPr>
        <w:tc>
          <w:tcPr>
            <w:tcW w:w="3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Itron International - Electricity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363,626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216,085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147,541</w:t>
            </w: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Itron International - Water</w:t>
            </w:r>
          </w:p>
        </w:tc>
        <w:tc>
          <w:tcPr>
            <w:tcW w:w="200" w:type="dxa"/>
            <w:vAlign w:val="bottom"/>
          </w:tcPr>
          <w:p>
            <w:pPr>
              <w:spacing w:after="0"/>
              <w:rPr>
                <w:sz w:val="20"/>
                <w:szCs w:val="20"/>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389,308</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324,315</w:t>
            </w: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64,993</w:t>
            </w:r>
          </w:p>
        </w:tc>
      </w:tr>
      <w:tr>
        <w:trPr>
          <w:trHeight w:val="33"/>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5"/>
        </w:trPr>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540,400</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Note 1: Summary of Significant Accounting Policies for a description of our reporting units and the methods used to determine the fair value of our reporting units and the amount of goodwill impairment.</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966"/>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Note 6:  Debt</w:t>
            </w: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674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86"/>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2011</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6740" w:type="dxa"/>
            <w:vAlign w:val="bottom"/>
            <w:gridSpan w:val="2"/>
          </w:tcPr>
          <w:p>
            <w:pPr>
              <w:ind w:left="520"/>
              <w:spacing w:after="0"/>
              <w:rPr>
                <w:sz w:val="20"/>
                <w:szCs w:val="20"/>
                <w:color w:val="auto"/>
              </w:rPr>
            </w:pPr>
            <w:r>
              <w:rPr>
                <w:rFonts w:ascii="Arial" w:cs="Arial" w:eastAsia="Arial" w:hAnsi="Arial"/>
                <w:sz w:val="18"/>
                <w:szCs w:val="18"/>
                <w:color w:val="auto"/>
              </w:rPr>
              <w:t>2011 credit facility</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USD denominated term loan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Multicurrency revolving line of credit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2007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USD denominated term loan</w:t>
            </w:r>
          </w:p>
        </w:tc>
        <w:tc>
          <w:tcPr>
            <w:tcW w:w="2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218,642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EUR denominated term loan</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174,031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Convertible senior subordinated notes</w:t>
            </w:r>
          </w:p>
        </w:tc>
        <w:tc>
          <w:tcPr>
            <w:tcW w:w="2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218,268</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610,941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(228,721)</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481,252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382,220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Facilities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5, 2011, we entered into an $800 million senior secured credit facility (the 2011 credit facility), which replaced the senior secured credit facility we entered into in 2007 (the 2007 credit facility). The 2011 credit facility consists of a $300 million U.S. dollar term loan (the term loan) and a multicurrency revolving line of credit (the revolver) with a principal amount of up to $500 million. Both the term loan and the revolver mature on August 8, 2016, and amounts borrowed under the revolver are classified as long-term but may be repaid and reborrowed prior to the revolver's maturity. The 2011 credit facility permits us and certain of our foreign subsidiaries to borrow in U.S. dollars, euros, British pounds, or, with lender approval, other currencies readily convertible into U.S. dollars. All obligations under the 2011 credit facility are guaranteed by Itron, Inc. and any material U.S. domestic subsidiaries and secured by a pledge of substantially all of the assets of Itron, Inc. and any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2011 credit facility, are guaranteed by the foreign subsidiary and by its direct and indirect foreign parents. The 2011 credit facility includes covenants, which contain certain financial ratios and place certain restrictions on the incurrence of debt and investments. We were in compliance with the debt covenants under the 2011 credit facility at September 30, 2011.</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Scheduled principal repayments for the term loan are due quarterly in the amounts of $3.8 million from September 2011 through June 2013, $5.6 million from September 2013 through June 2014, $7.5 million from September 2014 through June 2016, and the remainder due at maturity on August 8, 2016.</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2011 credit facility permits us to borrow at various periodic rates for the term loan and the revolver based upon the London Interbank Offered Rate (LIBOR), plus a specified margin, and for the revolver we may, in lieu of LIBOR, select the U.S. prime rate, plus a specified margin. The additional margins are specified by our total leverage ratio (as defined in the credit agreement). At September 30, 2011, the interest rate for the term loan and $190 million of the revolver was 1.73% (LIBOR plus a margin of 1.50%), and the interest rate for the remaining balance of the revolver ($10 million) was 3.75% (U.S. prime rate plus a margin of 0.50%).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0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0"/>
        </w:trPr>
        <w:tc>
          <w:tcPr>
            <w:tcW w:w="6040" w:type="dxa"/>
            <w:vAlign w:val="bottom"/>
            <w:gridSpan w:val="3"/>
          </w:tcPr>
          <w:p>
            <w:pPr>
              <w:spacing w:after="0"/>
              <w:rPr>
                <w:sz w:val="20"/>
                <w:szCs w:val="20"/>
                <w:color w:val="auto"/>
              </w:rPr>
            </w:pPr>
            <w:r>
              <w:rPr>
                <w:rFonts w:ascii="Arial" w:cs="Arial" w:eastAsia="Arial" w:hAnsi="Arial"/>
                <w:sz w:val="18"/>
                <w:szCs w:val="18"/>
                <w:color w:val="auto"/>
              </w:rPr>
              <w:t>Total credit facility repayments were as follows: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0"/>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8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8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5"/>
          </w:tcPr>
          <w:p>
            <w:pPr>
              <w:ind w:left="30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2011 credit facility term loan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spacing w:after="0"/>
              <w:rPr>
                <w:sz w:val="21"/>
                <w:szCs w:val="21"/>
                <w:color w:val="auto"/>
              </w:rPr>
            </w:pPr>
          </w:p>
        </w:tc>
        <w:tc>
          <w:tcPr>
            <w:tcW w:w="4920" w:type="dxa"/>
            <w:vAlign w:val="bottom"/>
            <w:gridSpan w:val="2"/>
          </w:tcPr>
          <w:p>
            <w:pPr>
              <w:ind w:left="40"/>
              <w:spacing w:after="0"/>
              <w:rPr>
                <w:sz w:val="20"/>
                <w:szCs w:val="20"/>
                <w:color w:val="auto"/>
              </w:rPr>
            </w:pPr>
            <w:r>
              <w:rPr>
                <w:rFonts w:ascii="Arial" w:cs="Arial" w:eastAsia="Arial" w:hAnsi="Arial"/>
                <w:sz w:val="18"/>
                <w:szCs w:val="18"/>
                <w:color w:val="auto"/>
              </w:rPr>
              <w:t>2007 credit facility term loans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106,524</w:t>
            </w:r>
          </w:p>
        </w:tc>
      </w:tr>
      <w:tr>
        <w:trPr>
          <w:trHeight w:val="27"/>
        </w:trPr>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1120" w:type="dxa"/>
            <w:vAlign w:val="bottom"/>
          </w:tcPr>
          <w:p>
            <w:pPr>
              <w:spacing w:after="0"/>
              <w:rPr>
                <w:sz w:val="23"/>
                <w:szCs w:val="23"/>
                <w:color w:val="auto"/>
              </w:rPr>
            </w:pPr>
          </w:p>
        </w:tc>
        <w:tc>
          <w:tcPr>
            <w:tcW w:w="49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2007 credit facility revolving line of credit</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Total credit facility repayments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525,070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580,700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17145</wp:posOffset>
            </wp:positionV>
            <wp:extent cx="27101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See repayment of the convertible senior subordinated notes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-145415</wp:posOffset>
            </wp:positionV>
            <wp:extent cx="2710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2011, $200 million was outstanding under the 2011 credit facility revolver, and $35.9 million was utilized by outstanding standby letters of credit, resulting in $264.1 million available for additional borrowings.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repayment of the 2007 credit facility, unamortized prepaid debt fees of $2.4 million were written-off to interest expense. Prepaid debt fees of approximately $6.2 million were capitalized associated with the 2011 credit facility. Unamortized prepaid debt fees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September 30, 2011</w:t>
            </w:r>
          </w:p>
        </w:tc>
        <w:tc>
          <w:tcPr>
            <w:tcW w:w="3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2010</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3"/>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3"/>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prepaid debt fees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4,483</w:t>
            </w:r>
          </w:p>
        </w:tc>
      </w:tr>
      <w:tr>
        <w:trPr>
          <w:trHeight w:val="27"/>
        </w:trPr>
        <w:tc>
          <w:tcPr>
            <w:tcW w:w="6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 2011, in accordance with the terms of the convertible senior subordinated notes (convertible notes), at the option of the holders, we repurchased $184.8 million of the convertible notes at their principal amount plus accrued and unpaid interest. On September 30, 2011, we redeemed, at our option, the remaining $38.8 million of the convertible notes, plus accrued and unpaid interest. The convertible notes were repurchased and redeemed using $180 million of borrowings under our credit facilities and $44 million of cash on hand.</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convertible notes were separated between the liability and equity components using our estimated non-convertible debt borrowing rate at the time our convertible notes were issued, which was determined to be 7.38%. This rate also reflected the effective interest rate on the liability component for all periods during which the convertible notes were outstanding. The equity component is retained as a permanent component of our shareholders' equity, and no gain or loss was recognized upon derecognition of the convertible notes as the fair value of the consideration transferred to the holders equaled the fair value of the liability component.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discount on the liability component was fully amortized at June 30, 2011. The carrying amounts of the debt and equity components were as follows:</w:t>
      </w:r>
    </w:p>
    <w:p>
      <w:pPr>
        <w:spacing w:after="0" w:line="30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2011</w:t>
            </w:r>
          </w:p>
        </w:tc>
        <w:tc>
          <w:tcPr>
            <w:tcW w:w="16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 2010</w:t>
            </w:r>
          </w:p>
        </w:tc>
      </w:tr>
      <w:tr>
        <w:trPr>
          <w:trHeight w:val="27"/>
        </w:trPr>
        <w:tc>
          <w:tcPr>
            <w:tcW w:w="3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4"/>
          </w:tcPr>
          <w:p>
            <w:pPr>
              <w:jc w:val="right"/>
              <w:ind w:right="12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3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Face value of convertible notes</w:t>
            </w:r>
          </w:p>
        </w:tc>
        <w:tc>
          <w:tcPr>
            <w:tcW w:w="1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223,604</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(5,336)</w:t>
            </w:r>
          </w:p>
        </w:tc>
      </w:tr>
      <w:tr>
        <w:trPr>
          <w:trHeight w:val="27"/>
        </w:trPr>
        <w:tc>
          <w:tcPr>
            <w:tcW w:w="37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amount of debt component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218,268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w:t>
            </w:r>
          </w:p>
        </w:tc>
        <w:tc>
          <w:tcPr>
            <w:tcW w:w="1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31,831</w:t>
            </w:r>
          </w:p>
        </w:tc>
      </w:tr>
      <w:tr>
        <w:trPr>
          <w:trHeight w:val="675"/>
        </w:trPr>
        <w:tc>
          <w:tcPr>
            <w:tcW w:w="3700" w:type="dxa"/>
            <w:vAlign w:val="bottom"/>
          </w:tcPr>
          <w:p>
            <w:pPr>
              <w:spacing w:after="0"/>
              <w:rPr>
                <w:sz w:val="24"/>
                <w:szCs w:val="24"/>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relating to both the contractual interest coupon and amortization of the discount on the liability component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60" w:type="dxa"/>
            <w:vAlign w:val="bottom"/>
          </w:tcPr>
          <w:p>
            <w:pPr>
              <w:spacing w:after="0"/>
              <w:rPr>
                <w:sz w:val="20"/>
                <w:szCs w:val="20"/>
                <w:color w:val="auto"/>
              </w:rPr>
            </w:pPr>
          </w:p>
        </w:tc>
        <w:tc>
          <w:tcPr>
            <w:tcW w:w="27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48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7,505</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on convertible notes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12, and Note 13 for additional disclosures on our derivative instruments.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fair values of our derivative instruments are determined using the income approach and significant other observable inputs (also known as “Level 2”), as defined by FASB Accounting Standards Codification (ASC) 820-10-20,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have used observable market inputs based on the type of derivative and the nature of the underlying instrument. The key inputs used at September 30, 2011 included foreign exchange spot and forward rates, both of which are available in an active market. We have utilized the mid-market pricing convention for these inputs at September 30, 2011.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our derivative instruments determined using the fair value measurement of significant other observable inputs (Level 2) at September 30, 2011 and December 31, 2010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580" w:type="dxa"/>
            <w:vAlign w:val="bottom"/>
          </w:tcPr>
          <w:p>
            <w:pPr>
              <w:spacing w:after="0"/>
              <w:rPr>
                <w:sz w:val="20"/>
                <w:szCs w:val="20"/>
                <w:color w:val="auto"/>
              </w:rPr>
            </w:pPr>
          </w:p>
        </w:tc>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5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Asset Derivatives</w:t>
            </w: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8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0"/>
        </w:trPr>
        <w:tc>
          <w:tcPr>
            <w:tcW w:w="4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8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Derivatives designated as hedging instruments under ASC 815-20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975</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 denominated term loan *</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debt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Euro denominated term loan *</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169,629</w:t>
            </w:r>
          </w:p>
        </w:tc>
      </w:tr>
      <w:tr>
        <w:trPr>
          <w:trHeight w:val="27"/>
        </w:trPr>
        <w:tc>
          <w:tcPr>
            <w:tcW w:w="80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Total derivatives designated as hedging instruments under ASC 815-20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180,851</w:t>
            </w:r>
          </w:p>
        </w:tc>
      </w:tr>
      <w:tr>
        <w:trPr>
          <w:trHeight w:val="291"/>
        </w:trPr>
        <w:tc>
          <w:tcPr>
            <w:tcW w:w="4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45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1"/>
        </w:trPr>
        <w:tc>
          <w:tcPr>
            <w:tcW w:w="458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b w:val="1"/>
                <w:bCs w:val="1"/>
                <w:color w:val="auto"/>
              </w:rPr>
              <w:t>Total liability derivatives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181,308</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64" w:lineRule="auto"/>
        <w:tabs>
          <w:tab w:leader="none" w:pos="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euro denominated term loan was a nonderivative financial instrument designated as a hedge of our net investment in international operations. The loan was repaid on August 8, 2011. The euro denominated term loan was recorded at its carrying value in the Consolidated Balance Sheets and was not recorded at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80"/>
        </w:trPr>
        <w:tc>
          <w:tcPr>
            <w:tcW w:w="8120" w:type="dxa"/>
            <w:vAlign w:val="bottom"/>
            <w:gridSpan w:val="2"/>
          </w:tcPr>
          <w:p>
            <w:pPr>
              <w:spacing w:after="0"/>
              <w:rPr>
                <w:sz w:val="20"/>
                <w:szCs w:val="20"/>
                <w:color w:val="auto"/>
              </w:rPr>
            </w:pPr>
            <w:r>
              <w:rPr>
                <w:rFonts w:ascii="Arial" w:cs="Arial" w:eastAsia="Arial" w:hAnsi="Arial"/>
                <w:sz w:val="18"/>
                <w:szCs w:val="18"/>
                <w:color w:val="auto"/>
              </w:rPr>
              <w:t>hedging instruments), net of tax, was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unrealized loss on hedging instruments at January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(30,300)</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Unrealized gain (loss) on derivative instruments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 (loss) on a nonderivative net investment hedging instrument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12,203</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Realized (gains) losses reclassified into net income (loss)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5,874</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unrealized loss on hedging instruments at September 30,</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a result of our floating rate debt, we are exposed to variability in our cash flows from changes in the applicable interest rate index. Historically, we have entered into interest rate swaps to achieve a fixed rate of interest on the hedged portion of the debt in order to reduce variability in cash flows.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through December 31, 2012. The objective of this swap was to protect us from increases in the EURIBOR base borrowing rates. The swaps did not protect us from changes to the applicable margin under our credit agreement. Throughout the duration of the hedging relationship, this cash flow hedge was expected to be highly effective in achieving offsetting cash flows attributable to the hedged risk. Consequently, effective changes in the fair value of the interest rate swap were recorded as a component of OCI and were recognized in earnings when the hedged item affected earnings. The amounts paid or received on the hedge were recognized as adjustments to interest expense. The notional amount of the swap was $147.7 million (€112.4 million) as of December 31, 2010. In August 2011, we repaid our 2007 credit facility, which included the euro-denominated term loan. In conjunction with the debt repayment, we paid $2.9 million to terminate the related interest rate swap on August 4, 2011, and the accumulated loss in OCI was reclassified to interest expense.</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two one-year pay-fixed receive one-month LIBOR interest rate swaps, which each converted $100 million of our U.S. dollar term loan from a floating LIBOR interest rate to fixed interest rates of 2.11% and 2.15%, respectively, expired on June 30, 2011. These swaps did not include the additional interest rate margin applicable to our term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three and nine months ended September 30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8"/>
              </w:rPr>
              <w:t>Amount of Gain (Loss)</w:t>
            </w:r>
          </w:p>
        </w:tc>
        <w:tc>
          <w:tcPr>
            <w:tcW w:w="120" w:type="dxa"/>
            <w:vAlign w:val="bottom"/>
          </w:tcPr>
          <w:p>
            <w:pPr>
              <w:spacing w:after="0"/>
              <w:rPr>
                <w:sz w:val="12"/>
                <w:szCs w:val="12"/>
                <w:color w:val="auto"/>
              </w:rPr>
            </w:pPr>
          </w:p>
        </w:tc>
        <w:tc>
          <w:tcPr>
            <w:tcW w:w="2960" w:type="dxa"/>
            <w:vAlign w:val="bottom"/>
            <w:gridSpan w:val="5"/>
          </w:tcPr>
          <w:p>
            <w:pPr>
              <w:jc w:val="right"/>
              <w:spacing w:after="0"/>
              <w:rPr>
                <w:sz w:val="20"/>
                <w:szCs w:val="20"/>
                <w:color w:val="auto"/>
              </w:rPr>
            </w:pPr>
            <w:r>
              <w:rPr>
                <w:rFonts w:ascii="Arial" w:cs="Arial" w:eastAsia="Arial" w:hAnsi="Arial"/>
                <w:sz w:val="13"/>
                <w:szCs w:val="13"/>
                <w:b w:val="1"/>
                <w:bCs w:val="1"/>
                <w:color w:val="auto"/>
              </w:rPr>
              <w:t>Gain (Loss) Reclassified from Accumulated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tcPr>
          <w:p>
            <w:pPr>
              <w:jc w:val="right"/>
              <w:ind w:right="497"/>
              <w:spacing w:after="0"/>
              <w:rPr>
                <w:sz w:val="20"/>
                <w:szCs w:val="20"/>
                <w:color w:val="auto"/>
              </w:rPr>
            </w:pPr>
            <w:r>
              <w:rPr>
                <w:rFonts w:ascii="Arial" w:cs="Arial" w:eastAsia="Arial" w:hAnsi="Arial"/>
                <w:sz w:val="13"/>
                <w:szCs w:val="13"/>
                <w:b w:val="1"/>
                <w:bCs w:val="1"/>
                <w:color w:val="auto"/>
              </w:rPr>
              <w:t>Gain (Loss) Recognized in Income on</w:t>
            </w:r>
          </w:p>
        </w:tc>
        <w:tc>
          <w:tcPr>
            <w:tcW w:w="0" w:type="dxa"/>
            <w:vAlign w:val="bottom"/>
          </w:tcPr>
          <w:p>
            <w:pPr>
              <w:spacing w:after="0"/>
              <w:rPr>
                <w:sz w:val="1"/>
                <w:szCs w:val="1"/>
                <w:color w:val="auto"/>
              </w:rPr>
            </w:pPr>
          </w:p>
        </w:tc>
      </w:tr>
      <w:tr>
        <w:trPr>
          <w:trHeight w:val="144"/>
        </w:trPr>
        <w:tc>
          <w:tcPr>
            <w:tcW w:w="25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20" w:type="dxa"/>
            <w:vAlign w:val="bottom"/>
          </w:tcPr>
          <w:p>
            <w:pPr>
              <w:spacing w:after="0"/>
              <w:rPr>
                <w:sz w:val="12"/>
                <w:szCs w:val="12"/>
                <w:color w:val="auto"/>
              </w:rPr>
            </w:pPr>
          </w:p>
        </w:tc>
        <w:tc>
          <w:tcPr>
            <w:tcW w:w="1760" w:type="dxa"/>
            <w:vAlign w:val="bottom"/>
            <w:gridSpan w:val="3"/>
          </w:tcPr>
          <w:p>
            <w:pPr>
              <w:jc w:val="center"/>
              <w:ind w:right="137"/>
              <w:spacing w:after="0" w:line="144" w:lineRule="exact"/>
              <w:rPr>
                <w:sz w:val="20"/>
                <w:szCs w:val="20"/>
                <w:color w:val="auto"/>
              </w:rPr>
            </w:pPr>
            <w:r>
              <w:rPr>
                <w:rFonts w:ascii="Arial" w:cs="Arial" w:eastAsia="Arial" w:hAnsi="Arial"/>
                <w:sz w:val="13"/>
                <w:szCs w:val="13"/>
                <w:b w:val="1"/>
                <w:bCs w:val="1"/>
                <w:color w:val="auto"/>
                <w:w w:val="89"/>
              </w:rPr>
              <w:t>Recognized in OCI on</w:t>
            </w:r>
          </w:p>
        </w:tc>
        <w:tc>
          <w:tcPr>
            <w:tcW w:w="120" w:type="dxa"/>
            <w:vAlign w:val="bottom"/>
          </w:tcPr>
          <w:p>
            <w:pPr>
              <w:spacing w:after="0"/>
              <w:rPr>
                <w:sz w:val="12"/>
                <w:szCs w:val="12"/>
                <w:color w:val="auto"/>
              </w:rPr>
            </w:pPr>
          </w:p>
        </w:tc>
        <w:tc>
          <w:tcPr>
            <w:tcW w:w="2960" w:type="dxa"/>
            <w:vAlign w:val="bottom"/>
            <w:gridSpan w:val="5"/>
          </w:tcPr>
          <w:p>
            <w:pPr>
              <w:jc w:val="right"/>
              <w:ind w:right="157"/>
              <w:spacing w:after="0" w:line="144" w:lineRule="exact"/>
              <w:rPr>
                <w:sz w:val="20"/>
                <w:szCs w:val="20"/>
                <w:color w:val="auto"/>
              </w:rPr>
            </w:pPr>
            <w:r>
              <w:rPr>
                <w:rFonts w:ascii="Arial" w:cs="Arial" w:eastAsia="Arial" w:hAnsi="Arial"/>
                <w:sz w:val="13"/>
                <w:szCs w:val="13"/>
                <w:b w:val="1"/>
                <w:bCs w:val="1"/>
                <w:color w:val="auto"/>
              </w:rPr>
              <w:t>OCI into Income (Effective Portion)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5"/>
          </w:tcPr>
          <w:p>
            <w:pPr>
              <w:jc w:val="right"/>
              <w:ind w:right="17"/>
              <w:spacing w:after="0" w:line="144" w:lineRule="exact"/>
              <w:rPr>
                <w:sz w:val="20"/>
                <w:szCs w:val="20"/>
                <w:color w:val="auto"/>
              </w:rPr>
            </w:pPr>
            <w:r>
              <w:rPr>
                <w:rFonts w:ascii="Arial" w:cs="Arial" w:eastAsia="Arial" w:hAnsi="Arial"/>
                <w:sz w:val="13"/>
                <w:szCs w:val="13"/>
                <w:b w:val="1"/>
                <w:bCs w:val="1"/>
                <w:color w:val="auto"/>
              </w:rPr>
              <w:t>Derivative (Ineffective Portion)</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5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Cash Flow</w:t>
            </w:r>
          </w:p>
        </w:tc>
        <w:tc>
          <w:tcPr>
            <w:tcW w:w="220" w:type="dxa"/>
            <w:vAlign w:val="bottom"/>
          </w:tcPr>
          <w:p>
            <w:pPr>
              <w:spacing w:after="0"/>
              <w:rPr>
                <w:sz w:val="2"/>
                <w:szCs w:val="2"/>
                <w:color w:val="auto"/>
              </w:rPr>
            </w:pPr>
          </w:p>
        </w:tc>
        <w:tc>
          <w:tcPr>
            <w:tcW w:w="1760" w:type="dxa"/>
            <w:vAlign w:val="bottom"/>
            <w:gridSpan w:val="3"/>
            <w:vMerge w:val="restart"/>
          </w:tcPr>
          <w:p>
            <w:pPr>
              <w:jc w:val="center"/>
              <w:ind w:right="157"/>
              <w:spacing w:after="0" w:line="135" w:lineRule="exact"/>
              <w:rPr>
                <w:sz w:val="20"/>
                <w:szCs w:val="20"/>
                <w:color w:val="auto"/>
              </w:rPr>
            </w:pPr>
            <w:r>
              <w:rPr>
                <w:rFonts w:ascii="Arial" w:cs="Arial" w:eastAsia="Arial" w:hAnsi="Arial"/>
                <w:sz w:val="13"/>
                <w:szCs w:val="13"/>
                <w:b w:val="1"/>
                <w:bCs w:val="1"/>
                <w:color w:val="auto"/>
                <w:w w:val="91"/>
              </w:rPr>
              <w:t>Derivative (Effective</w:t>
            </w: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5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Hedging Relationships</w:t>
            </w:r>
          </w:p>
        </w:tc>
        <w:tc>
          <w:tcPr>
            <w:tcW w:w="220" w:type="dxa"/>
            <w:vAlign w:val="bottom"/>
          </w:tcPr>
          <w:p>
            <w:pPr>
              <w:spacing w:after="0"/>
              <w:rPr>
                <w:sz w:val="15"/>
                <w:szCs w:val="15"/>
                <w:color w:val="auto"/>
              </w:rPr>
            </w:pPr>
          </w:p>
        </w:tc>
        <w:tc>
          <w:tcPr>
            <w:tcW w:w="116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88"/>
              </w:rPr>
              <w:t>Portion)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500"/>
              <w:spacing w:after="0"/>
              <w:rPr>
                <w:sz w:val="20"/>
                <w:szCs w:val="20"/>
                <w:color w:val="auto"/>
              </w:rPr>
            </w:pPr>
            <w:r>
              <w:rPr>
                <w:rFonts w:ascii="Arial" w:cs="Arial" w:eastAsia="Arial" w:hAnsi="Arial"/>
                <w:sz w:val="13"/>
                <w:szCs w:val="13"/>
                <w:b w:val="1"/>
                <w:bCs w:val="1"/>
                <w:color w:val="auto"/>
              </w:rPr>
              <w:t>Location</w:t>
            </w:r>
          </w:p>
        </w:tc>
        <w:tc>
          <w:tcPr>
            <w:tcW w:w="220" w:type="dxa"/>
            <w:vAlign w:val="bottom"/>
          </w:tcPr>
          <w:p>
            <w:pPr>
              <w:spacing w:after="0"/>
              <w:rPr>
                <w:sz w:val="15"/>
                <w:szCs w:val="15"/>
                <w:color w:val="auto"/>
              </w:rPr>
            </w:pPr>
          </w:p>
        </w:tc>
        <w:tc>
          <w:tcPr>
            <w:tcW w:w="114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340"/>
              <w:spacing w:after="0"/>
              <w:rPr>
                <w:sz w:val="20"/>
                <w:szCs w:val="20"/>
                <w:color w:val="auto"/>
              </w:rPr>
            </w:pPr>
            <w:r>
              <w:rPr>
                <w:rFonts w:ascii="Arial" w:cs="Arial" w:eastAsia="Arial" w:hAnsi="Arial"/>
                <w:sz w:val="13"/>
                <w:szCs w:val="13"/>
                <w:b w:val="1"/>
                <w:bCs w:val="1"/>
                <w:color w:val="auto"/>
              </w:rPr>
              <w:t>Location</w:t>
            </w:r>
          </w:p>
        </w:tc>
        <w:tc>
          <w:tcPr>
            <w:tcW w:w="220" w:type="dxa"/>
            <w:vAlign w:val="bottom"/>
          </w:tcPr>
          <w:p>
            <w:pPr>
              <w:spacing w:after="0"/>
              <w:rPr>
                <w:sz w:val="15"/>
                <w:szCs w:val="15"/>
                <w:color w:val="auto"/>
              </w:rPr>
            </w:pPr>
          </w:p>
        </w:tc>
        <w:tc>
          <w:tcPr>
            <w:tcW w:w="10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2011</w:t>
            </w: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2010</w:t>
            </w:r>
          </w:p>
        </w:tc>
        <w:tc>
          <w:tcPr>
            <w:tcW w:w="1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2011</w:t>
            </w:r>
          </w:p>
        </w:tc>
        <w:tc>
          <w:tcPr>
            <w:tcW w:w="4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2010</w:t>
            </w: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2011</w:t>
            </w: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84"/>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89"/>
        </w:trPr>
        <w:tc>
          <w:tcPr>
            <w:tcW w:w="2540" w:type="dxa"/>
            <w:vAlign w:val="bottom"/>
            <w:gridSpan w:val="2"/>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277</w:t>
            </w:r>
          </w:p>
        </w:tc>
        <w:tc>
          <w:tcPr>
            <w:tcW w:w="4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(603)</w:t>
            </w:r>
          </w:p>
        </w:tc>
        <w:tc>
          <w:tcPr>
            <w:tcW w:w="12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ind w:left="640"/>
              <w:spacing w:after="0"/>
              <w:rPr>
                <w:sz w:val="20"/>
                <w:szCs w:val="20"/>
                <w:color w:val="auto"/>
              </w:rPr>
            </w:pPr>
            <w:r>
              <w:rPr>
                <w:rFonts w:ascii="Arial" w:cs="Arial" w:eastAsia="Arial" w:hAnsi="Arial"/>
                <w:sz w:val="13"/>
                <w:szCs w:val="13"/>
                <w:color w:val="auto"/>
                <w:w w:val="97"/>
              </w:rPr>
              <w:t>Interest expense</w:t>
            </w:r>
          </w:p>
        </w:tc>
        <w:tc>
          <w:tcPr>
            <w:tcW w:w="2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(3,083)</w:t>
            </w:r>
          </w:p>
        </w:tc>
        <w:tc>
          <w:tcPr>
            <w:tcW w:w="40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(2,715)</w:t>
            </w:r>
          </w:p>
        </w:tc>
        <w:tc>
          <w:tcPr>
            <w:tcW w:w="1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300"/>
              <w:spacing w:after="0"/>
              <w:rPr>
                <w:sz w:val="20"/>
                <w:szCs w:val="20"/>
                <w:color w:val="auto"/>
              </w:rPr>
            </w:pPr>
            <w:r>
              <w:rPr>
                <w:rFonts w:ascii="Arial" w:cs="Arial" w:eastAsia="Arial" w:hAnsi="Arial"/>
                <w:sz w:val="13"/>
                <w:szCs w:val="13"/>
                <w:color w:val="auto"/>
                <w:w w:val="95"/>
              </w:rPr>
              <w:t>Interest expense</w:t>
            </w:r>
          </w:p>
        </w:tc>
        <w:tc>
          <w:tcPr>
            <w:tcW w:w="2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(121)</w:t>
            </w:r>
          </w:p>
        </w:tc>
        <w:tc>
          <w:tcPr>
            <w:tcW w:w="3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540" w:type="dxa"/>
            <w:vAlign w:val="bottom"/>
            <w:gridSpan w:val="2"/>
          </w:tcPr>
          <w:p>
            <w:pPr>
              <w:ind w:left="360"/>
              <w:spacing w:after="0"/>
              <w:rPr>
                <w:sz w:val="20"/>
                <w:szCs w:val="20"/>
                <w:color w:val="auto"/>
              </w:rPr>
            </w:pPr>
            <w:r>
              <w:rPr>
                <w:rFonts w:ascii="Arial" w:cs="Arial" w:eastAsia="Arial" w:hAnsi="Arial"/>
                <w:sz w:val="13"/>
                <w:szCs w:val="13"/>
                <w:color w:val="auto"/>
              </w:rPr>
              <w:t>Interest rate swap contracts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(4,200)</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(4,725)</w:t>
            </w:r>
          </w:p>
        </w:tc>
        <w:tc>
          <w:tcPr>
            <w:tcW w:w="120" w:type="dxa"/>
            <w:vAlign w:val="bottom"/>
          </w:tcPr>
          <w:p>
            <w:pPr>
              <w:spacing w:after="0"/>
              <w:rPr>
                <w:sz w:val="22"/>
                <w:szCs w:val="22"/>
                <w:color w:val="auto"/>
              </w:rPr>
            </w:pPr>
          </w:p>
        </w:tc>
        <w:tc>
          <w:tcPr>
            <w:tcW w:w="1600" w:type="dxa"/>
            <w:vAlign w:val="bottom"/>
            <w:gridSpan w:val="2"/>
          </w:tcPr>
          <w:p>
            <w:pPr>
              <w:ind w:left="640"/>
              <w:spacing w:after="0"/>
              <w:rPr>
                <w:sz w:val="20"/>
                <w:szCs w:val="20"/>
                <w:color w:val="auto"/>
              </w:rPr>
            </w:pPr>
            <w:r>
              <w:rPr>
                <w:rFonts w:ascii="Arial" w:cs="Arial" w:eastAsia="Arial" w:hAnsi="Arial"/>
                <w:sz w:val="13"/>
                <w:szCs w:val="13"/>
                <w:color w:val="auto"/>
                <w:w w:val="97"/>
              </w:rPr>
              <w:t>Interest expense</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(7,254)</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(9,525)</w:t>
            </w:r>
          </w:p>
        </w:tc>
        <w:tc>
          <w:tcPr>
            <w:tcW w:w="100" w:type="dxa"/>
            <w:vAlign w:val="bottom"/>
          </w:tcPr>
          <w:p>
            <w:pPr>
              <w:spacing w:after="0"/>
              <w:rPr>
                <w:sz w:val="22"/>
                <w:szCs w:val="22"/>
                <w:color w:val="auto"/>
              </w:rPr>
            </w:pP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w w:val="95"/>
              </w:rPr>
              <w:t>Interest expense</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(201)</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exposed to foreign exchange risk through our international subsidiaries. As a result of our acquisition of an international company in 2007, we entered into a euro denominated term loan, which exposed us to fluctuations in the euro foreign exchange rate. Therefore, we designated this foreign currency denominated term loan as a hedge of our net investment in international operations. The non-functional currency term loan was revalued into U.S. dollars at each balance sheet date, and the changes in value associated with currency fluctuations were recorded as adjustments to long-term debt with offsetting gains and losses recorded in OCI. The notional amount of the term loan was $174.0 million (€132.4 million) as of December 31, 2010. The loan was repaid in full on August 8, 2011 as part of our repayment of the 2007 credit facility. The net derivative loss will remain in accumulated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8"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OCI until such time when earnings are impacted by a sale or liquidation of the associated foreign operation.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before tax and net of tax effects of our net investment hedge nonderivative financial instrument on OCI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are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Nonderivative Financial Instruments in ASC 815-20</w:t>
            </w:r>
          </w:p>
        </w:tc>
        <w:tc>
          <w:tcPr>
            <w:tcW w:w="980" w:type="dxa"/>
            <w:vAlign w:val="bottom"/>
          </w:tcPr>
          <w:p>
            <w:pPr>
              <w:spacing w:after="0"/>
              <w:rPr>
                <w:sz w:val="17"/>
                <w:szCs w:val="17"/>
                <w:color w:val="auto"/>
              </w:rPr>
            </w:pPr>
          </w:p>
        </w:tc>
        <w:tc>
          <w:tcPr>
            <w:tcW w:w="4340" w:type="dxa"/>
            <w:vAlign w:val="bottom"/>
            <w:gridSpan w:val="7"/>
          </w:tcPr>
          <w:p>
            <w:pPr>
              <w:jc w:val="center"/>
              <w:spacing w:after="0"/>
              <w:rPr>
                <w:sz w:val="20"/>
                <w:szCs w:val="20"/>
                <w:color w:val="auto"/>
              </w:rPr>
            </w:pPr>
            <w:r>
              <w:rPr>
                <w:rFonts w:ascii="Arial" w:cs="Arial" w:eastAsia="Arial" w:hAnsi="Arial"/>
                <w:sz w:val="16"/>
                <w:szCs w:val="16"/>
                <w:b w:val="1"/>
                <w:bCs w:val="1"/>
                <w:color w:val="auto"/>
                <w:w w:val="91"/>
              </w:rPr>
              <w:t>Euro Denominated Term Loan Designated as a Hedge</w:t>
            </w:r>
          </w:p>
        </w:tc>
        <w:tc>
          <w:tcPr>
            <w:tcW w:w="940" w:type="dxa"/>
            <w:vAlign w:val="bottom"/>
          </w:tcPr>
          <w:p>
            <w:pPr>
              <w:spacing w:after="0"/>
              <w:rPr>
                <w:sz w:val="17"/>
                <w:szCs w:val="17"/>
                <w:color w:val="auto"/>
              </w:rPr>
            </w:pPr>
          </w:p>
        </w:tc>
      </w:tr>
      <w:tr>
        <w:trPr>
          <w:trHeight w:val="210"/>
        </w:trPr>
        <w:tc>
          <w:tcPr>
            <w:tcW w:w="5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Net Investment Hedging Relationships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gridSpan w:val="6"/>
          </w:tcPr>
          <w:p>
            <w:pPr>
              <w:jc w:val="center"/>
              <w:ind w:right="339"/>
              <w:spacing w:after="0"/>
              <w:rPr>
                <w:sz w:val="20"/>
                <w:szCs w:val="20"/>
                <w:color w:val="auto"/>
              </w:rPr>
            </w:pPr>
            <w:r>
              <w:rPr>
                <w:rFonts w:ascii="Arial" w:cs="Arial" w:eastAsia="Arial" w:hAnsi="Arial"/>
                <w:sz w:val="16"/>
                <w:szCs w:val="16"/>
                <w:b w:val="1"/>
                <w:bCs w:val="1"/>
                <w:color w:val="auto"/>
                <w:w w:val="93"/>
              </w:rPr>
              <w:t>of Our Net Investment in International Operations</w:t>
            </w:r>
          </w:p>
        </w:tc>
        <w:tc>
          <w:tcPr>
            <w:tcW w:w="940" w:type="dxa"/>
            <w:vAlign w:val="bottom"/>
          </w:tcPr>
          <w:p>
            <w:pPr>
              <w:spacing w:after="0"/>
              <w:rPr>
                <w:sz w:val="18"/>
                <w:szCs w:val="18"/>
                <w:color w:val="auto"/>
              </w:rPr>
            </w:pP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254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2011</w:t>
            </w:r>
          </w:p>
        </w:tc>
        <w:tc>
          <w:tcPr>
            <w:tcW w:w="58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auto"/>
                <w:w w:val="90"/>
              </w:rPr>
              <w:t>(in thousands)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3"/>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Gain (loss) recognized in OCI on derivative</w:t>
            </w: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6"/>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(Effective Portion)</w:t>
            </w: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Before tax</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7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(14,278)</w:t>
            </w:r>
          </w:p>
        </w:tc>
        <w:tc>
          <w:tcPr>
            <w:tcW w:w="5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19,795</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Net of tax</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408</w:t>
            </w:r>
          </w:p>
        </w:tc>
        <w:tc>
          <w:tcPr>
            <w:tcW w:w="7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(12,149)</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(8,854)</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12,203</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421 contracts were entered into during the nine months ended September 30, 2011), not designated for hedge accounting, with the intent to reduce earnings volatility associated with certain of these balances. The notional amounts of the contracts ranged from $50,000 to $72 million, offsetting our exposures from the euro, British pound, Canadian dollar, Czech koruna, Hungarian forint, and various other currencies.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effect of our foreign exchange forward derivative instruments on the Consolidated Statements of Operations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20" w:type="dxa"/>
            <w:vAlign w:val="bottom"/>
            <w:gridSpan w:val="7"/>
          </w:tcPr>
          <w:p>
            <w:pPr>
              <w:jc w:val="center"/>
              <w:ind w:right="379"/>
              <w:spacing w:after="0"/>
              <w:rPr>
                <w:sz w:val="20"/>
                <w:szCs w:val="20"/>
                <w:color w:val="auto"/>
              </w:rPr>
            </w:pPr>
            <w:r>
              <w:rPr>
                <w:rFonts w:ascii="Arial" w:cs="Arial" w:eastAsia="Arial" w:hAnsi="Arial"/>
                <w:sz w:val="16"/>
                <w:szCs w:val="16"/>
                <w:b w:val="1"/>
                <w:bCs w:val="1"/>
                <w:color w:val="auto"/>
                <w:w w:val="90"/>
              </w:rPr>
              <w:t>Gain (Loss) Recognized on Derivatives in Other Income (Expense)</w:t>
            </w:r>
          </w:p>
        </w:tc>
        <w:tc>
          <w:tcPr>
            <w:tcW w:w="56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9"/>
        </w:trPr>
        <w:tc>
          <w:tcPr>
            <w:tcW w:w="4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Derivatives Not Designated as</w:t>
            </w:r>
          </w:p>
        </w:tc>
        <w:tc>
          <w:tcPr>
            <w:tcW w:w="280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w w:val="92"/>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93"/>
              </w:rPr>
              <w:t>Nine Months Ended</w:t>
            </w:r>
          </w:p>
        </w:tc>
        <w:tc>
          <w:tcPr>
            <w:tcW w:w="560" w:type="dxa"/>
            <w:vAlign w:val="bottom"/>
          </w:tcPr>
          <w:p>
            <w:pPr>
              <w:spacing w:after="0"/>
              <w:rPr>
                <w:sz w:val="18"/>
                <w:szCs w:val="18"/>
                <w:color w:val="auto"/>
              </w:rPr>
            </w:pPr>
          </w:p>
        </w:tc>
      </w:tr>
      <w:tr>
        <w:trPr>
          <w:trHeight w:val="210"/>
        </w:trPr>
        <w:tc>
          <w:tcPr>
            <w:tcW w:w="4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Hedging Instrument under ASC 815-20</w:t>
            </w:r>
          </w:p>
        </w:tc>
        <w:tc>
          <w:tcPr>
            <w:tcW w:w="1040" w:type="dxa"/>
            <w:vAlign w:val="bottom"/>
          </w:tcPr>
          <w:p>
            <w:pPr>
              <w:spacing w:after="0"/>
              <w:rPr>
                <w:sz w:val="18"/>
                <w:szCs w:val="18"/>
                <w:color w:val="auto"/>
              </w:rPr>
            </w:pPr>
          </w:p>
        </w:tc>
        <w:tc>
          <w:tcPr>
            <w:tcW w:w="176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w w:val="89"/>
              </w:rPr>
              <w:t>September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91"/>
              </w:rPr>
              <w:t>September 30,</w:t>
            </w:r>
          </w:p>
        </w:tc>
        <w:tc>
          <w:tcPr>
            <w:tcW w:w="560" w:type="dxa"/>
            <w:vAlign w:val="bottom"/>
          </w:tcPr>
          <w:p>
            <w:pPr>
              <w:spacing w:after="0"/>
              <w:rPr>
                <w:sz w:val="18"/>
                <w:szCs w:val="18"/>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2010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60" w:type="dxa"/>
            <w:vAlign w:val="bottom"/>
          </w:tcPr>
          <w:p>
            <w:pPr>
              <w:spacing w:after="0"/>
              <w:rPr>
                <w:sz w:val="20"/>
                <w:szCs w:val="20"/>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w w:val="90"/>
              </w:rPr>
              <w:t>(in thousands)</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2,464</w:t>
            </w:r>
          </w:p>
        </w:tc>
        <w:tc>
          <w:tcPr>
            <w:tcW w:w="11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(877)</w:t>
            </w:r>
          </w:p>
        </w:tc>
        <w:tc>
          <w:tcPr>
            <w:tcW w:w="108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2,244</w:t>
            </w:r>
          </w:p>
        </w:tc>
      </w:tr>
      <w:tr>
        <w:trPr>
          <w:trHeight w:val="33"/>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offering death and disability, retirement, and special termination benefits. The defined benefit obligation is calculated annually by using the projected unit credit method. The measurement date for the pension plans was December 31, 2010.</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2011</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2010</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4"/>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 in other long-term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2,656</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pension plan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61,450</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Net pension plan benefit liability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68,926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63,694</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respective countries for each plan. We contributed $40,000 and $431,000 to the defined benefit pension plans for the three and nine months ended September 30, 2011, and $37,000 and $375,000 for the three and nine months ended September 30, 2010, respectively. The timing of when contributions are made can vary by plan and from year to year. For 2011, assuming that actual plan asset returns are consistent with our expected rate of return, and that interest rates remain constant, we expect to contribute approximately $500,000 to our defined benefit pension plans. We contributed $519,000 to the defined benefit pension plans for the year ended December 31,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8"/>
                <w:szCs w:val="18"/>
                <w:color w:val="auto"/>
              </w:rPr>
            </w:pPr>
          </w:p>
        </w:tc>
        <w:tc>
          <w:tcPr>
            <w:tcW w:w="23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2,608</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actuarial net loss (gain)</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1,536</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3,861</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vesting requirement period. For the three and nine months ended September 30, stock-based compensation expense and the related tax benefit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2"/>
              </w:rPr>
              <w:t>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2,916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3,962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10,344</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Unrestricted stock awards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ESPP</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2,883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5,101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tax benefit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1,421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7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Nine Months Ended</w:t>
            </w:r>
          </w:p>
        </w:tc>
      </w:tr>
      <w:tr>
        <w:trPr>
          <w:trHeight w:val="234"/>
        </w:trPr>
        <w:tc>
          <w:tcPr>
            <w:tcW w:w="5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4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7"/>
              </w:rPr>
              <w:t>September 30,</w:t>
            </w:r>
          </w:p>
        </w:tc>
        <w:tc>
          <w:tcPr>
            <w:tcW w:w="98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0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10"/>
              <w:spacing w:after="0" w:line="264" w:lineRule="exact"/>
              <w:rPr>
                <w:sz w:val="20"/>
                <w:szCs w:val="20"/>
                <w:color w:val="auto"/>
              </w:rPr>
            </w:pPr>
            <w:r>
              <w:rPr>
                <w:rFonts w:ascii="Arial" w:cs="Arial" w:eastAsia="Arial" w:hAnsi="Arial"/>
                <w:sz w:val="18"/>
                <w:szCs w:val="18"/>
                <w:b w:val="1"/>
                <w:bCs w:val="1"/>
                <w:color w:val="auto"/>
              </w:rPr>
              <w:t>2010</w:t>
            </w:r>
            <w:r>
              <w:rPr>
                <w:rFonts w:ascii="Arial" w:cs="Arial" w:eastAsia="Arial" w:hAnsi="Arial"/>
                <w:sz w:val="25"/>
                <w:szCs w:val="25"/>
                <w:b w:val="1"/>
                <w:bCs w:val="1"/>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2010</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80" w:type="dxa"/>
            <w:vAlign w:val="bottom"/>
          </w:tcPr>
          <w:p>
            <w:pPr>
              <w:spacing w:after="0"/>
              <w:rPr>
                <w:sz w:val="20"/>
                <w:szCs w:val="20"/>
                <w:color w:val="auto"/>
              </w:rPr>
            </w:pPr>
          </w:p>
        </w:tc>
        <w:tc>
          <w:tcPr>
            <w:tcW w:w="1740" w:type="dxa"/>
            <w:vAlign w:val="bottom"/>
            <w:gridSpan w:val="3"/>
          </w:tcPr>
          <w:p>
            <w:pPr>
              <w:jc w:val="right"/>
              <w:ind w:right="129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6"/>
              </w:rPr>
              <w:t>4.91</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4.60</w:t>
            </w:r>
          </w:p>
        </w:tc>
      </w:tr>
      <w:tr>
        <w:trPr>
          <w:trHeight w:val="27"/>
        </w:trPr>
        <w:tc>
          <w:tcPr>
            <w:tcW w:w="5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ind w:left="200" w:hanging="151"/>
        <w:spacing w:after="0"/>
        <w:tabs>
          <w:tab w:leader="none" w:pos="2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There were no employee stock options granted for the three months ended September 30, 2010.</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date an estimate of the award is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 issuance under our 2010 Stock Incentive Plan (Stock Incentive Plan). Awards consist of stock options, restricted stock units, and unrestricted stock awards. At September 30, 2011, 2,226,303 shares were available for grant under the Stock Incentive Plan.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stock option activity for the nine months ended September 30 is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2010</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Exercised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September 30, 2010</w:t>
      </w:r>
    </w:p>
    <w:p>
      <w:pPr>
        <w:spacing w:after="0" w:line="397"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Exercisable and expected to vest, September 30, 2010</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Exercisable, September 30, 2010</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 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Price per Share</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 xml:space="preserve">Intrinsic Value </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(in thousands)</w:t>
            </w:r>
          </w:p>
        </w:tc>
        <w:tc>
          <w:tcPr>
            <w:tcW w:w="1400" w:type="dxa"/>
            <w:vAlign w:val="bottom"/>
          </w:tcPr>
          <w:p>
            <w:pPr>
              <w:spacing w:after="0"/>
              <w:rPr>
                <w:sz w:val="18"/>
                <w:szCs w:val="18"/>
                <w:color w:val="auto"/>
              </w:rPr>
            </w:pPr>
          </w:p>
        </w:tc>
      </w:tr>
      <w:tr>
        <w:trPr>
          <w:trHeight w:val="27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22,863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27.18</w:t>
            </w: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40.82</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55.11</w:t>
            </w:r>
          </w:p>
        </w:tc>
        <w:tc>
          <w:tcPr>
            <w:tcW w:w="12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6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54.99</w:t>
            </w:r>
          </w:p>
        </w:tc>
        <w:tc>
          <w:tcPr>
            <w:tcW w:w="120" w:type="dxa"/>
            <w:vAlign w:val="bottom"/>
          </w:tcPr>
          <w:p>
            <w:pPr>
              <w:spacing w:after="0"/>
              <w:rPr>
                <w:sz w:val="24"/>
                <w:szCs w:val="24"/>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14,449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74"/>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52.25</w:t>
            </w:r>
          </w:p>
        </w:tc>
        <w:tc>
          <w:tcPr>
            <w:tcW w:w="120" w:type="dxa"/>
            <w:vAlign w:val="bottom"/>
          </w:tcPr>
          <w:p>
            <w:pPr>
              <w:spacing w:after="0"/>
              <w:rPr>
                <w:sz w:val="24"/>
                <w:szCs w:val="24"/>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14,551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-1551305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-1208405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-857250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-376555</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-16510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180"/>
            <w:col w:w="8320"/>
          </w:cols>
          <w:pgMar w:left="240" w:top="125" w:right="239" w:bottom="1440" w:gutter="0" w:footer="0" w:header="0"/>
          <w:type w:val="continuous"/>
        </w:sectPr>
      </w:pP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Exercised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Expired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September 30, 2011</w:t>
      </w:r>
    </w:p>
    <w:p>
      <w:pPr>
        <w:spacing w:after="0" w:line="397"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Exercisable and expected to vest, September 30, 2011</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55.21</w:t>
            </w:r>
          </w:p>
        </w:tc>
        <w:tc>
          <w:tcPr>
            <w:tcW w:w="120" w:type="dxa"/>
            <w:vAlign w:val="bottom"/>
          </w:tcPr>
          <w:p>
            <w:pPr>
              <w:spacing w:after="0"/>
              <w:rPr>
                <w:sz w:val="17"/>
                <w:szCs w:val="17"/>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10,883</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52.13</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21.81</w:t>
            </w: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58.50</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7"/>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55.72</w:t>
            </w:r>
          </w:p>
        </w:tc>
        <w:tc>
          <w:tcPr>
            <w:tcW w:w="12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1,518</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6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4"/>
                <w:szCs w:val="24"/>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55.74</w:t>
            </w:r>
          </w:p>
        </w:tc>
        <w:tc>
          <w:tcPr>
            <w:tcW w:w="120" w:type="dxa"/>
            <w:vAlign w:val="bottom"/>
          </w:tcPr>
          <w:p>
            <w:pPr>
              <w:spacing w:after="0"/>
              <w:rPr>
                <w:sz w:val="24"/>
                <w:szCs w:val="24"/>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4"/>
                <w:szCs w:val="24"/>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1,518</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-1362710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-1019810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-676910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-307975</wp:posOffset>
            </wp:positionV>
            <wp:extent cx="72466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171450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180"/>
            <w:col w:w="8320"/>
          </w:cols>
          <w:pgMar w:left="240" w:top="125" w:right="239" w:bottom="1440" w:gutter="0" w:footer="0" w:header="0"/>
          <w:type w:val="continuous"/>
        </w:sectPr>
      </w:pPr>
    </w:p>
    <w:p>
      <w:pPr>
        <w:spacing w:after="0" w:line="87" w:lineRule="exact"/>
        <w:rPr>
          <w:sz w:val="20"/>
          <w:szCs w:val="20"/>
          <w:color w:val="auto"/>
        </w:rPr>
      </w:pPr>
    </w:p>
    <w:p>
      <w:pPr>
        <w:ind w:left="40"/>
        <w:spacing w:after="0"/>
        <w:tabs>
          <w:tab w:leader="none" w:pos="3980" w:val="left"/>
          <w:tab w:leader="none" w:pos="4600" w:val="left"/>
          <w:tab w:leader="none" w:pos="5720" w:val="left"/>
          <w:tab w:leader="none" w:pos="7640" w:val="left"/>
          <w:tab w:leader="none" w:pos="8160" w:val="left"/>
          <w:tab w:leader="none" w:pos="9240" w:val="left"/>
        </w:tabs>
        <w:rPr>
          <w:sz w:val="20"/>
          <w:szCs w:val="20"/>
          <w:color w:val="auto"/>
        </w:rPr>
      </w:pPr>
      <w:r>
        <w:rPr>
          <w:rFonts w:ascii="Arial" w:cs="Arial" w:eastAsia="Arial" w:hAnsi="Arial"/>
          <w:sz w:val="16"/>
          <w:szCs w:val="16"/>
          <w:color w:val="auto"/>
        </w:rPr>
        <w:t>Exercisable, September 30, 2011</w:t>
      </w:r>
      <w:r>
        <w:rPr>
          <w:sz w:val="20"/>
          <w:szCs w:val="20"/>
          <w:color w:val="auto"/>
        </w:rPr>
        <w:tab/>
      </w:r>
      <w:r>
        <w:rPr>
          <w:rFonts w:ascii="Arial" w:cs="Arial" w:eastAsia="Arial" w:hAnsi="Arial"/>
          <w:sz w:val="16"/>
          <w:szCs w:val="16"/>
          <w:color w:val="auto"/>
        </w:rPr>
        <w:t>1,027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55.94</w:t>
      </w:r>
      <w:r>
        <w:rPr>
          <w:sz w:val="20"/>
          <w:szCs w:val="20"/>
          <w:color w:val="auto"/>
        </w:rPr>
        <w:tab/>
      </w:r>
      <w:r>
        <w:rPr>
          <w:rFonts w:ascii="Arial" w:cs="Arial" w:eastAsia="Arial" w:hAnsi="Arial"/>
          <w:sz w:val="16"/>
          <w:szCs w:val="16"/>
          <w:color w:val="auto"/>
        </w:rPr>
        <w:t>4.30</w:t>
        <w:tab/>
        <w:t>$</w:t>
      </w:r>
      <w:r>
        <w:rPr>
          <w:sz w:val="20"/>
          <w:szCs w:val="20"/>
          <w:color w:val="auto"/>
        </w:rPr>
        <w:tab/>
      </w:r>
      <w:r>
        <w:rPr>
          <w:rFonts w:ascii="Arial" w:cs="Arial" w:eastAsia="Arial" w:hAnsi="Arial"/>
          <w:sz w:val="14"/>
          <w:szCs w:val="14"/>
          <w:color w:val="auto"/>
        </w:rPr>
        <w:t>1,518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52070</wp:posOffset>
            </wp:positionV>
            <wp:extent cx="42106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96" w:lineRule="exact"/>
        <w:rPr>
          <w:sz w:val="20"/>
          <w:szCs w:val="20"/>
          <w:color w:val="auto"/>
        </w:rPr>
      </w:pPr>
    </w:p>
    <w:p>
      <w:pPr>
        <w:jc w:val="both"/>
        <w:ind w:left="340" w:hanging="332"/>
        <w:spacing w:after="0" w:line="245"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2011, total unrecognized stock-based compensation expense related to nonvested stock options was approximately $1.5 million, which is expected to be recognized over a weighted average period of approximately one year.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employees and senior management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restricted stock units issued under the Long Term Performance Restricted Stock Unit Award Agreement (Performance Award Agreement) are determined based on the attainment of annual performance goals after the end of the calendar year performance period. During the year, if management determines that it is probable that the targets will be achieved, compensation expense, net of forfeitures, is recognized on a straight-line basis over the annual performance and subsequent vesting period for each separately vesting portion of the award. Performance awards typically vest and are released in three equal installments at the end of each year following attainment of the performance goals.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 During the vesting period, unvested restricted stock units immediately vest at the date of retirement for U.S. participants who retire during that period. For U.S. participants who are or will become retirement eligible during either the annual performance or vesting period, compensation expense is accelerated and recognized over the greater of the performance period (one year) or through the participant’s retirement eligible date. For performance awards granted in 2011, the maximum restricted stock units that may become eligible for vesting is 133,000 with a grant date fair value of $56.73.</w:t>
      </w:r>
    </w:p>
    <w:p>
      <w:pPr>
        <w:sectPr>
          <w:pgSz w:w="11900" w:h="16838" w:orient="portrait"/>
          <w:cols w:equalWidth="0" w:num="1">
            <w:col w:w="11420"/>
          </w:cols>
          <w:pgMar w:left="240" w:top="125" w:right="23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nine months ended September 30: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6"/>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2010</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215</w:t>
            </w:r>
          </w:p>
        </w:tc>
        <w:tc>
          <w:tcPr>
            <w:tcW w:w="1860" w:type="dxa"/>
            <w:vAlign w:val="bottom"/>
            <w:gridSpan w:val="2"/>
            <w:vMerge w:val="restart"/>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w w:val="99"/>
              </w:rPr>
              <w:t>63.42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5,216</w:t>
            </w:r>
          </w:p>
        </w:tc>
        <w:tc>
          <w:tcPr>
            <w:tcW w:w="0" w:type="dxa"/>
            <w:vAlign w:val="bottom"/>
          </w:tcPr>
          <w:p>
            <w:pPr>
              <w:spacing w:after="0"/>
              <w:rPr>
                <w:sz w:val="1"/>
                <w:szCs w:val="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2010</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286</w:t>
            </w:r>
          </w:p>
        </w:tc>
        <w:tc>
          <w:tcPr>
            <w:tcW w:w="1860" w:type="dxa"/>
            <w:vAlign w:val="bottom"/>
            <w:gridSpan w:val="2"/>
            <w:vMerge w:val="restart"/>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w w:val="99"/>
              </w:rPr>
              <w:t>54.82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15,739</w:t>
            </w:r>
          </w:p>
        </w:tc>
        <w:tc>
          <w:tcPr>
            <w:tcW w:w="0" w:type="dxa"/>
            <w:vAlign w:val="bottom"/>
          </w:tcPr>
          <w:p>
            <w:pPr>
              <w:spacing w:after="0"/>
              <w:rPr>
                <w:sz w:val="1"/>
                <w:szCs w:val="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September 30,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September 30,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172"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These restricted stock units do not include the respective 2010 and 2011 awards under the Performance Award Agreement, which are not eligible for vesting as of September 30 of each respective year.</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2011, unrecognized compensation expense was $21.8 million, which is expected to be recognized over a weighted average period of approximately two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issue unrestricted stock awards to our Board of Directors as part of their compensation. Awards are fully vested and expensed when issued. The fair value of unrestricted stock awards is the market close price of our common stock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and nine months ended September 30:</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auto"/>
                <w:w w:val="92"/>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w w:val="93"/>
              </w:rPr>
              <w:t>Nine Months Ended</w:t>
            </w:r>
          </w:p>
        </w:tc>
        <w:tc>
          <w:tcPr>
            <w:tcW w:w="52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w w:val="89"/>
              </w:rPr>
              <w:t>September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w w:val="91"/>
              </w:rPr>
              <w:t>September 30,</w:t>
            </w:r>
          </w:p>
        </w:tc>
        <w:tc>
          <w:tcPr>
            <w:tcW w:w="5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20" w:type="dxa"/>
            <w:vAlign w:val="bottom"/>
          </w:tcPr>
          <w:p>
            <w:pPr>
              <w:spacing w:after="0"/>
              <w:rPr>
                <w:sz w:val="20"/>
                <w:szCs w:val="20"/>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issued</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2,864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2,896</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6,317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5,662</w:t>
            </w:r>
          </w:p>
        </w:tc>
      </w:tr>
      <w:tr>
        <w:trPr>
          <w:trHeight w:val="284"/>
        </w:trPr>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48.84</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60.39</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52.19</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64.35</w:t>
            </w:r>
          </w:p>
        </w:tc>
      </w:tr>
      <w:tr>
        <w:trPr>
          <w:trHeight w:val="33"/>
        </w:trPr>
        <w:tc>
          <w:tcPr>
            <w:tcW w:w="5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15% discount from the fair market value of the stock at the end of each fiscal quarter, subject to other limitations under the plan. The sale of the stock to the employees occurs at the beginning of the subsequent quarter.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and nine months ended September 30: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2"/>
              </w:rPr>
              <w:t>Three Months Ended</w:t>
            </w:r>
          </w:p>
        </w:tc>
        <w:tc>
          <w:tcPr>
            <w:tcW w:w="340" w:type="dxa"/>
            <w:vAlign w:val="bottom"/>
          </w:tcPr>
          <w:p>
            <w:pPr>
              <w:spacing w:after="0"/>
              <w:rPr>
                <w:sz w:val="17"/>
                <w:szCs w:val="17"/>
                <w:color w:val="auto"/>
              </w:rPr>
            </w:pPr>
          </w:p>
        </w:tc>
        <w:tc>
          <w:tcPr>
            <w:tcW w:w="268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89"/>
              </w:rPr>
              <w:t>September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1"/>
              </w:rPr>
              <w:t>September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of stock sold to employees</w:t>
            </w:r>
            <w:r>
              <w:rPr>
                <w:rFonts w:ascii="Arial" w:cs="Arial" w:eastAsia="Arial" w:hAnsi="Arial"/>
                <w:sz w:val="21"/>
                <w:szCs w:val="21"/>
                <w:color w:val="auto"/>
                <w:vertAlign w:val="superscript"/>
              </w:rPr>
              <w:t>(1)</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22,518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14,819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65,143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37,905</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9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fair value per ESPP award</w:t>
            </w:r>
            <w:r>
              <w:rPr>
                <w:rFonts w:ascii="Arial" w:cs="Arial" w:eastAsia="Arial" w:hAnsi="Arial"/>
                <w:sz w:val="21"/>
                <w:szCs w:val="21"/>
                <w:color w:val="auto"/>
                <w:vertAlign w:val="superscript"/>
              </w:rPr>
              <w:t>(2)</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24"/>
                <w:szCs w:val="24"/>
                <w:color w:val="auto"/>
              </w:rPr>
            </w:pPr>
          </w:p>
        </w:tc>
        <w:tc>
          <w:tcPr>
            <w:tcW w:w="52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24"/>
                <w:szCs w:val="24"/>
                <w:color w:val="auto"/>
              </w:rPr>
            </w:pPr>
          </w:p>
        </w:tc>
        <w:tc>
          <w:tcPr>
            <w:tcW w:w="52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25" w:lineRule="exact"/>
        <w:rPr>
          <w:rFonts w:ascii="Arial" w:cs="Arial" w:eastAsia="Arial" w:hAnsi="Arial"/>
          <w:sz w:val="21"/>
          <w:szCs w:val="21"/>
          <w:color w:val="auto"/>
          <w:vertAlign w:val="superscript"/>
        </w:r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Relating to awards associated with the offering period during the three and nine months ended September 30.</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2011, all compensation cost associated with the ESPP had been recognized. There were approximately 131,000 shares of common stock available for future issuance under the ESPP at September 30, 2011.</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provisions (benefits) as a percentage of income (loss) before tax typically differs from the federal statutory rate of 35%, and may vary from period to period, due to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2011, we had tax provisions of 1.2% and 3.5%, based on a percentage of loss before income taxes. For the three and nine months ended September 30, 2010, we had tax provisions of 33% and 16%, based on income before income taxes.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provision in 2011 differs from the federal statutory rate due to the impact of the goodwill impairment, which is not deductible, projected earnings in tax jurisdictions with rates lower than 35%, the benefit of certain interest expense deductions, a benefit related to the settlement of a foreign tax litigation, and an election under U.S. Internal Revenue Code Sections 338 with respect to a foreign acquisition in 2007.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provisions in 2010 were the result of certain interest expense deductions and the election under U.S. Internal Revenue Code Section 338 with respect to a foreign acquisition in 2007, as well as the estimated mix of earnings in different tax jurisdictions. The 2010 tax provisions also reflect the receipt of a clean energy manufacturing tax credit awarded as part of the American Recovery and Reinvestment Act and a benefit related to the reduction of tax reserves for certain foreign subsidiaries.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(benefit) recognized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6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1"/>
              </w:rPr>
              <w:t>Nine Months Ended</w:t>
            </w:r>
          </w:p>
        </w:tc>
        <w:tc>
          <w:tcPr>
            <w:tcW w:w="5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8"/>
              </w:rPr>
              <w:t>(in thousands)</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and penalties expense (benefit)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476</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584</w:t>
            </w:r>
          </w:p>
        </w:tc>
        <w:tc>
          <w:tcPr>
            <w:tcW w:w="9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Accrued interest and penalties recorded are as follows: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94"/>
        </w:trPr>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September 30, 2011</w:t>
            </w:r>
          </w:p>
        </w:tc>
        <w:tc>
          <w:tcPr>
            <w:tcW w:w="21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December 31, 2010</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4,840</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4,403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Accrued penalties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3,444</w:t>
            </w: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3,233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80"/>
        </w:trPr>
        <w:tc>
          <w:tcPr>
            <w:tcW w:w="7200" w:type="dxa"/>
            <w:vAlign w:val="bottom"/>
            <w:gridSpan w:val="2"/>
          </w:tcPr>
          <w:p>
            <w:pPr>
              <w:spacing w:after="0"/>
              <w:rPr>
                <w:sz w:val="20"/>
                <w:szCs w:val="20"/>
                <w:color w:val="auto"/>
              </w:rPr>
            </w:pPr>
            <w:r>
              <w:rPr>
                <w:rFonts w:ascii="Arial" w:cs="Arial" w:eastAsia="Arial" w:hAnsi="Arial"/>
                <w:sz w:val="18"/>
                <w:szCs w:val="18"/>
                <w:color w:val="auto"/>
              </w:rPr>
              <w:t>affect our effective tax rate are as follows:</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67"/>
        </w:trPr>
        <w:tc>
          <w:tcPr>
            <w:tcW w:w="12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September 30, 2011</w:t>
            </w:r>
          </w:p>
        </w:tc>
        <w:tc>
          <w:tcPr>
            <w:tcW w:w="3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2010</w:t>
            </w:r>
          </w:p>
        </w:tc>
      </w:tr>
      <w:tr>
        <w:trPr>
          <w:trHeight w:val="27"/>
        </w:trPr>
        <w:tc>
          <w:tcPr>
            <w:tcW w:w="12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3"/>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12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Unrecognized tax benefits related to uncertain tax positions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30,477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w w:val="95"/>
              </w:rPr>
              <w:t>The amount of unrecognized tax benefits that, if recognized, would affect our effective tax rate</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30,404</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30,832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$5.3 million within the next twelve months due to the expiration of the statute of limitations, and completion of examinations by taxing authorities. At September 30, 2011, we are not able to reasonably estimate the timing of future cash flows relating to our uncertain tax positions.</w:t>
      </w:r>
    </w:p>
    <w:p>
      <w:pPr>
        <w:spacing w:after="0" w:line="2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2011</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66"/>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240,000</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(43,540)</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264,128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196,460</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49,122</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(30,500)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(21,784)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7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4"/>
                <w:szCs w:val="2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94"/>
        </w:trPr>
        <w:tc>
          <w:tcPr>
            <w:tcW w:w="72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8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8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45,004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27,272</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142,336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120,109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See Note 6 for details regarding our secured credit facilities.</w:t>
      </w:r>
    </w:p>
    <w:p>
      <w:pPr>
        <w:spacing w:after="0" w:line="125"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w:t>
      </w:r>
    </w:p>
    <w:p>
      <w:pPr>
        <w:sectPr>
          <w:pgSz w:w="11900" w:h="16838" w:orient="portrait"/>
          <w:cols w:equalWidth="0" w:num="1">
            <w:col w:w="11420"/>
          </w:cols>
          <w:pgMar w:left="240" w:top="10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08"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September 30, 2011 were not material to our financial condition or results of operations.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2010, Transdata Incorporated (Transdata) filed a complaint in the U.S. District Court for the Eastern District of Texas against CenterPoint Energy (CenterPoint), one of our customers, and several other utilities alleging infringement of three patents owned by Transdata related to the use of an antenna in a meter. Pursuant to our contract with CenterPoint, we agreed to indemnify and defend CenterPoint in this lawsuit. The complaint seeks unspecified damages as well as injunctive relief. CenterPoint has denied all of the allegations.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23, 2011, a class action lawsuit was filed in U.S. Federal Court for the Eastern District of Washington alleging a violation of federal securities laws relating to a restatement of our financial results for the quarters ended March 31, June 30, and September 30, 2010. These revisions were made primarily to defer revenue that had been incorrectly recognized on one contract due to a misinterpretation of an extended warranty obligation. The effect was to reduce revenue and earnings in each of the first three quarters of the year. For the first nine months of 2010, total revenue was reduced by $6.1 million and diluted EPS was reduced by $0.11. We believe the facts and legal claims alleged are without merit and we intend to vigorously defend our interests.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2011, a lawsuit was filed in the Superior Court of the State of Washington, in and for Spokane County against certain officers and directors seeking unspecified damages on behalf of Itron, Inc. The complaint alleges that the defendants breached their fiduciary obligations to Itron with respect to the restatement of Itron's financial results for the quarters ended March 31, June 30, and September 30, 2010. This lawsuit is a shareholder derivative action that purports to assert claims on behalf of Itron, Inc. Defendants believe they have valid defenses and intend to defend themselves vigorously.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2011, a lawsuit was filed in the United States District Court for the Eastern District of Texas alleging infringement of three patents owned by EON Corp. IP Holdings, LLC (EON), related to two-way communication networks, network components, and related software platforms. The complaint seeks unspecified damages as well as injunctive relief.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the claim is resolved.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62,838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33,873</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3,964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9,660</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26,263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23,438</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Reclassification from other current liabilities</w:t>
            </w:r>
          </w:p>
        </w:tc>
        <w:tc>
          <w:tcPr>
            <w:tcW w:w="10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2,878</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Claims activity</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(16,648)</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September 30</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79,032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53,673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53,673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Less: current portion of warranty</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50,798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28,232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50,798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28,232</w:t>
            </w: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warranty</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28,234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warranty expense is classified within cost of revenues and consists of new product warranties issued and other changes and adjustments to warranties.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Warranty expense associated with our segments for the three and nine months ended September 30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Itron North America</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21,850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14,990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Itron International</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5,925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20,986</w:t>
            </w: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warranty expense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27,775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35,976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Warranty expense for the three and nine months ended September 30, 2011 for Itron North America reflects an increase in warranty charges of $12.6 million associated with a vendor supplied component and the remainder due to corrective actions for specific customers. Warranty expense for the nine months ended September 30, 2011 for Itron International reflects the benefit of an $8.6 million recovery from a third party, associated with the settlement of product claims in Sweden in 2010. Warranty expense for the nine months ended September 30, 2010 for Itron International included $13.8 million in charges related to the resolution of claims in Sweden.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b w:val="1"/>
                <w:bCs w:val="1"/>
                <w:color w:val="auto"/>
                <w:w w:val="84"/>
              </w:rPr>
              <w:t>2010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8,286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6,970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Ending balance, September 30</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21,964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11,700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21,964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11,700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00"/>
        </w:trPr>
        <w:tc>
          <w:tcPr>
            <w:tcW w:w="6060" w:type="dxa"/>
            <w:vAlign w:val="bottom"/>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w:t>
            </w: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20,802</w:t>
            </w:r>
          </w:p>
        </w:tc>
        <w:tc>
          <w:tcPr>
            <w:tcW w:w="120" w:type="dxa"/>
            <w:vAlign w:val="bottom"/>
          </w:tcPr>
          <w:p>
            <w:pPr>
              <w:spacing w:after="0"/>
              <w:rPr>
                <w:sz w:val="17"/>
                <w:szCs w:val="17"/>
                <w:color w:val="auto"/>
              </w:rPr>
            </w:pPr>
          </w:p>
        </w:tc>
        <w:tc>
          <w:tcPr>
            <w:tcW w:w="46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10,553</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20,802</w:t>
            </w:r>
          </w:p>
        </w:tc>
        <w:tc>
          <w:tcPr>
            <w:tcW w:w="120" w:type="dxa"/>
            <w:vAlign w:val="bottom"/>
          </w:tcPr>
          <w:p>
            <w:pPr>
              <w:spacing w:after="0"/>
              <w:rPr>
                <w:sz w:val="17"/>
                <w:szCs w:val="17"/>
                <w:color w:val="auto"/>
              </w:rPr>
            </w:pPr>
          </w:p>
        </w:tc>
        <w:tc>
          <w:tcPr>
            <w:tcW w:w="46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10,553</w:t>
            </w:r>
          </w:p>
        </w:tc>
        <w:tc>
          <w:tcPr>
            <w:tcW w:w="0" w:type="dxa"/>
            <w:vAlign w:val="bottom"/>
          </w:tcPr>
          <w:p>
            <w:pPr>
              <w:spacing w:after="0"/>
              <w:rPr>
                <w:sz w:val="1"/>
                <w:szCs w:val="1"/>
                <w:color w:val="auto"/>
              </w:rPr>
            </w:pPr>
          </w:p>
        </w:tc>
      </w:tr>
      <w:tr>
        <w:trPr>
          <w:trHeight w:val="224"/>
        </w:trPr>
        <w:tc>
          <w:tcPr>
            <w:tcW w:w="6060" w:type="dxa"/>
            <w:vAlign w:val="bottom"/>
          </w:tcPr>
          <w:p>
            <w:pPr>
              <w:ind w:left="540"/>
              <w:spacing w:after="0"/>
              <w:rPr>
                <w:sz w:val="20"/>
                <w:szCs w:val="20"/>
                <w:color w:val="auto"/>
              </w:rPr>
            </w:pPr>
            <w:r>
              <w:rPr>
                <w:rFonts w:ascii="Arial" w:cs="Arial" w:eastAsia="Arial" w:hAnsi="Arial"/>
                <w:sz w:val="16"/>
                <w:szCs w:val="16"/>
                <w:color w:val="auto"/>
              </w:rPr>
              <w:t>obligations</w:t>
            </w:r>
          </w:p>
        </w:tc>
        <w:tc>
          <w:tcPr>
            <w:tcW w:w="3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4"/>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50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4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3"/>
          </w:tcPr>
          <w:p>
            <w:pPr>
              <w:ind w:left="760"/>
              <w:spacing w:after="0"/>
              <w:rPr>
                <w:sz w:val="20"/>
                <w:szCs w:val="20"/>
                <w:color w:val="auto"/>
              </w:rPr>
            </w:pPr>
            <w:r>
              <w:rPr>
                <w:rFonts w:ascii="Arial" w:cs="Arial" w:eastAsia="Arial" w:hAnsi="Arial"/>
                <w:sz w:val="16"/>
                <w:szCs w:val="16"/>
                <w:b w:val="1"/>
                <w:bCs w:val="1"/>
                <w:color w:val="auto"/>
                <w:w w:val="88"/>
              </w:rPr>
              <w:t>(in thousands)</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5,653</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5,053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18,324</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14,455</w:t>
            </w:r>
          </w:p>
        </w:tc>
      </w:tr>
      <w:tr>
        <w:trPr>
          <w:trHeight w:val="33"/>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September 30, 2011</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2010</w:t>
            </w:r>
          </w:p>
        </w:tc>
      </w:tr>
      <w:tr>
        <w:trPr>
          <w:trHeight w:val="33"/>
        </w:trPr>
        <w:tc>
          <w:tcPr>
            <w:tcW w:w="6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840" w:type="dxa"/>
            <w:vAlign w:val="bottom"/>
            <w:shd w:val="clear" w:color="auto" w:fill="CCEEFF"/>
          </w:tcPr>
          <w:p>
            <w:pPr>
              <w:jc w:val="right"/>
              <w:ind w:right="16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2,511</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2,056</w:t>
            </w:r>
          </w:p>
        </w:tc>
      </w:tr>
      <w:tr>
        <w:trPr>
          <w:trHeight w:val="33"/>
        </w:trPr>
        <w:tc>
          <w:tcPr>
            <w:tcW w:w="67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On October 26, 2011, we announced plans to restructure our manufacturing operations to increase efficiency and lower the cost of manufacturing. See Note 15 for further discussion.</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Restructuring costs for the three and nine months ended September 30, 2011 were $1.1 million and $3.0 million, respectively, due primarily to severance costs for positions that were eliminated in the second and third quarters of 2011.</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Other Comprehensive Income (Loss)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OCI is reflected as a net increase (decrease) to shareholders’ equity and is not reflected in our results of operations. Total comprehensive income (loss) during the reporting periods, net of tax, was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58489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898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4898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985" cy="291465"/>
                    </a:xfrm>
                    <a:prstGeom prst="rect">
                      <a:avLst/>
                    </a:prstGeom>
                    <a:noFill/>
                  </pic:spPr>
                </pic:pic>
              </a:graphicData>
            </a:graphic>
          </wp:anchor>
        </w:drawing>
      </w:r>
    </w:p>
    <w:p>
      <w:pPr>
        <w:spacing w:after="0" w:line="66" w:lineRule="exact"/>
        <w:rPr>
          <w:sz w:val="20"/>
          <w:szCs w:val="20"/>
          <w:color w:val="auto"/>
        </w:rPr>
      </w:pPr>
    </w:p>
    <w:p>
      <w:pPr>
        <w:ind w:left="200" w:hanging="161"/>
        <w:spacing w:after="0" w:line="293" w:lineRule="auto"/>
        <w:rPr>
          <w:sz w:val="20"/>
          <w:szCs w:val="20"/>
          <w:color w:val="auto"/>
        </w:rPr>
      </w:pPr>
      <w:r>
        <w:rPr>
          <w:rFonts w:ascii="Arial" w:cs="Arial" w:eastAsia="Arial" w:hAnsi="Arial"/>
          <w:sz w:val="16"/>
          <w:szCs w:val="16"/>
          <w:color w:val="auto"/>
        </w:rPr>
        <w:t>Net unrealized gain (loss) on derivative instruments, designated as cash flow hedges, net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gain (loss) on a nonderivative net investment hedging instrument,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58489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898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hedging (gain) loss reclassified into net income (loss),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plan benefits liability adjustment,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4898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8985"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comprehensive income (loss)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17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18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174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8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2010</w:t>
            </w:r>
          </w:p>
        </w:tc>
      </w:tr>
      <w:tr>
        <w:trPr>
          <w:trHeight w:val="33"/>
        </w:trPr>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4"/>
          </w:tcPr>
          <w:p>
            <w:pPr>
              <w:ind w:left="2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0"/>
        </w:trPr>
        <w:tc>
          <w:tcPr>
            <w:tcW w:w="800" w:type="dxa"/>
            <w:vAlign w:val="bottom"/>
          </w:tcPr>
          <w:p>
            <w:pPr>
              <w:jc w:val="right"/>
              <w:spacing w:after="0"/>
              <w:rPr>
                <w:sz w:val="20"/>
                <w:szCs w:val="20"/>
                <w:color w:val="auto"/>
              </w:rPr>
            </w:pPr>
            <w:r>
              <w:rPr>
                <w:rFonts w:ascii="Arial" w:cs="Arial" w:eastAsia="Arial" w:hAnsi="Arial"/>
                <w:sz w:val="16"/>
                <w:szCs w:val="16"/>
                <w:color w:val="auto"/>
                <w:w w:val="92"/>
              </w:rPr>
              <w:t>$ (517,082)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27,639</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 (455,526)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78,200</w:t>
            </w:r>
          </w:p>
        </w:tc>
      </w:tr>
      <w:tr>
        <w:trPr>
          <w:trHeight w:val="270"/>
        </w:trPr>
        <w:tc>
          <w:tcPr>
            <w:tcW w:w="800" w:type="dxa"/>
            <w:vAlign w:val="bottom"/>
          </w:tcPr>
          <w:p>
            <w:pPr>
              <w:jc w:val="right"/>
              <w:spacing w:after="0"/>
              <w:rPr>
                <w:sz w:val="20"/>
                <w:szCs w:val="20"/>
                <w:color w:val="auto"/>
              </w:rPr>
            </w:pPr>
            <w:r>
              <w:rPr>
                <w:rFonts w:ascii="Arial" w:cs="Arial" w:eastAsia="Arial" w:hAnsi="Arial"/>
                <w:sz w:val="16"/>
                <w:szCs w:val="16"/>
                <w:color w:val="auto"/>
              </w:rPr>
              <w:t>(80,183)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125,169</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(87,330)</w:t>
            </w:r>
          </w:p>
        </w:tc>
      </w:tr>
      <w:tr>
        <w:trPr>
          <w:trHeight w:val="459"/>
        </w:trPr>
        <w:tc>
          <w:tcPr>
            <w:tcW w:w="800" w:type="dxa"/>
            <w:vAlign w:val="bottom"/>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(2,920)</w:t>
            </w:r>
          </w:p>
        </w:tc>
      </w:tr>
      <w:tr>
        <w:trPr>
          <w:trHeight w:val="270"/>
        </w:trPr>
        <w:tc>
          <w:tcPr>
            <w:tcW w:w="80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(12,149)</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12,203</w:t>
            </w:r>
          </w:p>
        </w:tc>
      </w:tr>
      <w:tr>
        <w:trPr>
          <w:trHeight w:val="270"/>
        </w:trPr>
        <w:tc>
          <w:tcPr>
            <w:tcW w:w="8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5,874</w:t>
            </w:r>
          </w:p>
        </w:tc>
      </w:tr>
      <w:tr>
        <w:trPr>
          <w:trHeight w:val="270"/>
        </w:trPr>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(683)</w:t>
            </w:r>
          </w:p>
        </w:tc>
      </w:tr>
      <w:tr>
        <w:trPr>
          <w:trHeight w:val="33"/>
        </w:trPr>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800" w:type="dxa"/>
            <w:vAlign w:val="bottom"/>
          </w:tcPr>
          <w:p>
            <w:pPr>
              <w:jc w:val="right"/>
              <w:spacing w:after="0"/>
              <w:rPr>
                <w:sz w:val="20"/>
                <w:szCs w:val="20"/>
                <w:color w:val="auto"/>
              </w:rPr>
            </w:pPr>
            <w:r>
              <w:rPr>
                <w:rFonts w:ascii="Arial" w:cs="Arial" w:eastAsia="Arial" w:hAnsi="Arial"/>
                <w:sz w:val="16"/>
                <w:szCs w:val="16"/>
                <w:color w:val="auto"/>
                <w:w w:val="92"/>
              </w:rPr>
              <w:t>$ (594,925)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141,960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 (417,005)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5,344</w:t>
            </w:r>
          </w:p>
        </w:tc>
      </w:tr>
      <w:tr>
        <w:trPr>
          <w:trHeight w:val="33"/>
        </w:trPr>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40" w:space="140"/>
            <w:col w:w="5740"/>
          </w:cols>
          <w:pgMar w:left="240" w:top="125"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 related to OCI during the reporting periods was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7"/>
                <w:szCs w:val="17"/>
                <w:color w:val="auto"/>
              </w:rPr>
            </w:pPr>
          </w:p>
        </w:tc>
        <w:tc>
          <w:tcPr>
            <w:tcW w:w="15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Nine Months Ended</w:t>
            </w:r>
          </w:p>
        </w:tc>
      </w:tr>
      <w:tr>
        <w:trPr>
          <w:trHeight w:val="210"/>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1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2010</w:t>
            </w:r>
          </w:p>
        </w:tc>
      </w:tr>
      <w:tr>
        <w:trPr>
          <w:trHeight w:val="33"/>
        </w:trPr>
        <w:tc>
          <w:tcPr>
            <w:tcW w:w="5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5"/>
          </w:tcPr>
          <w:p>
            <w:pPr>
              <w:ind w:left="2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w w:val="94"/>
              </w:rPr>
              <w:t>Net unrealized gain (loss) on derivative instruments designated as cash flow hedges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1,805</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(7,592)</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Net hedging (gain) loss reclassified into net income (loss)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(3,651)</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plan benefits liability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7"/>
        </w:trPr>
        <w:tc>
          <w:tcPr>
            <w:tcW w:w="5720" w:type="dxa"/>
            <w:vAlign w:val="bottom"/>
          </w:tcPr>
          <w:p>
            <w:pPr>
              <w:ind w:left="380"/>
              <w:spacing w:after="0"/>
              <w:rPr>
                <w:sz w:val="20"/>
                <w:szCs w:val="20"/>
                <w:color w:val="auto"/>
              </w:rPr>
            </w:pPr>
            <w:r>
              <w:rPr>
                <w:rFonts w:ascii="Arial" w:cs="Arial" w:eastAsia="Arial" w:hAnsi="Arial"/>
                <w:sz w:val="16"/>
                <w:szCs w:val="16"/>
                <w:color w:val="auto"/>
              </w:rPr>
              <w:t>Total income tax (provision) benefit on other comprehensive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5,990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(10,553)</w:t>
            </w:r>
          </w:p>
        </w:tc>
      </w:tr>
      <w:tr>
        <w:trPr>
          <w:trHeight w:val="33"/>
        </w:trPr>
        <w:tc>
          <w:tcPr>
            <w:tcW w:w="5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Accumulated other comprehensive income (loss), net of tax, was $3.5 million at September 30, 2011 and $(35.0) million at December 31, 2010. These amounts include adjustments for foreign currency translation, the unrealized gain (loss) on our hedging instruments, the hedging gain (loss), and the pension liability adjustment as indicated above.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Fair Values of Financial Instruments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at September 30, 2011 and December 31, 2010 do not reflect subsequent changes in the economy, interest rates, tax rates, and other variables that may affect the determination of fair value.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720"/>
              <w:spacing w:after="0"/>
              <w:rPr>
                <w:sz w:val="20"/>
                <w:szCs w:val="20"/>
                <w:color w:val="auto"/>
              </w:rPr>
            </w:pPr>
            <w:r>
              <w:rPr>
                <w:rFonts w:ascii="Arial" w:cs="Arial" w:eastAsia="Arial" w:hAnsi="Arial"/>
                <w:sz w:val="16"/>
                <w:szCs w:val="16"/>
                <w:b w:val="1"/>
                <w:bCs w:val="1"/>
                <w:color w:val="auto"/>
              </w:rPr>
              <w:t>September 30, 2011</w:t>
            </w:r>
          </w:p>
        </w:tc>
        <w:tc>
          <w:tcPr>
            <w:tcW w:w="440" w:type="dxa"/>
            <w:vAlign w:val="bottom"/>
          </w:tcPr>
          <w:p>
            <w:pPr>
              <w:spacing w:after="0"/>
              <w:rPr>
                <w:sz w:val="18"/>
                <w:szCs w:val="18"/>
                <w:color w:val="auto"/>
              </w:rPr>
            </w:pPr>
          </w:p>
        </w:tc>
        <w:tc>
          <w:tcPr>
            <w:tcW w:w="28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December 31, 2010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129,514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169,477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2011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296,252</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296,252</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2007 credit facility</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219,462</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EUR denominated term loan</w:t>
            </w:r>
          </w:p>
        </w:tc>
        <w:tc>
          <w:tcPr>
            <w:tcW w:w="3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174,031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174,684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Convertible senior subordinated notes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236,461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6,820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6,820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3"/>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2011 Credit Facility - term loan and multicurrency revolving line of credit: </w:t>
      </w:r>
      <w:r>
        <w:rPr>
          <w:rFonts w:ascii="Arial" w:cs="Arial" w:eastAsia="Arial" w:hAnsi="Arial"/>
          <w:sz w:val="18"/>
          <w:szCs w:val="18"/>
          <w:color w:val="auto"/>
        </w:rPr>
        <w:t>At September 30, 2011, the carrying values approximated fair value.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and revolver, which we entered into on August 5, 2011, are not traded publicly. The fair value is calculated using a discounted cash flow model with significant inputs that are corroborated by observable market data, including estimates of incremental borrowing rates for debt with similar terms, maturities, and credit profiles.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2007 Credit Facility - term loans: </w:t>
      </w:r>
      <w:r>
        <w:rPr>
          <w:rFonts w:ascii="Arial" w:cs="Arial" w:eastAsia="Arial" w:hAnsi="Arial"/>
          <w:sz w:val="17"/>
          <w:szCs w:val="17"/>
          <w:color w:val="auto"/>
        </w:rPr>
        <w:t>On August 8, 2011, we repaid the remaining balance on our 2007 credit facility using proceeds from our 2011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At December 31, 2010, the fair value was based on quoted prices from recent trades of the term loans. See Note 6 for further discussion.</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Convertible senior subordinated notes: </w:t>
      </w:r>
      <w:r>
        <w:rPr>
          <w:rFonts w:ascii="Arial" w:cs="Arial" w:eastAsia="Arial" w:hAnsi="Arial"/>
          <w:sz w:val="18"/>
          <w:szCs w:val="18"/>
          <w:color w:val="auto"/>
        </w:rPr>
        <w:t>At September 30, 2011, the convertible notes were repurchased and redeemed using a combination of cash on hand</w:t>
      </w:r>
      <w:r>
        <w:rPr>
          <w:rFonts w:ascii="Arial" w:cs="Arial" w:eastAsia="Arial" w:hAnsi="Arial"/>
          <w:sz w:val="18"/>
          <w:szCs w:val="18"/>
          <w:i w:val="1"/>
          <w:iCs w:val="1"/>
          <w:color w:val="auto"/>
        </w:rPr>
        <w:t xml:space="preserve"> </w:t>
      </w:r>
      <w:r>
        <w:rPr>
          <w:rFonts w:ascii="Arial" w:cs="Arial" w:eastAsia="Arial" w:hAnsi="Arial"/>
          <w:sz w:val="18"/>
          <w:szCs w:val="18"/>
          <w:color w:val="auto"/>
        </w:rPr>
        <w:t>and borrowings under our credit facilities. At December 31, 2010, the fair value was based on quoted prices from recent broker trades of the convertible notes. See Note 6 for further discussion.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of significant other observable inputs (Level 2).</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two operating segments: Itron North America and Itron International. Itron North America generates the majority of its revenues in the United States and Canada, while Itron International generates the majority of its revenues in Europe, and the balance in Africa, Latin America, and Asia/Pacific.</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14, 2011, we announced a global reorganization in which the Company will be managed under two operating segments, Energy and Water. Although certain management positions of the Company’s two new operating segments have been identified, a transition to the new organizational structure, including changes to operations and financial and operational management systems will continue through the remainder of 2011. Throughout 2011, management and external financial reporting will be based on the current geographic operating segments, Itron North America and Itron International, as the new segment information will not be available until changes to the operations have occurred and new systems and processes are deployed. Financial reporting of the Energy and Water operating segments is expected in the first quarter of 2012.</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other income (expense), and income tax provision (benefit) are not allocated to the segments, nor included in the measure of segment profit or loss.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a decline in our market capitalization in September 2011, an interim impairment test of goodwill was performed as of September 30, 2011 resulting in a goodwill write-down of $540.4 million in the third quarter of 2011. The goodwill impairment was associated with two reporting units from the Itron International operating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364"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i w:val="1"/>
          <w:iCs w:val="1"/>
          <w:color w:val="auto"/>
        </w:rPr>
        <w:t>Itron North America</w:t>
      </w:r>
      <w:r>
        <w:rPr>
          <w:sz w:val="20"/>
          <w:szCs w:val="20"/>
          <w:color w:val="auto"/>
        </w:rPr>
        <w:tab/>
      </w:r>
      <w:r>
        <w:rPr>
          <w:rFonts w:ascii="Arial" w:cs="Arial" w:eastAsia="Arial" w:hAnsi="Arial"/>
          <w:sz w:val="16"/>
          <w:szCs w:val="16"/>
          <w:color w:val="auto"/>
        </w:rPr>
        <w:t>Standard electricity (electronic), gas, and water meters; advanced and smart electricity and water meters and communication</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modules; advanced and smart gas communication modules; advanced systems including handheld, mobile, and fixed network</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collection technologies; smart network technologies; meter data management software; knowledge application solutions; and</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professional services including implementation, installation, consulting, and analysis.</w:t>
      </w:r>
    </w:p>
    <w:p>
      <w:pPr>
        <w:spacing w:after="0" w:line="373"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i w:val="1"/>
          <w:iCs w:val="1"/>
          <w:color w:val="auto"/>
        </w:rPr>
        <w:t>Itron International</w:t>
      </w:r>
      <w:r>
        <w:rPr>
          <w:sz w:val="20"/>
          <w:szCs w:val="20"/>
          <w:color w:val="auto"/>
        </w:rPr>
        <w:tab/>
      </w:r>
      <w:r>
        <w:rPr>
          <w:rFonts w:ascii="Arial" w:cs="Arial" w:eastAsia="Arial" w:hAnsi="Arial"/>
          <w:sz w:val="17"/>
          <w:szCs w:val="17"/>
          <w:color w:val="auto"/>
        </w:rPr>
        <w:t>Standard electricity (electromechanical and electronic), gas, and water meters; advanced electricity, gas, and water meters;</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advanced water communication modules; smart electricity meters and communication modules; prepayment systems, including</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smart key, keypad, and smart card communication technologies; advanced systems including handheld, mobile, and fixed</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network collection technologies; smart network technologies; meter data management software; knowledge application</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solutions; and professional services including implementation, installation, consulting/analysis, and system management.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Itron North America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294,577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313,155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855,857</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Itron International</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320,978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260,496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931,864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782,756</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615,555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573,651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1,638,613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Itron North America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84,919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109,551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276,599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288,682</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Itron 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274,772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224,201</w:t>
            </w:r>
          </w:p>
        </w:tc>
      </w:tr>
      <w:tr>
        <w:trPr>
          <w:trHeight w:val="217"/>
        </w:trPr>
        <w:tc>
          <w:tcPr>
            <w:tcW w:w="47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176,178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181,763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551,371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512,883</w:t>
            </w:r>
          </w:p>
        </w:tc>
      </w:tr>
      <w:tr>
        <w:trPr>
          <w:trHeight w:val="73"/>
        </w:trPr>
        <w:tc>
          <w:tcPr>
            <w:tcW w:w="47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51"/>
        </w:trPr>
        <w:tc>
          <w:tcPr>
            <w:tcW w:w="4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Itron North America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149,694</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Itron International</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(525,411)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(492,700)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22,969</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unallocated</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(32,099)</w:t>
            </w:r>
          </w:p>
        </w:tc>
      </w:tr>
      <w:tr>
        <w:trPr>
          <w:trHeight w:val="217"/>
        </w:trPr>
        <w:tc>
          <w:tcPr>
            <w:tcW w:w="47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(497,252)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58,936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(399,078)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140,564</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(17,585)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(47,212)</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(511,040)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41,351</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(439,997)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93,352</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single customer represented more than 10% of total Company revenues for the three and nine months ended September 30, 2011, while one customer represented more than 10% of total Company revenues during the same periods in 2010. Three customers each accounted for more than 10% of Itron North America revenues for the three months ended September 30, 2011, and two customers each accounted for more than 10% of Itron North America revenues for the nine months ended September 30, 2011. Three customers each accounted for more than 10% of Itron North America revenues for the three and nine months ended September 30, 2010. No single customer represented more than 10% of Itron International revenues for the three and nine months ended September 30, 2011 and 2010.</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Revenues by region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States and Canada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Europe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292,323</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310,671</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852,715</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849,174</w:t>
            </w:r>
          </w:p>
        </w:tc>
      </w:tr>
      <w:tr>
        <w:trPr>
          <w:trHeight w:val="270"/>
        </w:trPr>
        <w:tc>
          <w:tcPr>
            <w:tcW w:w="2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207,645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173,936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638,830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562,284</w:t>
            </w:r>
          </w:p>
        </w:tc>
      </w:tr>
      <w:tr>
        <w:trPr>
          <w:trHeight w:val="270"/>
        </w:trPr>
        <w:tc>
          <w:tcPr>
            <w:tcW w:w="2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115,587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89,044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300,102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227,155</w:t>
            </w:r>
          </w:p>
        </w:tc>
      </w:tr>
      <w:tr>
        <w:trPr>
          <w:trHeight w:val="33"/>
        </w:trPr>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615,555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573,651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1,791,647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1,638,613</w:t>
            </w:r>
          </w:p>
        </w:tc>
      </w:tr>
      <w:tr>
        <w:trPr>
          <w:trHeight w:val="33"/>
        </w:trPr>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-711200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-368300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12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c>
          <w:tcPr>
            <w:tcW w:w="28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Itron North America</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11,497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34,212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Itron International</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21,117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20,628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63,067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62,970</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Unallocated</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17"/>
        </w:trPr>
        <w:tc>
          <w:tcPr>
            <w:tcW w:w="470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32,620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32,113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96,919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97,184</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26, 2011, our management announced the approval of projects to restructure our manufacturing operations to increase efficiency and lower our cost of manufacturing. Under the restructuring, we are implementing projects to close or consolidate several of our manufacturing facilities. Approximately one-third of our 31 global manufacturing locations will be impacted: six manufacturing facilities will be closed or sold, and operations at several other facilities will be reduced. Overall, we expect to reduce our workforce by approximately 7.5%.</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take a pre-tax restructuring charge of approximately $65 million to $75 million over the next 15 to 18 months. A substantial portion of these charges is expected to be incurred and paid during the fourth quarter of 2011, throughout 2012, and the first half of 2013. Approximately $45 million of the charges are expected to be recorded in the fourth quarter of 2011, approximately $15 million will be recorded in 2012, and the remainder in 2013. Of the estimated charges, approximately 30% is related to closing or consolidating manufacturing and non-manufacturing operations, and approximately 70% is associated with severance costs.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projects are subject to a variety of labor and employment laws, rules, and regulations which could result in a delay in implementing projects at some locations.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24, 2011, our Board of Directors authorized a repurchase program of up to $100 million of our common stock over the next twelve months. The share repurchase program is effective immediately. Repurchases will be made in the open market or in privately negotiated transactions and in accordance with applicable securities laws. Depending on market conditions and other factors, these repurchases may be commenced or suspended from time to time without prior notice.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2010, filed with the Securities and Exchange Commission (SEC) on February 25, 2011.</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reliance on certain key vendors and components, 4) competition, 5) changes in estimated liabilities for product warranties and/or litigation,</w:t>
      </w:r>
    </w:p>
    <w:p>
      <w:pPr>
        <w:spacing w:after="0" w:line="3" w:lineRule="exact"/>
        <w:rPr>
          <w:sz w:val="20"/>
          <w:szCs w:val="20"/>
          <w:color w:val="auto"/>
        </w:rPr>
      </w:pPr>
    </w:p>
    <w:p>
      <w:pPr>
        <w:jc w:val="both"/>
        <w:ind w:firstLine="8"/>
        <w:spacing w:after="0" w:line="288" w:lineRule="auto"/>
        <w:tabs>
          <w:tab w:leader="none" w:pos="19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our dependence on customers’ acceptance of new products and their performance, 7) changes in domestic and international laws and regulations, 8) future business combinations, 9) changes in foreign currency exchange rates and interest rates, 10) international business risks, 11) our own and our customers' or suppliers' access to and cost of capital, and 12) other factors. You should not solely rely on these forward-looking statements as they are only valid as of the date of this Quarterly Report on Form 10-Q. We do not have any obligation to publicly update or revise any forward-looking statement in this document. For a more complete description of these and other risks, refer to Item 1A: “Risk Factors” included in our Annual Report on Form 10-K for the fiscal year ended December 31, 2010, which was filed with the SEC on February 25, 2011, as well as Part II: Other Information Item 1A "Risk Factors" included in the Quarterly Report on Form 10-Q for the fiscal quarter ended June 30, 2010, which was filed with the SEC on August 2,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first quarter of 2011, we announced a global reorganization by which the Company will be managed under two operating segments, Energy and Water. Although certain management positions of the Company’s two new operating segments have been identified, a transition to the new organizational structure, including changes to operations and financial and operational management systems will continue through the remainder of 2011. Throughout 2011, management and external financial reporting will be based on the current geographic operating segments, Itron North America and Itron International, as the new segment information will not be available until changes to the new operations have occurred and new systems and processes are deployed. Financial reporting of the Energy and Water operating segments is expected to commence in the first quarter of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for the three months ended September 30, 2011 increased 7% to $616 million, and revenues for the nine months ended September 30, 2011 increased 9% to $1.8 billion, compared with the same periods last year. The revenue growth was driven by Itron International with 23% and 19% revenue increases for the three and nine months ended September 30, 2011, compared with the same periods last year. Meter and communication module volumes were relatively unchanged for the three and nine months ended September 30, 2011, compared with the same periods last year. Gross margin was three percentage points lower for the three months ended September 30, 2011 and 50 basis points lower for the nine months ended September 30, 2011, compared with the same periods last year, primarily due to third quarter 2011 Itron North America warranty charges. Total backlog was $1.4 billion and twelve-month backlog was $901 million at September 30,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considerable decline in the price of our shares of common stock at the end of September 2011, our aggregate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market value was significantly lower than the aggregate carrying value of our net assets. Therefore, we performed an interim impairment test of our goodwill as of September 30, 2011 which resulted in an estimated goodwill write-down of $540.4 million in the third quarter of 2011. The estimated goodwill impairment was associated with two reporting units from the Itron International operating segment. As a result, our diluted loss per share was $12.70 and $11.21 for the three and nine months ended September 30, 2011, compared with diluted earnings per share of $0.68 and $1.91 for the same periods last year. The goodwill impairment was not deductible for tax purposes and therefore did not reduce the tax provision for the three and nine months ended September 30, 2011. The amount of the goodwill impairment charge is subject to finalization during the fourth quarter of 2011.</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global segment reorganization that was announced in March 2011, during the second and third quarters of 2011, we performed a comprehensive review of our cost structure. On October 26, 2011, we announced projects to restructure our manufacturing operations in order to increase efficiency and lower our cost of manufacturing. Under the restructuring, we are implementing projects to close or consolidate several of our manufacturing facilities. Approximately one-third of our 31 global manufacturing locations will be impacted: six manufacturing facilities will be closed or sold, and operations at several other facilities will be reduced. Overall, we expect to reduce our workforce by approximately 7.5%. We expect to take a pre-tax restructuring charge of approximately $65 to $75 million over the next 15 to 18 months. A substantial portion of these charges are expected to be incurred and paid during the fourth quarter of 2011, throughout 2012, and the first half of 2013. In 2012, we anticipate savings of approximately $15 million, which will be realized primarily in the second half of the year. We expect to achieve annualized cost savings of approximately $30 million by the end of 2013. Certain projects are subject to a variety of labor and employment laws, rules, and regulations which could result in a delay in implementing projects at some locations. Restructuring costs of $1.1 million and $3.0 million were recorded in the three and nine months ended of September 30, 2011, primarily associated with severance for positions that were eliminated in the second and third quarters.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debt repayments during the nine months ended September 30, 2011 were $134.3 million, bringing the total debt outstanding to $496.3 million at September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760" w:type="dxa"/>
            <w:vAlign w:val="bottom"/>
            <w:gridSpan w:val="5"/>
          </w:tcPr>
          <w:p>
            <w:pPr>
              <w:ind w:left="54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52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2010</w:t>
            </w:r>
          </w:p>
        </w:tc>
        <w:tc>
          <w:tcPr>
            <w:tcW w:w="12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52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615,555</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573,651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1,791,647</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1,638,613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9%</w:t>
            </w: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176,178</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181,763</w:t>
            </w:r>
          </w:p>
        </w:tc>
        <w:tc>
          <w:tcPr>
            <w:tcW w:w="120" w:type="dxa"/>
            <w:vAlign w:val="bottom"/>
          </w:tcPr>
          <w:p>
            <w:pPr>
              <w:spacing w:after="0"/>
              <w:rPr>
                <w:sz w:val="20"/>
                <w:szCs w:val="20"/>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551,371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512,883</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6"/>
              </w:rPr>
              <w:t>8%</w:t>
            </w:r>
          </w:p>
        </w:tc>
      </w:tr>
      <w:tr>
        <w:trPr>
          <w:trHeight w:val="33"/>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33"/>
        </w:trPr>
        <w:tc>
          <w:tcPr>
            <w:tcW w:w="3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1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2010</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7"/>
        </w:trPr>
        <w:tc>
          <w:tcPr>
            <w:tcW w:w="3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292,323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310,671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852,715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849,174</w:t>
            </w: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Europe</w:t>
            </w:r>
          </w:p>
        </w:tc>
        <w:tc>
          <w:tcPr>
            <w:tcW w:w="11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207,645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173,936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638,830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562,284</w:t>
            </w: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115,587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89,044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300,102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227,155</w:t>
            </w: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6"/>
              </w:rPr>
              <w:t>615,555</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573,651</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1,791,647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1,638,613</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Revenues increased $41.9 million and $153.0 million, or 7% and 9%, for the three and nine months ended September 30, 2011, compared with the same periods last year. The net translation effect of our operations denominated in foreign currencies to the U.S. dollar accounted for $28.0 million and $68.0 million of the increase in revenues for the three and nine months ended September 30, 2011, compared with the same periods last year. A more detailed analysis of these fluctuations is provided in </w:t>
      </w:r>
      <w:r>
        <w:rPr>
          <w:rFonts w:ascii="Arial" w:cs="Arial" w:eastAsia="Arial" w:hAnsi="Arial"/>
          <w:sz w:val="18"/>
          <w:szCs w:val="18"/>
          <w:i w:val="1"/>
          <w:iCs w:val="1"/>
          <w:color w:val="auto"/>
        </w:rPr>
        <w:t>Operating Segment Results.</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single customer represented more than 10% of total revenues for the three and nine months ended September 30, 2011, and one customer represented more than 10% of total revenues for the three and nine months ended September 30, 2010. Our 10 largest customers accounted for 35% and 31% of total revenues for the three and nine months ended September 30, 2011, and 37% and 33% for the three and nine months ended September 30, 2010,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Gross margin was 28.6% and 30.8% for the three and nine months ended September 30, 2011, compared with 31.7% and 31.3% for the same periods last year primarily due to Itron North America warranty charges in the third quarter of 2011. The unfavorable impact of Itron North America onto the consolidated gross margin was partially offset by the combination of improved gross margin in Itron International and its increasing contribution to the consolidated results. A more detailed analysis of these fluctuations is provided in </w:t>
      </w:r>
      <w:r>
        <w:rPr>
          <w:rFonts w:ascii="Arial" w:cs="Arial" w:eastAsia="Arial" w:hAnsi="Arial"/>
          <w:sz w:val="18"/>
          <w:szCs w:val="18"/>
          <w:i w:val="1"/>
          <w:iCs w:val="1"/>
          <w:color w:val="auto"/>
        </w:rPr>
        <w:t>Operating Segment Results.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capability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advanced and smart meter communication modules can be sold separately from the meter. Depending on customers’ preferences, we also incorporate other vendors’ communication technology in our meters. A summary of our meter and communication module shipments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7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Nine Months Ended</w:t>
            </w:r>
          </w:p>
        </w:tc>
      </w:tr>
      <w:tr>
        <w:trPr>
          <w:trHeight w:val="210"/>
        </w:trPr>
        <w:tc>
          <w:tcPr>
            <w:tcW w:w="6060" w:type="dxa"/>
            <w:vAlign w:val="bottom"/>
          </w:tcPr>
          <w:p>
            <w:pPr>
              <w:spacing w:after="0"/>
              <w:rPr>
                <w:sz w:val="18"/>
                <w:szCs w:val="18"/>
                <w:color w:val="auto"/>
              </w:rPr>
            </w:pPr>
          </w:p>
        </w:tc>
        <w:tc>
          <w:tcPr>
            <w:tcW w:w="1840" w:type="dxa"/>
            <w:vAlign w:val="bottom"/>
            <w:gridSpan w:val="3"/>
          </w:tcPr>
          <w:p>
            <w:pPr>
              <w:jc w:val="center"/>
              <w:ind w:left="759"/>
              <w:spacing w:after="0"/>
              <w:rPr>
                <w:sz w:val="20"/>
                <w:szCs w:val="20"/>
                <w:color w:val="auto"/>
              </w:rPr>
            </w:pPr>
            <w:r>
              <w:rPr>
                <w:rFonts w:ascii="Arial" w:cs="Arial" w:eastAsia="Arial" w:hAnsi="Arial"/>
                <w:sz w:val="16"/>
                <w:szCs w:val="16"/>
                <w:b w:val="1"/>
                <w:bCs w:val="1"/>
                <w:color w:val="auto"/>
                <w:w w:val="91"/>
              </w:rPr>
              <w:t>September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w w:val="91"/>
              </w:rPr>
              <w:t>September 30,</w:t>
            </w:r>
          </w:p>
        </w:tc>
        <w:tc>
          <w:tcPr>
            <w:tcW w:w="7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0"/>
                <w:szCs w:val="20"/>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b w:val="1"/>
                <w:bCs w:val="1"/>
                <w:color w:val="auto"/>
                <w:w w:val="84"/>
              </w:rPr>
              <w:t>2010</w:t>
            </w:r>
          </w:p>
        </w:tc>
      </w:tr>
      <w:tr>
        <w:trPr>
          <w:trHeight w:val="3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(units in thousands)</w:t>
            </w:r>
          </w:p>
        </w:tc>
        <w:tc>
          <w:tcPr>
            <w:tcW w:w="780" w:type="dxa"/>
            <w:vAlign w:val="bottom"/>
          </w:tcPr>
          <w:p>
            <w:pPr>
              <w:spacing w:after="0"/>
              <w:rPr>
                <w:sz w:val="18"/>
                <w:szCs w:val="18"/>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Total meters (standard, advanced, and smart)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6060" w:type="dxa"/>
            <w:vAlign w:val="bottom"/>
          </w:tcPr>
          <w:p>
            <w:pPr>
              <w:ind w:left="380"/>
              <w:spacing w:after="0"/>
              <w:rPr>
                <w:sz w:val="20"/>
                <w:szCs w:val="20"/>
                <w:color w:val="auto"/>
              </w:rPr>
            </w:pPr>
            <w:r>
              <w:rPr>
                <w:rFonts w:ascii="Arial" w:cs="Arial" w:eastAsia="Arial" w:hAnsi="Arial"/>
                <w:sz w:val="16"/>
                <w:szCs w:val="16"/>
                <w:color w:val="auto"/>
              </w:rPr>
              <w:t>Itron North America</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7"/>
        </w:trPr>
        <w:tc>
          <w:tcPr>
            <w:tcW w:w="60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Electricity</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4,990</w:t>
            </w:r>
          </w:p>
        </w:tc>
      </w:tr>
      <w:tr>
        <w:trPr>
          <w:trHeight w:val="237"/>
        </w:trPr>
        <w:tc>
          <w:tcPr>
            <w:tcW w:w="6060" w:type="dxa"/>
            <w:vAlign w:val="bottom"/>
          </w:tcPr>
          <w:p>
            <w:pPr>
              <w:ind w:left="720"/>
              <w:spacing w:after="0"/>
              <w:rPr>
                <w:sz w:val="20"/>
                <w:szCs w:val="20"/>
                <w:color w:val="auto"/>
              </w:rPr>
            </w:pPr>
            <w:r>
              <w:rPr>
                <w:rFonts w:ascii="Arial" w:cs="Arial" w:eastAsia="Arial" w:hAnsi="Arial"/>
                <w:sz w:val="16"/>
                <w:szCs w:val="16"/>
                <w:color w:val="auto"/>
              </w:rPr>
              <w:t>Gas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420</w:t>
            </w: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Itron International</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Electricity</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5,590</w:t>
            </w:r>
          </w:p>
        </w:tc>
      </w:tr>
      <w:tr>
        <w:trPr>
          <w:trHeight w:val="237"/>
        </w:trPr>
        <w:tc>
          <w:tcPr>
            <w:tcW w:w="6060" w:type="dxa"/>
            <w:vAlign w:val="bottom"/>
          </w:tcPr>
          <w:p>
            <w:pPr>
              <w:ind w:left="720"/>
              <w:spacing w:after="0"/>
              <w:rPr>
                <w:sz w:val="20"/>
                <w:szCs w:val="20"/>
                <w:color w:val="auto"/>
              </w:rPr>
            </w:pPr>
            <w:r>
              <w:rPr>
                <w:rFonts w:ascii="Arial" w:cs="Arial" w:eastAsia="Arial" w:hAnsi="Arial"/>
                <w:sz w:val="16"/>
                <w:szCs w:val="16"/>
                <w:color w:val="auto"/>
              </w:rPr>
              <w:t>Gas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2,940</w:t>
            </w: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Water</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6,960</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meters</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7,290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7,210</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21,160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20,900</w:t>
            </w:r>
          </w:p>
        </w:tc>
      </w:tr>
      <w:tr>
        <w:trPr>
          <w:trHeight w:val="73"/>
        </w:trPr>
        <w:tc>
          <w:tcPr>
            <w:tcW w:w="6060" w:type="dxa"/>
            <w:vAlign w:val="bottom"/>
            <w:tcBorders>
              <w:bottom w:val="single" w:sz="8" w:color="CCEEFF"/>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Additional meter information (Total Company)</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Advanced meters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2,830</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Smart meters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2,990</w:t>
            </w: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Standalone advanced and smart communication modules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4,410</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Advanced and smart meters and communication modules</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3,940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11,150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10,230</w:t>
            </w:r>
          </w:p>
        </w:tc>
      </w:tr>
      <w:tr>
        <w:trPr>
          <w:trHeight w:val="73"/>
        </w:trPr>
        <w:tc>
          <w:tcPr>
            <w:tcW w:w="6060" w:type="dxa"/>
            <w:vAlign w:val="bottom"/>
            <w:tcBorders>
              <w:bottom w:val="single" w:sz="8" w:color="CCEEFF"/>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Meters with other vendors’ advanced or smart communication technology</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390</w:t>
            </w:r>
          </w:p>
        </w:tc>
      </w:tr>
      <w:tr>
        <w:trPr>
          <w:trHeight w:val="3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14: Segment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rPr>
              <w:t>Three Months Ended September 30,</w:t>
            </w:r>
          </w:p>
        </w:tc>
        <w:tc>
          <w:tcPr>
            <w:tcW w:w="126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rPr>
              <w:t>Nine Months Ended September 30,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3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337"/>
              <w:spacing w:after="0"/>
              <w:rPr>
                <w:sz w:val="20"/>
                <w:szCs w:val="20"/>
                <w:color w:val="auto"/>
              </w:rPr>
            </w:pPr>
            <w:r>
              <w:rPr>
                <w:rFonts w:ascii="Arial" w:cs="Arial" w:eastAsia="Arial" w:hAnsi="Arial"/>
                <w:sz w:val="13"/>
                <w:szCs w:val="13"/>
                <w:b w:val="1"/>
                <w:bCs w:val="1"/>
                <w:color w:val="auto"/>
                <w:w w:val="89"/>
              </w:rPr>
              <w:t>2010</w:t>
            </w:r>
          </w:p>
        </w:tc>
        <w:tc>
          <w:tcPr>
            <w:tcW w:w="120" w:type="dxa"/>
            <w:vAlign w:val="bottom"/>
          </w:tcPr>
          <w:p>
            <w:pPr>
              <w:spacing w:after="0"/>
              <w:rPr>
                <w:sz w:val="22"/>
                <w:szCs w:val="22"/>
                <w:color w:val="auto"/>
              </w:rPr>
            </w:pPr>
          </w:p>
        </w:tc>
        <w:tc>
          <w:tcPr>
            <w:tcW w:w="2280" w:type="dxa"/>
            <w:vAlign w:val="bottom"/>
            <w:gridSpan w:val="3"/>
          </w:tcPr>
          <w:p>
            <w:pPr>
              <w:ind w:left="220"/>
              <w:spacing w:after="0"/>
              <w:rPr>
                <w:sz w:val="20"/>
                <w:szCs w:val="20"/>
                <w:color w:val="auto"/>
              </w:rPr>
            </w:pPr>
            <w:r>
              <w:rPr>
                <w:rFonts w:ascii="Arial" w:cs="Arial" w:eastAsia="Arial" w:hAnsi="Arial"/>
                <w:sz w:val="13"/>
                <w:szCs w:val="13"/>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ind w:right="317"/>
              <w:spacing w:after="0"/>
              <w:rPr>
                <w:sz w:val="20"/>
                <w:szCs w:val="20"/>
                <w:color w:val="auto"/>
              </w:rPr>
            </w:pPr>
            <w:r>
              <w:rPr>
                <w:rFonts w:ascii="Arial" w:cs="Arial" w:eastAsia="Arial" w:hAnsi="Arial"/>
                <w:sz w:val="13"/>
                <w:szCs w:val="13"/>
                <w:b w:val="1"/>
                <w:bCs w:val="1"/>
                <w:color w:val="auto"/>
                <w:w w:val="82"/>
              </w:rPr>
              <w:t>2010</w:t>
            </w:r>
          </w:p>
        </w:tc>
        <w:tc>
          <w:tcPr>
            <w:tcW w:w="120" w:type="dxa"/>
            <w:vAlign w:val="bottom"/>
          </w:tcPr>
          <w:p>
            <w:pPr>
              <w:spacing w:after="0"/>
              <w:rPr>
                <w:sz w:val="22"/>
                <w:szCs w:val="22"/>
                <w:color w:val="auto"/>
              </w:rPr>
            </w:pPr>
          </w:p>
        </w:tc>
        <w:tc>
          <w:tcPr>
            <w:tcW w:w="2140" w:type="dxa"/>
            <w:vAlign w:val="bottom"/>
            <w:gridSpan w:val="2"/>
          </w:tcPr>
          <w:p>
            <w:pPr>
              <w:ind w:left="2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Revenues</w:t>
            </w:r>
          </w:p>
        </w:tc>
        <w:tc>
          <w:tcPr>
            <w:tcW w:w="2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87"/>
              </w:rPr>
              <w:t>(in thousands)</w:t>
            </w: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Itron North America</w:t>
            </w: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294,577</w:t>
            </w:r>
          </w:p>
        </w:tc>
        <w:tc>
          <w:tcPr>
            <w:tcW w:w="1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313,155</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4"/>
              </w:rPr>
              <w:t>(6)%</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859,783</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855,857</w:t>
            </w:r>
          </w:p>
        </w:tc>
        <w:tc>
          <w:tcPr>
            <w:tcW w:w="120" w:type="dxa"/>
            <w:vAlign w:val="bottom"/>
            <w:shd w:val="clear" w:color="auto" w:fill="CCEEFF"/>
          </w:tcPr>
          <w:p>
            <w:pPr>
              <w:spacing w:after="0"/>
              <w:rPr>
                <w:sz w:val="15"/>
                <w:szCs w:val="15"/>
                <w:color w:val="auto"/>
              </w:rPr>
            </w:pPr>
          </w:p>
        </w:tc>
        <w:tc>
          <w:tcPr>
            <w:tcW w:w="2140" w:type="dxa"/>
            <w:vAlign w:val="bottom"/>
            <w:gridSpan w:val="2"/>
            <w:vMerge w:val="restart"/>
            <w:shd w:val="clear" w:color="auto" w:fill="CCEEFF"/>
          </w:tcPr>
          <w:p>
            <w:pPr>
              <w:jc w:val="center"/>
              <w:ind w:right="1140"/>
              <w:spacing w:after="0"/>
              <w:rPr>
                <w:sz w:val="20"/>
                <w:szCs w:val="20"/>
                <w:color w:val="auto"/>
              </w:rPr>
            </w:pPr>
            <w:r>
              <w:rPr>
                <w:rFonts w:ascii="Arial" w:cs="Arial" w:eastAsia="Arial" w:hAnsi="Arial"/>
                <w:sz w:val="13"/>
                <w:szCs w:val="13"/>
                <w:color w:val="auto"/>
                <w:w w:val="97"/>
              </w:rPr>
              <w:t>—%</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14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380"/>
              <w:spacing w:after="0"/>
              <w:rPr>
                <w:sz w:val="20"/>
                <w:szCs w:val="20"/>
                <w:color w:val="auto"/>
              </w:rPr>
            </w:pPr>
            <w:r>
              <w:rPr>
                <w:rFonts w:ascii="Arial" w:cs="Arial" w:eastAsia="Arial" w:hAnsi="Arial"/>
                <w:sz w:val="13"/>
                <w:szCs w:val="13"/>
                <w:color w:val="auto"/>
              </w:rPr>
              <w:t>Itron International</w:t>
            </w:r>
          </w:p>
        </w:tc>
        <w:tc>
          <w:tcPr>
            <w:tcW w:w="240" w:type="dxa"/>
            <w:vAlign w:val="bottom"/>
          </w:tcPr>
          <w:p>
            <w:pPr>
              <w:spacing w:after="0"/>
              <w:rPr>
                <w:sz w:val="15"/>
                <w:szCs w:val="15"/>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320,978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260,496</w:t>
            </w:r>
          </w:p>
        </w:tc>
        <w:tc>
          <w:tcPr>
            <w:tcW w:w="114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92"/>
              </w:rPr>
              <w:t>23%</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931,864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782,756</w:t>
            </w:r>
          </w:p>
        </w:tc>
        <w:tc>
          <w:tcPr>
            <w:tcW w:w="11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2"/>
              </w:rPr>
              <w:t>19%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4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CCEEFF"/>
            </w:tcBorders>
            <w:gridSpan w:val="2"/>
            <w:vMerge w:val="continue"/>
          </w:tcPr>
          <w:p>
            <w:pPr>
              <w:spacing w:after="0"/>
              <w:rPr>
                <w:sz w:val="7"/>
                <w:szCs w:val="7"/>
                <w:color w:val="auto"/>
              </w:rPr>
            </w:pPr>
          </w:p>
        </w:tc>
        <w:tc>
          <w:tcPr>
            <w:tcW w:w="11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CCEEFF"/>
            </w:tcBorders>
            <w:gridSpan w:val="2"/>
            <w:vMerge w:val="continue"/>
          </w:tcPr>
          <w:p>
            <w:pPr>
              <w:spacing w:after="0"/>
              <w:rPr>
                <w:sz w:val="7"/>
                <w:szCs w:val="7"/>
                <w:color w:val="auto"/>
              </w:rPr>
            </w:pPr>
          </w:p>
        </w:tc>
        <w:tc>
          <w:tcPr>
            <w:tcW w:w="1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CCEEFF"/>
          </w:tcPr>
          <w:p>
            <w:pPr>
              <w:ind w:left="880"/>
              <w:spacing w:after="0"/>
              <w:rPr>
                <w:sz w:val="20"/>
                <w:szCs w:val="20"/>
                <w:color w:val="auto"/>
              </w:rPr>
            </w:pPr>
            <w:r>
              <w:rPr>
                <w:rFonts w:ascii="Arial" w:cs="Arial" w:eastAsia="Arial" w:hAnsi="Arial"/>
                <w:sz w:val="13"/>
                <w:szCs w:val="13"/>
                <w:color w:val="auto"/>
              </w:rPr>
              <w:t>Total revenues</w:t>
            </w: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615,555</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573,651</w:t>
            </w:r>
          </w:p>
        </w:tc>
        <w:tc>
          <w:tcPr>
            <w:tcW w:w="1140" w:type="dxa"/>
            <w:vAlign w:val="bottom"/>
            <w:gridSpan w:val="2"/>
            <w:vMerge w:val="restart"/>
            <w:shd w:val="clear" w:color="auto" w:fill="CCEEFF"/>
          </w:tcPr>
          <w:p>
            <w:pPr>
              <w:jc w:val="center"/>
              <w:ind w:left="77"/>
              <w:spacing w:after="0"/>
              <w:rPr>
                <w:sz w:val="20"/>
                <w:szCs w:val="20"/>
                <w:color w:val="auto"/>
              </w:rPr>
            </w:pPr>
            <w:r>
              <w:rPr>
                <w:rFonts w:ascii="Arial" w:cs="Arial" w:eastAsia="Arial" w:hAnsi="Arial"/>
                <w:sz w:val="13"/>
                <w:szCs w:val="13"/>
                <w:color w:val="auto"/>
                <w:w w:val="84"/>
              </w:rPr>
              <w:t>7%</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1,791,647</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9"/>
              </w:rPr>
              <w:t>1,638,613</w:t>
            </w:r>
          </w:p>
        </w:tc>
        <w:tc>
          <w:tcPr>
            <w:tcW w:w="112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4"/>
              </w:rPr>
              <w:t>9%</w:t>
            </w: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vMerge w:val="continue"/>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vMerge w:val="continue"/>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1140" w:type="dxa"/>
            <w:vAlign w:val="bottom"/>
            <w:tcBorders>
              <w:bottom w:val="single" w:sz="8" w:color="auto"/>
            </w:tcBorders>
            <w:gridSpan w:val="2"/>
            <w:vMerge w:val="continue"/>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vMerge w:val="continue"/>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vMerge w:val="continue"/>
            <w:shd w:val="clear" w:color="auto" w:fill="CCEEFF"/>
          </w:tcPr>
          <w:p>
            <w:pPr>
              <w:spacing w:after="0"/>
              <w:rPr>
                <w:sz w:val="7"/>
                <w:szCs w:val="7"/>
                <w:color w:val="auto"/>
              </w:rPr>
            </w:pPr>
          </w:p>
        </w:tc>
        <w:tc>
          <w:tcPr>
            <w:tcW w:w="640" w:type="dxa"/>
            <w:vAlign w:val="bottom"/>
            <w:tcBorders>
              <w:bottom w:val="single" w:sz="8" w:color="auto"/>
            </w:tcBorders>
            <w:vMerge w:val="continue"/>
            <w:shd w:val="clear" w:color="auto" w:fill="CCEEFF"/>
          </w:tcPr>
          <w:p>
            <w:pPr>
              <w:spacing w:after="0"/>
              <w:rPr>
                <w:sz w:val="7"/>
                <w:szCs w:val="7"/>
                <w:color w:val="auto"/>
              </w:rPr>
            </w:pPr>
          </w:p>
        </w:tc>
        <w:tc>
          <w:tcPr>
            <w:tcW w:w="1120" w:type="dxa"/>
            <w:vAlign w:val="bottom"/>
            <w:tcBorders>
              <w:bottom w:val="single" w:sz="8" w:color="auto"/>
            </w:tcBorders>
            <w:gridSpan w:val="2"/>
            <w:vMerge w:val="continue"/>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3"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19685</wp:posOffset>
            </wp:positionV>
            <wp:extent cx="2864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14" w:lineRule="exact"/>
        <w:rPr>
          <w:sz w:val="20"/>
          <w:szCs w:val="20"/>
          <w:color w:val="auto"/>
        </w:rPr>
      </w:pPr>
    </w:p>
    <w:p>
      <w:pPr>
        <w:ind w:left="3420"/>
        <w:spacing w:after="0"/>
        <w:tabs>
          <w:tab w:leader="none" w:pos="5700" w:val="left"/>
        </w:tabs>
        <w:rPr>
          <w:sz w:val="20"/>
          <w:szCs w:val="20"/>
          <w:color w:val="auto"/>
        </w:rPr>
      </w:pPr>
      <w:r>
        <w:rPr>
          <w:rFonts w:ascii="Arial" w:cs="Arial" w:eastAsia="Arial" w:hAnsi="Arial"/>
          <w:sz w:val="11"/>
          <w:szCs w:val="11"/>
          <w:b w:val="1"/>
          <w:bCs w:val="1"/>
          <w:color w:val="auto"/>
        </w:rPr>
        <w:t>2011</w:t>
      </w:r>
      <w:r>
        <w:rPr>
          <w:sz w:val="20"/>
          <w:szCs w:val="20"/>
          <w:color w:val="auto"/>
        </w:rPr>
        <w:tab/>
      </w:r>
      <w:r>
        <w:rPr>
          <w:rFonts w:ascii="Arial" w:cs="Arial" w:eastAsia="Arial" w:hAnsi="Arial"/>
          <w:sz w:val="11"/>
          <w:szCs w:val="11"/>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34290</wp:posOffset>
            </wp:positionV>
            <wp:extent cx="28644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92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19685</wp:posOffset>
            </wp:positionV>
            <wp:extent cx="27870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14" w:lineRule="exact"/>
        <w:rPr>
          <w:sz w:val="20"/>
          <w:szCs w:val="20"/>
          <w:color w:val="auto"/>
        </w:rPr>
      </w:pPr>
    </w:p>
    <w:p>
      <w:pPr>
        <w:spacing w:after="0"/>
        <w:tabs>
          <w:tab w:leader="none" w:pos="2240" w:val="left"/>
        </w:tabs>
        <w:rPr>
          <w:sz w:val="20"/>
          <w:szCs w:val="20"/>
          <w:color w:val="auto"/>
        </w:rPr>
      </w:pPr>
      <w:r>
        <w:rPr>
          <w:rFonts w:ascii="Arial" w:cs="Arial" w:eastAsia="Arial" w:hAnsi="Arial"/>
          <w:sz w:val="9"/>
          <w:szCs w:val="9"/>
          <w:b w:val="1"/>
          <w:bCs w:val="1"/>
          <w:color w:val="auto"/>
        </w:rPr>
        <w:t>2011</w:t>
      </w:r>
      <w:r>
        <w:rPr>
          <w:sz w:val="20"/>
          <w:szCs w:val="20"/>
          <w:color w:val="auto"/>
        </w:rPr>
        <w:tab/>
      </w:r>
      <w:r>
        <w:rPr>
          <w:rFonts w:ascii="Arial" w:cs="Arial" w:eastAsia="Arial" w:hAnsi="Arial"/>
          <w:sz w:val="9"/>
          <w:szCs w:val="9"/>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48895</wp:posOffset>
            </wp:positionV>
            <wp:extent cx="27870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7260" w:space="720"/>
            <w:col w:w="34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98"/>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79"/>
              </w:rPr>
              <w:t>Gross</w:t>
            </w:r>
          </w:p>
        </w:tc>
        <w:tc>
          <w:tcPr>
            <w:tcW w:w="140" w:type="dxa"/>
            <w:vAlign w:val="bottom"/>
          </w:tcPr>
          <w:p>
            <w:pPr>
              <w:spacing w:after="0"/>
              <w:rPr>
                <w:sz w:val="13"/>
                <w:szCs w:val="13"/>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3"/>
                <w:szCs w:val="13"/>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3"/>
                <w:szCs w:val="13"/>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79"/>
              </w:rPr>
              <w:t>Gross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8"/>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9"/>
              </w:rPr>
              <w:t>Margin</w:t>
            </w:r>
          </w:p>
        </w:tc>
        <w:tc>
          <w:tcPr>
            <w:tcW w:w="14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Gross Profit and Margin</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4"/>
              </w:rPr>
              <w:t>(in thousands)</w:t>
            </w:r>
          </w:p>
        </w:tc>
        <w:tc>
          <w:tcPr>
            <w:tcW w:w="1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7"/>
              </w:rPr>
              <w:t>(in thousands)</w:t>
            </w: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7"/>
              </w:rPr>
              <w:t>(in thousands)</w:t>
            </w: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84"/>
              </w:rPr>
              <w:t>(in thousands)</w:t>
            </w: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Itron North America</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84,919</w:t>
            </w:r>
          </w:p>
        </w:tc>
        <w:tc>
          <w:tcPr>
            <w:tcW w:w="1180" w:type="dxa"/>
            <w:vAlign w:val="bottom"/>
            <w:gridSpan w:val="2"/>
            <w:vMerge w:val="restart"/>
            <w:shd w:val="clear" w:color="auto" w:fill="CCEEFF"/>
          </w:tcPr>
          <w:p>
            <w:pPr>
              <w:jc w:val="center"/>
              <w:ind w:left="77"/>
              <w:spacing w:after="0"/>
              <w:rPr>
                <w:sz w:val="20"/>
                <w:szCs w:val="20"/>
                <w:color w:val="auto"/>
              </w:rPr>
            </w:pPr>
            <w:r>
              <w:rPr>
                <w:rFonts w:ascii="Arial" w:cs="Arial" w:eastAsia="Arial" w:hAnsi="Arial"/>
                <w:sz w:val="13"/>
                <w:szCs w:val="13"/>
                <w:color w:val="auto"/>
                <w:w w:val="86"/>
              </w:rPr>
              <w:t>28.8%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109,551</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2"/>
              </w:rPr>
              <w:t>35.0%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276,599</w:t>
            </w:r>
          </w:p>
        </w:tc>
        <w:tc>
          <w:tcPr>
            <w:tcW w:w="112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6"/>
              </w:rPr>
              <w:t>32.2%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288,682</w:t>
            </w:r>
          </w:p>
        </w:tc>
        <w:tc>
          <w:tcPr>
            <w:tcW w:w="1140" w:type="dxa"/>
            <w:vAlign w:val="bottom"/>
            <w:gridSpan w:val="2"/>
            <w:vMerge w:val="restart"/>
            <w:shd w:val="clear" w:color="auto" w:fill="CCEEFF"/>
          </w:tcPr>
          <w:p>
            <w:pPr>
              <w:jc w:val="center"/>
              <w:ind w:left="37"/>
              <w:spacing w:after="0"/>
              <w:rPr>
                <w:sz w:val="20"/>
                <w:szCs w:val="20"/>
                <w:color w:val="auto"/>
              </w:rPr>
            </w:pPr>
            <w:r>
              <w:rPr>
                <w:rFonts w:ascii="Arial" w:cs="Arial" w:eastAsia="Arial" w:hAnsi="Arial"/>
                <w:sz w:val="13"/>
                <w:szCs w:val="13"/>
                <w:color w:val="auto"/>
                <w:w w:val="86"/>
              </w:rPr>
              <w:t>33.7%</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380"/>
              <w:spacing w:after="0"/>
              <w:rPr>
                <w:sz w:val="20"/>
                <w:szCs w:val="20"/>
                <w:color w:val="auto"/>
              </w:rPr>
            </w:pPr>
            <w:r>
              <w:rPr>
                <w:rFonts w:ascii="Arial" w:cs="Arial" w:eastAsia="Arial" w:hAnsi="Arial"/>
                <w:sz w:val="13"/>
                <w:szCs w:val="13"/>
                <w:color w:val="auto"/>
              </w:rPr>
              <w:t>Itron International</w:t>
            </w:r>
          </w:p>
        </w:tc>
        <w:tc>
          <w:tcPr>
            <w:tcW w:w="140" w:type="dxa"/>
            <w:vAlign w:val="bottom"/>
          </w:tcPr>
          <w:p>
            <w:pPr>
              <w:spacing w:after="0"/>
              <w:rPr>
                <w:sz w:val="15"/>
                <w:szCs w:val="15"/>
                <w:color w:val="auto"/>
              </w:rPr>
            </w:pPr>
          </w:p>
        </w:tc>
        <w:tc>
          <w:tcPr>
            <w:tcW w:w="900" w:type="dxa"/>
            <w:vAlign w:val="bottom"/>
            <w:vMerge w:val="restart"/>
          </w:tcPr>
          <w:p>
            <w:pPr>
              <w:jc w:val="right"/>
              <w:ind w:right="58"/>
              <w:spacing w:after="0"/>
              <w:rPr>
                <w:sz w:val="20"/>
                <w:szCs w:val="20"/>
                <w:color w:val="auto"/>
              </w:rPr>
            </w:pPr>
            <w:r>
              <w:rPr>
                <w:rFonts w:ascii="Arial" w:cs="Arial" w:eastAsia="Arial" w:hAnsi="Arial"/>
                <w:sz w:val="13"/>
                <w:szCs w:val="13"/>
                <w:color w:val="auto"/>
              </w:rPr>
              <w:t>91,259</w:t>
            </w:r>
          </w:p>
        </w:tc>
        <w:tc>
          <w:tcPr>
            <w:tcW w:w="118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86"/>
              </w:rPr>
              <w:t>28.4%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auto"/>
              </w:rPr>
              <w:t>72,212</w:t>
            </w:r>
          </w:p>
        </w:tc>
        <w:tc>
          <w:tcPr>
            <w:tcW w:w="11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2"/>
              </w:rPr>
              <w:t>27.7%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auto"/>
              </w:rPr>
              <w:t>274,772</w:t>
            </w:r>
          </w:p>
        </w:tc>
        <w:tc>
          <w:tcPr>
            <w:tcW w:w="11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6"/>
              </w:rPr>
              <w:t>29.5%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auto"/>
              </w:rPr>
              <w:t>224,201</w:t>
            </w:r>
          </w:p>
        </w:tc>
        <w:tc>
          <w:tcPr>
            <w:tcW w:w="1140" w:type="dxa"/>
            <w:vAlign w:val="bottom"/>
            <w:gridSpan w:val="2"/>
            <w:vMerge w:val="restart"/>
          </w:tcPr>
          <w:p>
            <w:pPr>
              <w:jc w:val="center"/>
              <w:ind w:left="37"/>
              <w:spacing w:after="0"/>
              <w:rPr>
                <w:sz w:val="20"/>
                <w:szCs w:val="20"/>
                <w:color w:val="auto"/>
              </w:rPr>
            </w:pPr>
            <w:r>
              <w:rPr>
                <w:rFonts w:ascii="Arial" w:cs="Arial" w:eastAsia="Arial" w:hAnsi="Arial"/>
                <w:sz w:val="13"/>
                <w:szCs w:val="13"/>
                <w:color w:val="auto"/>
                <w:w w:val="86"/>
              </w:rPr>
              <w:t>28.6%</w:t>
            </w:r>
          </w:p>
        </w:tc>
        <w:tc>
          <w:tcPr>
            <w:tcW w:w="0" w:type="dxa"/>
            <w:vAlign w:val="bottom"/>
          </w:tcPr>
          <w:p>
            <w:pPr>
              <w:spacing w:after="0"/>
              <w:rPr>
                <w:sz w:val="1"/>
                <w:szCs w:val="1"/>
                <w:color w:val="auto"/>
              </w:rPr>
            </w:pPr>
          </w:p>
        </w:tc>
      </w:tr>
      <w:tr>
        <w:trPr>
          <w:trHeight w:val="91"/>
        </w:trPr>
        <w:tc>
          <w:tcPr>
            <w:tcW w:w="24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180" w:type="dxa"/>
            <w:vAlign w:val="bottom"/>
            <w:tcBorders>
              <w:bottom w:val="single" w:sz="8" w:color="CCEEFF"/>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CCEEFF"/>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CCEEFF"/>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CCEEFF"/>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4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3"/>
                <w:szCs w:val="13"/>
                <w:color w:val="auto"/>
                <w:w w:val="91"/>
              </w:rPr>
              <w:t>Total gross profit and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176,178</w:t>
            </w:r>
          </w:p>
        </w:tc>
        <w:tc>
          <w:tcPr>
            <w:tcW w:w="1180" w:type="dxa"/>
            <w:vAlign w:val="bottom"/>
            <w:tcBorders>
              <w:bottom w:val="single" w:sz="8" w:color="auto"/>
            </w:tcBorders>
            <w:gridSpan w:val="2"/>
            <w:shd w:val="clear" w:color="auto" w:fill="CCEEFF"/>
          </w:tcPr>
          <w:p>
            <w:pPr>
              <w:jc w:val="center"/>
              <w:ind w:left="77"/>
              <w:spacing w:after="0"/>
              <w:rPr>
                <w:sz w:val="20"/>
                <w:szCs w:val="20"/>
                <w:color w:val="auto"/>
              </w:rPr>
            </w:pPr>
            <w:r>
              <w:rPr>
                <w:rFonts w:ascii="Arial" w:cs="Arial" w:eastAsia="Arial" w:hAnsi="Arial"/>
                <w:sz w:val="13"/>
                <w:szCs w:val="13"/>
                <w:color w:val="auto"/>
                <w:w w:val="86"/>
              </w:rPr>
              <w:t>28.6%</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181,763</w:t>
            </w:r>
          </w:p>
        </w:tc>
        <w:tc>
          <w:tcPr>
            <w:tcW w:w="1140" w:type="dxa"/>
            <w:vAlign w:val="bottom"/>
            <w:tcBorders>
              <w:bottom w:val="single" w:sz="8" w:color="auto"/>
            </w:tcBorders>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2"/>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551,371</w:t>
            </w:r>
          </w:p>
        </w:tc>
        <w:tc>
          <w:tcPr>
            <w:tcW w:w="1120" w:type="dxa"/>
            <w:vAlign w:val="bottom"/>
            <w:tcBorders>
              <w:bottom w:val="single" w:sz="8" w:color="auto"/>
            </w:tcBorders>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86"/>
              </w:rPr>
              <w:t>30.8%</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512,883</w:t>
            </w:r>
          </w:p>
        </w:tc>
        <w:tc>
          <w:tcPr>
            <w:tcW w:w="1140" w:type="dxa"/>
            <w:vAlign w:val="bottom"/>
            <w:tcBorders>
              <w:bottom w:val="single" w:sz="8" w:color="auto"/>
            </w:tcBorders>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6"/>
              </w:rPr>
              <w:t>31.3%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133"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19685</wp:posOffset>
            </wp:positionV>
            <wp:extent cx="28644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14" w:lineRule="exact"/>
        <w:rPr>
          <w:sz w:val="20"/>
          <w:szCs w:val="20"/>
          <w:color w:val="auto"/>
        </w:rPr>
      </w:pPr>
    </w:p>
    <w:p>
      <w:pPr>
        <w:ind w:left="3420"/>
        <w:spacing w:after="0"/>
        <w:tabs>
          <w:tab w:leader="none" w:pos="5700" w:val="left"/>
        </w:tabs>
        <w:rPr>
          <w:sz w:val="20"/>
          <w:szCs w:val="20"/>
          <w:color w:val="auto"/>
        </w:rPr>
      </w:pPr>
      <w:r>
        <w:rPr>
          <w:rFonts w:ascii="Arial" w:cs="Arial" w:eastAsia="Arial" w:hAnsi="Arial"/>
          <w:sz w:val="11"/>
          <w:szCs w:val="11"/>
          <w:b w:val="1"/>
          <w:bCs w:val="1"/>
          <w:color w:val="auto"/>
        </w:rPr>
        <w:t>2011</w:t>
      </w:r>
      <w:r>
        <w:rPr>
          <w:sz w:val="20"/>
          <w:szCs w:val="20"/>
          <w:color w:val="auto"/>
        </w:rPr>
        <w:tab/>
      </w:r>
      <w:r>
        <w:rPr>
          <w:rFonts w:ascii="Arial" w:cs="Arial" w:eastAsia="Arial" w:hAnsi="Arial"/>
          <w:sz w:val="11"/>
          <w:szCs w:val="11"/>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34290</wp:posOffset>
            </wp:positionV>
            <wp:extent cx="28644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92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19685</wp:posOffset>
            </wp:positionV>
            <wp:extent cx="27870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14" w:lineRule="exact"/>
        <w:rPr>
          <w:sz w:val="20"/>
          <w:szCs w:val="20"/>
          <w:color w:val="auto"/>
        </w:rPr>
      </w:pPr>
    </w:p>
    <w:p>
      <w:pPr>
        <w:spacing w:after="0"/>
        <w:tabs>
          <w:tab w:leader="none" w:pos="2240" w:val="left"/>
        </w:tabs>
        <w:rPr>
          <w:sz w:val="20"/>
          <w:szCs w:val="20"/>
          <w:color w:val="auto"/>
        </w:rPr>
      </w:pPr>
      <w:r>
        <w:rPr>
          <w:rFonts w:ascii="Arial" w:cs="Arial" w:eastAsia="Arial" w:hAnsi="Arial"/>
          <w:sz w:val="9"/>
          <w:szCs w:val="9"/>
          <w:b w:val="1"/>
          <w:bCs w:val="1"/>
          <w:color w:val="auto"/>
        </w:rPr>
        <w:t>2011</w:t>
      </w:r>
      <w:r>
        <w:rPr>
          <w:sz w:val="20"/>
          <w:szCs w:val="20"/>
          <w:color w:val="auto"/>
        </w:rPr>
        <w:tab/>
      </w:r>
      <w:r>
        <w:rPr>
          <w:rFonts w:ascii="Arial" w:cs="Arial" w:eastAsia="Arial" w:hAnsi="Arial"/>
          <w:sz w:val="9"/>
          <w:szCs w:val="9"/>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48895</wp:posOffset>
            </wp:positionV>
            <wp:extent cx="27870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7260" w:space="720"/>
            <w:col w:w="34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8"/>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3"/>
                <w:szCs w:val="13"/>
                <w:color w:val="auto"/>
              </w:rPr>
            </w:pPr>
          </w:p>
        </w:tc>
        <w:tc>
          <w:tcPr>
            <w:tcW w:w="900" w:type="dxa"/>
            <w:vAlign w:val="bottom"/>
          </w:tcPr>
          <w:p>
            <w:pPr>
              <w:jc w:val="center"/>
              <w:ind w:right="38"/>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7"/>
              </w:rPr>
              <w:t>Operating</w:t>
            </w:r>
          </w:p>
        </w:tc>
        <w:tc>
          <w:tcPr>
            <w:tcW w:w="100" w:type="dxa"/>
            <w:vAlign w:val="bottom"/>
          </w:tcPr>
          <w:p>
            <w:pPr>
              <w:spacing w:after="0"/>
              <w:rPr>
                <w:sz w:val="13"/>
                <w:szCs w:val="13"/>
                <w:color w:val="auto"/>
              </w:rPr>
            </w:pPr>
          </w:p>
        </w:tc>
        <w:tc>
          <w:tcPr>
            <w:tcW w:w="900" w:type="dxa"/>
            <w:vAlign w:val="bottom"/>
          </w:tcPr>
          <w:p>
            <w:pPr>
              <w:jc w:val="center"/>
              <w:ind w:right="38"/>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4"/>
              </w:rPr>
              <w:t>Operating</w:t>
            </w:r>
          </w:p>
        </w:tc>
        <w:tc>
          <w:tcPr>
            <w:tcW w:w="100" w:type="dxa"/>
            <w:vAlign w:val="bottom"/>
          </w:tcPr>
          <w:p>
            <w:pPr>
              <w:spacing w:after="0"/>
              <w:rPr>
                <w:sz w:val="13"/>
                <w:szCs w:val="13"/>
                <w:color w:val="auto"/>
              </w:rPr>
            </w:pPr>
          </w:p>
        </w:tc>
        <w:tc>
          <w:tcPr>
            <w:tcW w:w="900" w:type="dxa"/>
            <w:vAlign w:val="bottom"/>
          </w:tcPr>
          <w:p>
            <w:pPr>
              <w:jc w:val="center"/>
              <w:ind w:right="38"/>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4"/>
              </w:rPr>
              <w:t>Operating</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3"/>
                <w:szCs w:val="13"/>
                <w:b w:val="1"/>
                <w:bCs w:val="1"/>
                <w:i w:val="1"/>
                <w:iCs w:val="1"/>
                <w:color w:val="auto"/>
                <w:w w:val="86"/>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3"/>
                <w:szCs w:val="13"/>
                <w:b w:val="1"/>
                <w:bCs w:val="1"/>
                <w:i w:val="1"/>
                <w:iCs w:val="1"/>
                <w:color w:val="auto"/>
                <w:w w:val="83"/>
              </w:rPr>
              <w:t>Income (Loss)</w:t>
            </w: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9"/>
              </w:rPr>
              <w:t>Margin</w:t>
            </w:r>
          </w:p>
        </w:tc>
        <w:tc>
          <w:tcPr>
            <w:tcW w:w="10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3"/>
                <w:szCs w:val="13"/>
                <w:b w:val="1"/>
                <w:bCs w:val="1"/>
                <w:i w:val="1"/>
                <w:iCs w:val="1"/>
                <w:color w:val="auto"/>
                <w:w w:val="83"/>
              </w:rPr>
              <w:t>Income (Loss)</w:t>
            </w: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900" w:type="dxa"/>
            <w:vAlign w:val="bottom"/>
          </w:tcPr>
          <w:p>
            <w:pPr>
              <w:jc w:val="center"/>
              <w:ind w:right="38"/>
              <w:spacing w:after="0"/>
              <w:rPr>
                <w:sz w:val="20"/>
                <w:szCs w:val="20"/>
                <w:color w:val="auto"/>
              </w:rPr>
            </w:pPr>
            <w:r>
              <w:rPr>
                <w:rFonts w:ascii="Arial" w:cs="Arial" w:eastAsia="Arial" w:hAnsi="Arial"/>
                <w:sz w:val="13"/>
                <w:szCs w:val="13"/>
                <w:b w:val="1"/>
                <w:bCs w:val="1"/>
                <w:i w:val="1"/>
                <w:iCs w:val="1"/>
                <w:color w:val="auto"/>
                <w:w w:val="86"/>
              </w:rPr>
              <w:t>Income (Loss)</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134"/>
        </w:trPr>
        <w:tc>
          <w:tcPr>
            <w:tcW w:w="242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98"/>
              </w:rPr>
              <w:t>Segment Operating Income (Loss) and</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ind w:right="58"/>
              <w:spacing w:after="0"/>
              <w:rPr>
                <w:sz w:val="20"/>
                <w:szCs w:val="20"/>
                <w:color w:val="auto"/>
              </w:rPr>
            </w:pPr>
            <w:r>
              <w:rPr>
                <w:rFonts w:ascii="Arial" w:cs="Arial" w:eastAsia="Arial" w:hAnsi="Arial"/>
                <w:sz w:val="11"/>
                <w:szCs w:val="11"/>
                <w:b w:val="1"/>
                <w:bCs w:val="1"/>
                <w:color w:val="auto"/>
                <w:w w:val="84"/>
              </w:rPr>
              <w:t>(in thousands)</w:t>
            </w:r>
          </w:p>
        </w:tc>
        <w:tc>
          <w:tcPr>
            <w:tcW w:w="1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58"/>
              <w:spacing w:after="0"/>
              <w:rPr>
                <w:sz w:val="20"/>
                <w:szCs w:val="20"/>
                <w:color w:val="auto"/>
              </w:rPr>
            </w:pPr>
            <w:r>
              <w:rPr>
                <w:rFonts w:ascii="Arial" w:cs="Arial" w:eastAsia="Arial" w:hAnsi="Arial"/>
                <w:sz w:val="11"/>
                <w:szCs w:val="11"/>
                <w:b w:val="1"/>
                <w:bCs w:val="1"/>
                <w:color w:val="auto"/>
                <w:w w:val="87"/>
              </w:rPr>
              <w:t>(in thousands)</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58"/>
              <w:spacing w:after="0"/>
              <w:rPr>
                <w:sz w:val="20"/>
                <w:szCs w:val="20"/>
                <w:color w:val="auto"/>
              </w:rPr>
            </w:pPr>
            <w:r>
              <w:rPr>
                <w:rFonts w:ascii="Arial" w:cs="Arial" w:eastAsia="Arial" w:hAnsi="Arial"/>
                <w:sz w:val="11"/>
                <w:szCs w:val="11"/>
                <w:b w:val="1"/>
                <w:bCs w:val="1"/>
                <w:color w:val="auto"/>
                <w:w w:val="87"/>
              </w:rPr>
              <w:t>(in thousands)</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38"/>
              <w:spacing w:after="0"/>
              <w:rPr>
                <w:sz w:val="20"/>
                <w:szCs w:val="20"/>
                <w:color w:val="auto"/>
              </w:rPr>
            </w:pPr>
            <w:r>
              <w:rPr>
                <w:rFonts w:ascii="Arial" w:cs="Arial" w:eastAsia="Arial" w:hAnsi="Arial"/>
                <w:sz w:val="11"/>
                <w:szCs w:val="11"/>
                <w:b w:val="1"/>
                <w:bCs w:val="1"/>
                <w:color w:val="auto"/>
                <w:w w:val="84"/>
              </w:rPr>
              <w:t>(in thousands)</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Operating Margin</w:t>
            </w: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Itron North America</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38,018</w:t>
            </w:r>
          </w:p>
        </w:tc>
        <w:tc>
          <w:tcPr>
            <w:tcW w:w="118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4"/>
              </w:rPr>
              <w:t>13%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62,274</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124,550</w:t>
            </w:r>
          </w:p>
        </w:tc>
        <w:tc>
          <w:tcPr>
            <w:tcW w:w="1120" w:type="dxa"/>
            <w:vAlign w:val="bottom"/>
            <w:gridSpan w:val="2"/>
            <w:vMerge w:val="restart"/>
            <w:shd w:val="clear" w:color="auto" w:fill="CCEEFF"/>
          </w:tcPr>
          <w:p>
            <w:pPr>
              <w:jc w:val="right"/>
              <w:ind w:right="31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149,694</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4"/>
              </w:rPr>
              <w:t>17%</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380"/>
              <w:spacing w:after="0"/>
              <w:rPr>
                <w:sz w:val="20"/>
                <w:szCs w:val="20"/>
                <w:color w:val="auto"/>
              </w:rPr>
            </w:pPr>
            <w:r>
              <w:rPr>
                <w:rFonts w:ascii="Arial" w:cs="Arial" w:eastAsia="Arial" w:hAnsi="Arial"/>
                <w:sz w:val="13"/>
                <w:szCs w:val="13"/>
                <w:color w:val="auto"/>
              </w:rPr>
              <w:t>Itron International</w:t>
            </w:r>
          </w:p>
        </w:tc>
        <w:tc>
          <w:tcPr>
            <w:tcW w:w="120" w:type="dxa"/>
            <w:vAlign w:val="bottom"/>
          </w:tcPr>
          <w:p>
            <w:pPr>
              <w:spacing w:after="0"/>
              <w:rPr>
                <w:sz w:val="15"/>
                <w:szCs w:val="15"/>
                <w:color w:val="auto"/>
              </w:rPr>
            </w:pPr>
          </w:p>
        </w:tc>
        <w:tc>
          <w:tcPr>
            <w:tcW w:w="920" w:type="dxa"/>
            <w:vAlign w:val="bottom"/>
            <w:vMerge w:val="restart"/>
          </w:tcPr>
          <w:p>
            <w:pPr>
              <w:jc w:val="right"/>
              <w:ind w:right="18"/>
              <w:spacing w:after="0"/>
              <w:rPr>
                <w:sz w:val="20"/>
                <w:szCs w:val="20"/>
                <w:color w:val="auto"/>
              </w:rPr>
            </w:pPr>
            <w:r>
              <w:rPr>
                <w:rFonts w:ascii="Arial" w:cs="Arial" w:eastAsia="Arial" w:hAnsi="Arial"/>
                <w:sz w:val="13"/>
                <w:szCs w:val="13"/>
                <w:color w:val="auto"/>
              </w:rPr>
              <w:t>(525,411)</w:t>
            </w:r>
          </w:p>
        </w:tc>
        <w:tc>
          <w:tcPr>
            <w:tcW w:w="118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0"/>
              </w:rPr>
              <w:t>(164)%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3"/>
                <w:szCs w:val="13"/>
                <w:color w:val="auto"/>
              </w:rPr>
              <w:t>7,515</w:t>
            </w:r>
          </w:p>
        </w:tc>
        <w:tc>
          <w:tcPr>
            <w:tcW w:w="11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5"/>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(492,700)</w:t>
            </w:r>
          </w:p>
        </w:tc>
        <w:tc>
          <w:tcPr>
            <w:tcW w:w="1120" w:type="dxa"/>
            <w:vAlign w:val="bottom"/>
            <w:gridSpan w:val="2"/>
            <w:vMerge w:val="restart"/>
          </w:tcPr>
          <w:p>
            <w:pPr>
              <w:jc w:val="right"/>
              <w:ind w:right="277"/>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3"/>
                <w:szCs w:val="13"/>
                <w:color w:val="auto"/>
              </w:rPr>
              <w:t>22,969</w:t>
            </w:r>
          </w:p>
        </w:tc>
        <w:tc>
          <w:tcPr>
            <w:tcW w:w="11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5"/>
              </w:rPr>
              <w:t>3%</w:t>
            </w: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Corporate unallocated</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(9,859)</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(10,853)</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(30,928)</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(32,099)</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880"/>
              <w:spacing w:after="0"/>
              <w:rPr>
                <w:sz w:val="20"/>
                <w:szCs w:val="20"/>
                <w:color w:val="auto"/>
              </w:rPr>
            </w:pPr>
            <w:r>
              <w:rPr>
                <w:rFonts w:ascii="Arial" w:cs="Arial" w:eastAsia="Arial" w:hAnsi="Arial"/>
                <w:sz w:val="13"/>
                <w:szCs w:val="13"/>
                <w:color w:val="auto"/>
              </w:rPr>
              <w:t>Total Company</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ind w:right="18"/>
              <w:spacing w:after="0"/>
              <w:rPr>
                <w:sz w:val="20"/>
                <w:szCs w:val="20"/>
                <w:color w:val="auto"/>
              </w:rPr>
            </w:pPr>
            <w:r>
              <w:rPr>
                <w:rFonts w:ascii="Arial" w:cs="Arial" w:eastAsia="Arial" w:hAnsi="Arial"/>
                <w:sz w:val="13"/>
                <w:szCs w:val="13"/>
                <w:color w:val="auto"/>
              </w:rPr>
              <w:t>(497,252)</w:t>
            </w:r>
          </w:p>
        </w:tc>
        <w:tc>
          <w:tcPr>
            <w:tcW w:w="118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92"/>
              </w:rPr>
              <w:t>(81)%</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3"/>
                <w:szCs w:val="13"/>
                <w:color w:val="auto"/>
              </w:rPr>
              <w:t>58,936</w:t>
            </w:r>
          </w:p>
        </w:tc>
        <w:tc>
          <w:tcPr>
            <w:tcW w:w="11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4"/>
              </w:rPr>
              <w:t>10%</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(399,078)</w:t>
            </w:r>
          </w:p>
        </w:tc>
        <w:tc>
          <w:tcPr>
            <w:tcW w:w="1120" w:type="dxa"/>
            <w:vAlign w:val="bottom"/>
            <w:gridSpan w:val="2"/>
            <w:vMerge w:val="restart"/>
          </w:tcPr>
          <w:p>
            <w:pPr>
              <w:jc w:val="right"/>
              <w:ind w:right="27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ind w:right="38"/>
              <w:spacing w:after="0"/>
              <w:rPr>
                <w:sz w:val="20"/>
                <w:szCs w:val="20"/>
                <w:color w:val="auto"/>
              </w:rPr>
            </w:pPr>
            <w:r>
              <w:rPr>
                <w:rFonts w:ascii="Arial" w:cs="Arial" w:eastAsia="Arial" w:hAnsi="Arial"/>
                <w:sz w:val="13"/>
                <w:szCs w:val="13"/>
                <w:color w:val="auto"/>
              </w:rPr>
              <w:t>140,564</w:t>
            </w:r>
          </w:p>
        </w:tc>
        <w:tc>
          <w:tcPr>
            <w:tcW w:w="11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5"/>
              </w:rPr>
              <w:t>9%</w:t>
            </w:r>
          </w:p>
        </w:tc>
        <w:tc>
          <w:tcPr>
            <w:tcW w:w="0" w:type="dxa"/>
            <w:vAlign w:val="bottom"/>
          </w:tcPr>
          <w:p>
            <w:pPr>
              <w:spacing w:after="0"/>
              <w:rPr>
                <w:sz w:val="1"/>
                <w:szCs w:val="1"/>
                <w:color w:val="auto"/>
              </w:rPr>
            </w:pPr>
          </w:p>
        </w:tc>
      </w:tr>
      <w:tr>
        <w:trPr>
          <w:trHeight w:val="87"/>
        </w:trPr>
        <w:tc>
          <w:tcPr>
            <w:tcW w:w="2420" w:type="dxa"/>
            <w:vAlign w:val="bottom"/>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Itron North America: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2011 vs. Three months ended September 30, 2010</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decreased $18.6 million, or 6%, for the three months ended September 30, 2011, compared with the same period last year. The decrease in revenues was primarily due to a 9% decline in OpenWay meter and communication module volumes, which was due to the timing of certain projects nearing completion. For the three months ended September 30, 2011, non-OpenWay product and service revenues, which include standard and advanced meters as well as smart gas communication modules, were comparable with the same period last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Three customers each represented more than 10% of Itron North America revenues in the three months ended September 30, 2011 and 2010.</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2011 vs. Nine months ended September 30, 2010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for the nine months ended September 30, 2011 were comparable with the same period last year. A 7% increase in revenues for non-OpenWay products and service revenues, including smart gas communication modules, was primarily offset by a decline in OpenWay meter and communication module volumes.</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Two customers each represented more than 10% of Itron North America revenues in the nine months ended September 30, 2011, and three customers each represented more than 10% of Itron North America revenues in the nine months ended September 30, 2010.</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2011 vs. Three months ended September 30, 2010</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was 28.8% for the three months ended September 30, 2011, compared with gross margin of 35.0% for the same period last year. Increased warranty charges of $12.6 million associated with a vendor supplied component and $4.7 million due to corrective actions for specific customers reduced gross margin by six percentage points. In addition, increased revenues and margins for smart gas communication modules and non-OpenWay services were partially offset by higher OpenWay project costs.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2011 vs. Nine months ended September 30,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margin was 32.2% for the nine months ended September 30, 2011, compared with gross margin of 33.7% for the same</w:t>
      </w:r>
    </w:p>
    <w:p>
      <w:pPr>
        <w:sectPr>
          <w:pgSz w:w="11900" w:h="16838" w:orient="portrait"/>
          <w:cols w:equalWidth="0" w:num="1">
            <w:col w:w="11420"/>
          </w:cols>
          <w:pgMar w:left="240" w:top="125"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 last year. Increased third quarter 2011 warranty charges of $12.6 million associated with a vendor supplied component and $3.7 million due to corrective actions for specific customers reduced gross margin by two percentage points. In addition, increased revenues and margins for smart gas communication modules and non-OpenWay services were partially offset by higher OpenWay project costs.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2011 vs. Three months ended September 30, 2010</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Itron North America operating expenses decreased $376,000, or 1%, for the three months ended September 30, 2011, compared with the same period last year, primarily due to reduced sales and marketing, general and administrative expenses, and scheduled decreases in amortization of intangible assets, partially offset by increased product development costs for new and enhanced products. Operating expenses as a percentage of revenues were 16% for the three months ended September 30, 2011, compared with 15% for the same period last year.</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2011 vs. Nine months ended September 30, 2010</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Itron North America operating expenses increased $13.1 million, or 9%, for the nine months ended September 30, 2011, compared with the same period last year, primarily due to increased product development costs for new and enhanced products, as well as higher marketing expense associated with the pursuit of smart grid opportunities. These higher costs were partially offset by a scheduled decrease in amortization of intangible assets. Operating expenses as a percentage of revenues were 18% for the nine months ended September 30, 2011, compared with 16% for the same period last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Itron International</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Itron International business line revenues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1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2010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2010</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121,463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102,918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336,698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302,645</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Water</w:t>
            </w:r>
          </w:p>
        </w:tc>
        <w:tc>
          <w:tcPr>
            <w:tcW w:w="11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102,052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79,789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315,248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253,670</w:t>
            </w: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Gas</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97,463</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77,788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279,918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226,440</w:t>
            </w:r>
          </w:p>
        </w:tc>
      </w:tr>
      <w:tr>
        <w:trPr>
          <w:trHeight w:val="217"/>
        </w:trPr>
        <w:tc>
          <w:tcPr>
            <w:tcW w:w="3780" w:type="dxa"/>
            <w:vAlign w:val="bottom"/>
          </w:tcPr>
          <w:p>
            <w:pPr>
              <w:ind w:left="380"/>
              <w:spacing w:after="0"/>
              <w:rPr>
                <w:sz w:val="20"/>
                <w:szCs w:val="20"/>
                <w:color w:val="auto"/>
              </w:rPr>
            </w:pPr>
            <w:r>
              <w:rPr>
                <w:rFonts w:ascii="Arial" w:cs="Arial" w:eastAsia="Arial" w:hAnsi="Arial"/>
                <w:sz w:val="16"/>
                <w:szCs w:val="16"/>
                <w:color w:val="auto"/>
              </w:rPr>
              <w:t>Itron International revenues</w:t>
            </w: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6"/>
              </w:rPr>
              <w:t>320,978</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260,496</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931,864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782,756</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September 30, 2011 vs. Three months ended September 30, 2010</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$60.5 million, or 23%, for the three months ended September 30, 2011, compared with the same period last year. The net translation effect of our operations denominated in foreign currencies to the U.S. dollar accounted for $24.4 million of the increase in revenues. Meter and communication module volumes increased 6% for the three months ended September 30, 2011, compared with the same period last year primarily due to increased gas and water advanced metering projects and electricity prepayment meter sales.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Itron International revenues in the three months ended September 30, 2011 and 2010.</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Nine months ended September 30, 2011 vs. Nine months ended September 30, 2010</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$149.1 million, or 19%, for the nine months ended September 30, 2011, compared with the same period last year. The net translation effect of our operations denominated in foreign currencies to the U.S. dollar accounted for $61.8 million of the increase in revenues. Meter and communication module volumes increased 5% for the nine months ended September 30, 2011, compared with the same period last year primarily due to increased gas and water advanced metering projects and electricity prepayment meter sales.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Itron International revenues in the nine months ended September 30, 2011 and 2010.</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September 30, 2011 vs. Three months ended September 30, 2010</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Itron International gross margin increased to 28.4% for the three months ended September 30, 2011, compared with gross margin of 27.7% for the same period last year.</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Electricity margins were favorably impacted by a favorable product mix of prepayment meter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Gas margins increased due to a favorable mix of higher margin Commercial and Industrial (C&amp;I) products.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Water margins decreased primarily due to higher material costs, including brass.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Nine months ended September 30, 2011 vs. Nine months ended September 30, 2010</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Itron International gross margin increased to 29.5% for the nine months ended September 30, 2011, compared with gross margin of 28.6% for the same period last year. Gross margin for the nine months ended September 30, 2010 was impacted by warranty expense of $13.8 million associated with claims in Sweden.</w:t>
      </w:r>
    </w:p>
    <w:p>
      <w:pPr>
        <w:spacing w:after="0" w:line="139"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Electricity margins were impacted favorably by lower warranty expense. Warranty expense in 2011 included an $8.6 million recovery from a third party associated with claims in Sweden and a $7.7 million charge related to certain products in Brazil.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Gas margins increased due to a favorable mix of higher margin C&amp;I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Water margins decreased primarily due to higher material costs, including brass.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September 30, 2011 vs. Three months ended September 30, 2010</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Itron International operating expenses for the three months ended September 30, 2011 included an estimated goodwill impairment of $540.4 million associated with two of its reporting units, as discussed in </w:t>
      </w:r>
      <w:r>
        <w:rPr>
          <w:rFonts w:ascii="Arial" w:cs="Arial" w:eastAsia="Arial" w:hAnsi="Arial"/>
          <w:sz w:val="18"/>
          <w:szCs w:val="18"/>
          <w:i w:val="1"/>
          <w:iCs w:val="1"/>
          <w:color w:val="auto"/>
        </w:rPr>
        <w:t>Overview</w:t>
      </w:r>
      <w:r>
        <w:rPr>
          <w:rFonts w:ascii="Arial" w:cs="Arial" w:eastAsia="Arial" w:hAnsi="Arial"/>
          <w:sz w:val="18"/>
          <w:szCs w:val="18"/>
          <w:color w:val="auto"/>
        </w:rPr>
        <w:t>. Operating expenses increased an additional $11.6 million for the three months ended September 30, 2011, compared with the same period last year, of which $6.1 million represented the net translation effect of foreign currencies to the U.S. dollar.</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Nine months ended September 30, 2011 vs. Nine months ended September 30, 2010</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Itron International operating expenses for the nine months ended September 30, 2011 included an estimated goodwill impairment of $540.4 million associated with two of its reporting units, as discussed in </w:t>
      </w:r>
      <w:r>
        <w:rPr>
          <w:rFonts w:ascii="Arial" w:cs="Arial" w:eastAsia="Arial" w:hAnsi="Arial"/>
          <w:sz w:val="16"/>
          <w:szCs w:val="16"/>
          <w:i w:val="1"/>
          <w:iCs w:val="1"/>
          <w:color w:val="auto"/>
        </w:rPr>
        <w:t>Overview</w:t>
      </w:r>
      <w:r>
        <w:rPr>
          <w:rFonts w:ascii="Arial" w:cs="Arial" w:eastAsia="Arial" w:hAnsi="Arial"/>
          <w:sz w:val="16"/>
          <w:szCs w:val="16"/>
          <w:color w:val="auto"/>
        </w:rPr>
        <w:t>. Operating expenses increased an additional $25.8 million for the nine months ended September 30, 2011, compared with the same period last year, of which $14.4 million represented the net translation effect of foreign currencies to the U.S. dollar.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not directly associated with an operating segment are classified as “Corporate unallocated.” These expenses decreased 9% to $9.9 million in the three months ended September 30, 2011 and decreased 4% to $30.9 million in the nine months ended September 30, 2011, compared with the same periods last year. The decrease was primarily due to the reversal of approximately $1.0 million in stock-based compensation expense from the forfeiture of stock-based awards and the reversal of accrued bonus expense resulting from the retirement of our former chief executive officer in August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business as we have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and backlog is summarized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2011</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1,439</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2011</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483</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1,622</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1,049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2011</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681</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1,747</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2010</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581</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1,620</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913</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2010</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528</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1,663</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60" w:type="dxa"/>
            <w:vAlign w:val="bottom"/>
          </w:tcPr>
          <w:p>
            <w:pPr>
              <w:spacing w:after="0"/>
              <w:rPr>
                <w:sz w:val="18"/>
                <w:szCs w:val="18"/>
                <w:color w:val="auto"/>
              </w:rPr>
            </w:pPr>
          </w:p>
        </w:tc>
        <w:tc>
          <w:tcPr>
            <w:tcW w:w="196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 Bookings</w:t>
            </w:r>
          </w:p>
        </w:tc>
        <w:tc>
          <w:tcPr>
            <w:tcW w:w="360" w:type="dxa"/>
            <w:vAlign w:val="bottom"/>
          </w:tcPr>
          <w:p>
            <w:pPr>
              <w:spacing w:after="0"/>
              <w:rPr>
                <w:sz w:val="18"/>
                <w:szCs w:val="18"/>
                <w:color w:val="auto"/>
              </w:rPr>
            </w:pPr>
          </w:p>
        </w:tc>
        <w:tc>
          <w:tcPr>
            <w:tcW w:w="2020" w:type="dxa"/>
            <w:vAlign w:val="bottom"/>
          </w:tcPr>
          <w:p>
            <w:pPr>
              <w:jc w:val="right"/>
              <w:ind w:right="359"/>
              <w:spacing w:after="0"/>
              <w:rPr>
                <w:sz w:val="20"/>
                <w:szCs w:val="20"/>
                <w:color w:val="auto"/>
              </w:rPr>
            </w:pPr>
            <w:r>
              <w:rPr>
                <w:rFonts w:ascii="Arial" w:cs="Arial" w:eastAsia="Arial" w:hAnsi="Arial"/>
                <w:sz w:val="16"/>
                <w:szCs w:val="16"/>
                <w:b w:val="1"/>
                <w:bCs w:val="1"/>
                <w:color w:val="auto"/>
              </w:rPr>
              <w:t>Itron North America</w:t>
            </w:r>
          </w:p>
        </w:tc>
        <w:tc>
          <w:tcPr>
            <w:tcW w:w="3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Itron International</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659"/>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2011</w:t>
            </w:r>
          </w:p>
        </w:tc>
        <w:tc>
          <w:tcPr>
            <w:tcW w:w="360" w:type="dxa"/>
            <w:vAlign w:val="bottom"/>
          </w:tcPr>
          <w:p>
            <w:pPr>
              <w:spacing w:after="0"/>
              <w:rPr>
                <w:sz w:val="20"/>
                <w:szCs w:val="20"/>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color w:val="auto"/>
              </w:rPr>
              <w:t>483</w:t>
            </w:r>
          </w:p>
        </w:tc>
        <w:tc>
          <w:tcPr>
            <w:tcW w:w="360" w:type="dxa"/>
            <w:vAlign w:val="bottom"/>
          </w:tcPr>
          <w:p>
            <w:pPr>
              <w:spacing w:after="0"/>
              <w:rPr>
                <w:sz w:val="20"/>
                <w:szCs w:val="20"/>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3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2011</w:t>
            </w:r>
          </w:p>
        </w:tc>
        <w:tc>
          <w:tcPr>
            <w:tcW w:w="3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681</w:t>
            </w:r>
          </w:p>
        </w:tc>
        <w:tc>
          <w:tcPr>
            <w:tcW w:w="3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2010</w:t>
            </w:r>
          </w:p>
        </w:tc>
        <w:tc>
          <w:tcPr>
            <w:tcW w:w="360" w:type="dxa"/>
            <w:vAlign w:val="bottom"/>
          </w:tcPr>
          <w:p>
            <w:pPr>
              <w:spacing w:after="0"/>
              <w:rPr>
                <w:sz w:val="20"/>
                <w:szCs w:val="20"/>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color w:val="auto"/>
              </w:rPr>
              <w:t>581</w:t>
            </w:r>
          </w:p>
        </w:tc>
        <w:tc>
          <w:tcPr>
            <w:tcW w:w="360" w:type="dxa"/>
            <w:vAlign w:val="bottom"/>
          </w:tcPr>
          <w:p>
            <w:pPr>
              <w:spacing w:after="0"/>
              <w:rPr>
                <w:sz w:val="20"/>
                <w:szCs w:val="20"/>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3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2010</w:t>
            </w:r>
          </w:p>
        </w:tc>
        <w:tc>
          <w:tcPr>
            <w:tcW w:w="36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528</w:t>
            </w:r>
          </w:p>
        </w:tc>
        <w:tc>
          <w:tcPr>
            <w:tcW w:w="36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38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we sign project agreements to deploy our meter and communication systems, we include these contracts in bookings and backlog when regulatory approvals are received and/or contractual conditions are satisfied. For the quarter ended March 31, 2011, bookings included an OpenWay contract for $268 million with BC Hydro.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6"/>
              </w:rPr>
              <w:t>Three Months Ended September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Nine Months Ended 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1"/>
                <w:szCs w:val="11"/>
                <w:b w:val="1"/>
                <w:bCs w:val="1"/>
                <w:color w:val="auto"/>
                <w:w w:val="89"/>
              </w:rPr>
              <w:t>(in thousands)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45,037</w:t>
            </w:r>
          </w:p>
        </w:tc>
        <w:tc>
          <w:tcPr>
            <w:tcW w:w="1160" w:type="dxa"/>
            <w:vAlign w:val="bottom"/>
            <w:gridSpan w:val="2"/>
            <w:vMerge w:val="restart"/>
            <w:shd w:val="clear" w:color="auto" w:fill="CCEEFF"/>
          </w:tcPr>
          <w:p>
            <w:pPr>
              <w:jc w:val="center"/>
              <w:ind w:left="68"/>
              <w:spacing w:after="0"/>
              <w:rPr>
                <w:sz w:val="20"/>
                <w:szCs w:val="20"/>
                <w:color w:val="auto"/>
              </w:rPr>
            </w:pPr>
            <w:r>
              <w:rPr>
                <w:rFonts w:ascii="Arial" w:cs="Arial" w:eastAsia="Arial" w:hAnsi="Arial"/>
                <w:sz w:val="14"/>
                <w:szCs w:val="14"/>
                <w:color w:val="auto"/>
                <w:w w:val="88"/>
              </w:rPr>
              <w:t>7%</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41,197</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7%</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138,530</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123,708</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Product development</w:t>
            </w:r>
          </w:p>
        </w:tc>
        <w:tc>
          <w:tcPr>
            <w:tcW w:w="14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38,672</w:t>
            </w:r>
          </w:p>
        </w:tc>
        <w:tc>
          <w:tcPr>
            <w:tcW w:w="116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w w:val="88"/>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34,038</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8"/>
              </w:rPr>
              <w:t>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120,048</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100,100</w:t>
            </w:r>
          </w:p>
        </w:tc>
        <w:tc>
          <w:tcPr>
            <w:tcW w:w="12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32,212</w:t>
            </w:r>
          </w:p>
        </w:tc>
        <w:tc>
          <w:tcPr>
            <w:tcW w:w="1160" w:type="dxa"/>
            <w:vAlign w:val="bottom"/>
            <w:gridSpan w:val="2"/>
            <w:vMerge w:val="restart"/>
            <w:shd w:val="clear" w:color="auto" w:fill="CCEEFF"/>
          </w:tcPr>
          <w:p>
            <w:pPr>
              <w:jc w:val="center"/>
              <w:ind w:left="68"/>
              <w:spacing w:after="0"/>
              <w:rPr>
                <w:sz w:val="20"/>
                <w:szCs w:val="20"/>
                <w:color w:val="auto"/>
              </w:rPr>
            </w:pPr>
            <w:r>
              <w:rPr>
                <w:rFonts w:ascii="Arial" w:cs="Arial" w:eastAsia="Arial" w:hAnsi="Arial"/>
                <w:sz w:val="14"/>
                <w:szCs w:val="14"/>
                <w:color w:val="auto"/>
                <w:w w:val="88"/>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30,710</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100,661</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97,052</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16,013</w:t>
            </w:r>
          </w:p>
        </w:tc>
        <w:tc>
          <w:tcPr>
            <w:tcW w:w="116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16,882</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8"/>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47,807</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51,459</w:t>
            </w:r>
          </w:p>
        </w:tc>
        <w:tc>
          <w:tcPr>
            <w:tcW w:w="12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1,096</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Goodwill impairment</w:t>
            </w:r>
          </w:p>
        </w:tc>
        <w:tc>
          <w:tcPr>
            <w:tcW w:w="14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540,400</w:t>
            </w:r>
          </w:p>
        </w:tc>
        <w:tc>
          <w:tcPr>
            <w:tcW w:w="120" w:type="dxa"/>
            <w:vAlign w:val="bottom"/>
            <w:vMerge w:val="restart"/>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2"/>
              </w:rPr>
              <w:t>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540,400</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2"/>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operating expenses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673,430</w:t>
            </w:r>
          </w:p>
        </w:tc>
        <w:tc>
          <w:tcPr>
            <w:tcW w:w="1160" w:type="dxa"/>
            <w:vAlign w:val="bottom"/>
            <w:gridSpan w:val="2"/>
            <w:vMerge w:val="restart"/>
            <w:shd w:val="clear" w:color="auto" w:fill="CCEEFF"/>
          </w:tcPr>
          <w:p>
            <w:pPr>
              <w:jc w:val="center"/>
              <w:ind w:left="68"/>
              <w:spacing w:after="0"/>
              <w:rPr>
                <w:sz w:val="20"/>
                <w:szCs w:val="20"/>
                <w:color w:val="auto"/>
              </w:rPr>
            </w:pPr>
            <w:r>
              <w:rPr>
                <w:rFonts w:ascii="Arial" w:cs="Arial" w:eastAsia="Arial" w:hAnsi="Arial"/>
                <w:sz w:val="14"/>
                <w:szCs w:val="14"/>
                <w:color w:val="auto"/>
                <w:w w:val="94"/>
              </w:rPr>
              <w:t>109%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122,827</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950,449</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372,319</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0" w:type="dxa"/>
            <w:vAlign w:val="bottom"/>
          </w:tcPr>
          <w:p>
            <w:pPr>
              <w:spacing w:after="0"/>
              <w:rPr>
                <w:sz w:val="1"/>
                <w:szCs w:val="1"/>
                <w:color w:val="auto"/>
              </w:rPr>
            </w:pPr>
          </w:p>
        </w:tc>
      </w:tr>
      <w:tr>
        <w:trPr>
          <w:trHeight w:val="60"/>
        </w:trPr>
        <w:tc>
          <w:tcPr>
            <w:tcW w:w="24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considerable decline in the price of our shares of common stock at the end of September 2011, our aggregate market value was significantly lower than the aggregate carrying value of our net assets. Therefore, we performed an interim impairment test of our goodwill as of September 30, 2011, which resulted in an estimated goodwill impairment of $540.4 million associated with two reporting units within our Itron International reporting unit. Operating expenses increased an additional $10.2 million for the three months ended September 30, 2011, compared with the same period last year, of which $6.3 million represented the net translation effect of foreign currencies to the U.S. dollar. Operating expenses increased an additional $37.7 million for the nine months ended September 30, 2011, compared with the same period last year, of which $15.0 million represented the net translation effect of foreign currencies to the U.S. dollar. Higher costs related to product development for new and enhanced products, as well as higher marketing expense associated with the pursuit of smart grid opportunities were partially offset by a scheduled decrease in amortization of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1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2010</w:t>
            </w:r>
          </w:p>
        </w:tc>
      </w:tr>
      <w:tr>
        <w:trPr>
          <w:trHeight w:val="33"/>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(7,696)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(11,872)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(28,965)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(37,997)</w:t>
            </w: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(3,147)</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(4,423)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(5,440)</w:t>
            </w: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(17,585)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(47,212)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Interest rates have continued to remain low.</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continues to decline each period as a result of our declining principal balance of debt outstanding. Total debt was $496.3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$610.9 million at September 30, 2011 and December 31, 2010, respectively. Interest expense for the three and nine months ended September 30, 2011 also included $2.9 million reclassified from accumulated other comprehensive income upon the termination of our remaining interest rate swap associated with our 2007 credit facility. Refer to Item 1: “Financial Statements Note 6: Debt" and "Financial Statements Note 7: Derivative Financial Instruments" for additional details related to our long-term borrowings and derivative instruments.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Amortization of prepaid debt fees</w:t>
      </w:r>
      <w:r>
        <w:rPr>
          <w:rFonts w:ascii="Arial" w:cs="Arial" w:eastAsia="Arial" w:hAnsi="Arial"/>
          <w:sz w:val="17"/>
          <w:szCs w:val="17"/>
          <w:color w:val="auto"/>
        </w:rPr>
        <w:t>: Amortization of prepaid debt fees for the three and nine months ended September 30, 2011 was higher than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last year due to the $2.4 million write-off of unamortized prepaid debt fees associated with our 2007 credit facility that was replaced with the 2011 credit facility. Refer to Item 1: “Financial Statements Note 6: Debt” for additional details related to our long-term borrowings.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consist primarily of unrealized and realized foreign currency gains and losses due to balances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 currency other than the reporting entity's functional currency and other non-operating income (expenses). Foreign currency losses, net of hedging, were $1.1 million and $3.0 million for the three and nine months ended September 30, 2011, compared with net foreign currency losses of $2.9 million and $2.2 million in the same periods last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c>
          <w:tcPr>
            <w:tcW w:w="8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2011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2010</w:t>
            </w:r>
          </w:p>
        </w:tc>
        <w:tc>
          <w:tcPr>
            <w:tcW w:w="8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8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6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153,801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167,116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(59,800)</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(40,095)</w:t>
            </w:r>
          </w:p>
        </w:tc>
      </w:tr>
      <w:tr>
        <w:trPr>
          <w:trHeight w:val="33"/>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(136,111)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(100,923)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4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2,147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146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(39,963)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and cash equivalents was $129.5 million at September 30, 2011, compared with $169.5 million at December 31, 2010. The decrease was primarily the result of repayments of debt and an increase in raw materials and finished goods inventory.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during the nine months ended September 30, 2011 was $13.3 million lower, compared with the same period in 2010, primarily due to the payment of accrued bonus and profit sharing expenses during the nine months ended September 30, 2011 and an increase in raw materials and finished goods inventory.</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during the nine months ended September 30, 2011 was $19.7 million higher, compared with the same period in 2010. The acquisition of property, plant, and equipment was stable for the comparative periods while other investing activities, such as a minor business acquisition, provided the increase.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During the nine months ended September 30, 2011, net repayments on borrowings were $134.3 million, compared with $106.5 million during the same period in 2010. Cash paid for debt fees was $6.8 million for the nine months ended September 30, 2011, compared with $1.3 million during the same period in 2010.</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nine months ended September 30, 2011 was an increase of $2.1 million, compared with a increase of $123,000 for the same period in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September 30, 2011 and December 31, 2010 that we believe are reasonably likely to have a current or future effect on our financial condition, results of operations, or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$372.4 million at September 30, 2011, compared with $178.5 million at December 31, 2010.</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 2011, in accordance with the terms of the convertible senior subordinated notes (convertible notes), at the option of the holders, we repurchased $184.8 million of the convertible notes at their principal amount plus accrued and unpaid interest. On September 30, 2011, we redeemed, at our option, the remaining $38.8 million of the convertible notes, plus accrued and unpaid interest. The convertible notes were repurchased and redeemed using a combination of cash on hand and borrowings under our credit facilities.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5, 2011, we entered into an $800 million senior secured credit facility (the 2011 credit facility), which replaced the senior secured credit facility we entered into in 2007. The 2011 credit facility consists of a $300 million U.S. dollar term loan and a multicurrency revolving line of credit (the revolver) with a principal amount of up to $500 million. At September 30, 2011, $200 million was outstanding under the revolver, and $35.9 million was utilized by outstanding standby letters of credit, resulting in $264.1 million available for additional borrowings.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2011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2011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24, 2011, our Board of Directors authorized a repurchase program of up to $100 million of our common stock over the next twelve months. The share repurchase program is effective immediately. Repurchases will be made in the open market or in privately negotiated transactions and in accordance with applicable securities laws. Depending on market conditions and other factors, these repurchases may be commenced or suspended from time to time without prior notice.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26, 2011, we announced projects to restructure our manufacturing operations to increase efficiency and lower our cost of manufacturing. Under the restructuring, we are implementing projects to close or consolidate several of our manufacturing facilities. Approximately one-third of our 31 global manufacturing locations will be impacted: six manufacturing facilities will be closed or sold, and operations at several other facilities will be reduced. Overall, we expect to reduce our global workforce by approximately 7.5%. In connection with the restructuring projects, we expect to recognize pre-tax restructuring charges of $65 to $75 million over the next 15 to 18 months. A substantial portion of these charges is expected to be incurred and paid during the fourth quarter of 2011, throughout 2012, and the first half of 2013. Approximately $45 million of the charges are expected to be recorded in the fourth quarter of 2011, approximately $15 million will be recorded in 2012, and the remainder in 2013. Certain projects are subject to a variety of labor and employment laws, rules, and regulations which could result in a delay in implementing projects at some locations. For 2012, we expect to achieve savings of approximately $15 million, which will be realized primarily in the second half of the year. By the end of 2013, we expect to realize substantially all of the annualized cost savings of approximately $30 million.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net deferred tax assets consist primarily of tax credits and net operating loss carryforwards. The utilization of some of the net operating loss carryforwards are limited by Internal Revenue Code Section 382. Based on current projections, including the impact of the repurchase of all of the convertible notes, we expect to pay approximately $11.1 million in U.S. federal and state taxes and $19.0 million in local and foreign taxes in 2011. See Item 1: “Financial Statements Note 10: Income Taxes” for a discussion of our tax provision (benefit) and unrecognized tax benefits.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2011 contributions, refer to Item 1: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Note 8: Defined Benefit Pension Plans”.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September 30, 2011 and the expected timing of payment, refer to </w:t>
      </w:r>
      <w:r>
        <w:rPr>
          <w:rFonts w:ascii="Arial" w:cs="Arial" w:eastAsia="Arial" w:hAnsi="Arial"/>
          <w:sz w:val="18"/>
          <w:szCs w:val="18"/>
          <w:i w:val="1"/>
          <w:iCs w:val="1"/>
          <w:color w:val="auto"/>
        </w:rPr>
        <w:t xml:space="preserve">Bonus and Profit Sharing </w:t>
      </w:r>
      <w:r>
        <w:rPr>
          <w:rFonts w:ascii="Arial" w:cs="Arial" w:eastAsia="Arial" w:hAnsi="Arial"/>
          <w:sz w:val="18"/>
          <w:szCs w:val="18"/>
          <w:color w:val="auto"/>
        </w:rPr>
        <w:t>within Critical Accounting Estimates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Overview</w:t>
      </w:r>
    </w:p>
    <w:p>
      <w:pPr>
        <w:spacing w:after="0" w:line="23" w:lineRule="exact"/>
        <w:rPr>
          <w:sz w:val="20"/>
          <w:szCs w:val="20"/>
          <w:color w:val="auto"/>
        </w:rPr>
      </w:pPr>
    </w:p>
    <w:p>
      <w:pPr>
        <w:jc w:val="both"/>
        <w:spacing w:after="0" w:line="216" w:lineRule="exact"/>
        <w:rPr>
          <w:sz w:val="20"/>
          <w:szCs w:val="20"/>
          <w:color w:val="auto"/>
        </w:rPr>
      </w:pPr>
      <w:r>
        <w:rPr>
          <w:rFonts w:ascii="Arial" w:cs="Arial" w:eastAsia="Arial" w:hAnsi="Arial"/>
          <w:sz w:val="16"/>
          <w:szCs w:val="16"/>
          <w:color w:val="auto"/>
        </w:rPr>
        <w:t>We expect to grow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2010, which was filed with the SEC on February 25, 2011, Part II: Other Information Item 1A "Risk Factors" included in our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fiscal quarter ended June 30, 2011, which was filed with the SEC on August 2, 2011, as well as “Quantitative and Qualitative Disclosures About Market Risk” within Item 3 of Part I included in this Quarterly Report on Form 10-Q.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arrangements, 4) upon receipt of customer acceptance, or 5) transfer of title. A majority of our revenue is recognized when products are shipped to or received by a customer or when services are provided.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implementation services are essential to a software arrangement, revenue is recognized using either the percentage-of-completion methodology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are unable to establish selling price using VSOE or TPE, we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annual estimated effective tax rate requires significant judgment and is subject to several factors, including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 Changes in tax laws and unanticipated tax liabilities could significantly impact our tax rate.</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Our Itron North America operating segment represents one reporting unit, while our Itron International operating segment has three reporting units. In the first quarter of 2012, we will reallocate our goodwill from our existing reporting units to the new reporting units within the Energy and Water operating segments based on the relative fair values of the existing and new reporting units on January 1, 2012.</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The impairment test for goodwill involves comparing the fair value of the reporting units to their carrying amounts. If the carrying amount of a reporting unit exceeds its fair value, a second step is required to measure for a goodwill impairment loss. This step revalues all assets and liabilities of the reporting unit to their current fair values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our aggregate market value of our shares of common stock on the date of valuation, while considering a reasonable control premium. Our 2010 annual goodwill impairment analysis did not result in an impairment charge as the fair value of each reporting unit exceeded its carrying value.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considerable decline in the price of our shares of common stock at the end of September 2011, our aggregate market value was significantly lower than the aggregate carrying value of our net assets. Therefore, we performed an interim impairment test of our goodwill as of September 30, 2011, which resulted in an estimated goodwill write-down of $540.4 million in the third quarter of 2011. Pursuant to the procedures required to complete the two step goodwill impairment test, we will finalize the amount of the goodwill impairment charge during the fourth quarter of 2011, which could result in an increase or a decrease to the estimated impairment charge recognized in the third quarter. The goodwill impairment does not affect the debt covenants under the Company's existing credit facility.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goodwill impairment was associated with two reporting units from the Itron International operating segment. The goodwill balance before and after the estimated goodwill impairment is as follows:</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September 30, 2011</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339"/>
              <w:spacing w:after="0"/>
              <w:rPr>
                <w:sz w:val="20"/>
                <w:szCs w:val="20"/>
                <w:color w:val="auto"/>
              </w:rPr>
            </w:pPr>
            <w:r>
              <w:rPr>
                <w:rFonts w:ascii="Arial" w:cs="Arial" w:eastAsia="Arial" w:hAnsi="Arial"/>
                <w:sz w:val="16"/>
                <w:szCs w:val="16"/>
                <w:b w:val="1"/>
                <w:bCs w:val="1"/>
                <w:color w:val="auto"/>
                <w:w w:val="95"/>
              </w:rPr>
              <w:t>Before Estimated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b w:val="1"/>
                <w:bCs w:val="1"/>
                <w:color w:val="auto"/>
              </w:rPr>
              <w:t>After Estimated</w:t>
            </w:r>
          </w:p>
        </w:tc>
      </w:tr>
      <w:tr>
        <w:trPr>
          <w:trHeight w:val="210"/>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Reporting Unit</w:t>
            </w:r>
          </w:p>
        </w:tc>
        <w:tc>
          <w:tcPr>
            <w:tcW w:w="200" w:type="dxa"/>
            <w:vAlign w:val="bottom"/>
          </w:tcPr>
          <w:p>
            <w:pPr>
              <w:spacing w:after="0"/>
              <w:rPr>
                <w:sz w:val="18"/>
                <w:szCs w:val="18"/>
                <w:color w:val="auto"/>
              </w:rPr>
            </w:pPr>
          </w:p>
        </w:tc>
        <w:tc>
          <w:tcPr>
            <w:tcW w:w="1700" w:type="dxa"/>
            <w:vAlign w:val="bottom"/>
          </w:tcPr>
          <w:p>
            <w:pPr>
              <w:jc w:val="right"/>
              <w:ind w:right="519"/>
              <w:spacing w:after="0"/>
              <w:rPr>
                <w:sz w:val="20"/>
                <w:szCs w:val="20"/>
                <w:color w:val="auto"/>
              </w:rPr>
            </w:pPr>
            <w:r>
              <w:rPr>
                <w:rFonts w:ascii="Arial" w:cs="Arial" w:eastAsia="Arial" w:hAnsi="Arial"/>
                <w:sz w:val="16"/>
                <w:szCs w:val="16"/>
                <w:b w:val="1"/>
                <w:bCs w:val="1"/>
                <w:color w:val="auto"/>
              </w:rPr>
              <w:t>Impairment</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Estimated Impairment</w:t>
            </w:r>
          </w:p>
        </w:tc>
        <w:tc>
          <w:tcPr>
            <w:tcW w:w="220" w:type="dxa"/>
            <w:vAlign w:val="bottom"/>
          </w:tcPr>
          <w:p>
            <w:pPr>
              <w:spacing w:after="0"/>
              <w:rPr>
                <w:sz w:val="18"/>
                <w:szCs w:val="18"/>
                <w:color w:val="auto"/>
              </w:rPr>
            </w:pP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Impairment</w:t>
            </w:r>
          </w:p>
        </w:tc>
      </w:tr>
      <w:tr>
        <w:trPr>
          <w:trHeight w:val="33"/>
        </w:trPr>
        <w:tc>
          <w:tcPr>
            <w:tcW w:w="3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(in thousands)</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Itron International - Electricity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363,626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147,541</w:t>
            </w: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Itron International - Water</w:t>
            </w:r>
          </w:p>
        </w:tc>
        <w:tc>
          <w:tcPr>
            <w:tcW w:w="200" w:type="dxa"/>
            <w:vAlign w:val="bottom"/>
          </w:tcPr>
          <w:p>
            <w:pPr>
              <w:spacing w:after="0"/>
              <w:rPr>
                <w:sz w:val="20"/>
                <w:szCs w:val="20"/>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389,308</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324,315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64,993</w:t>
            </w:r>
          </w:p>
        </w:tc>
      </w:tr>
      <w:tr>
        <w:trPr>
          <w:trHeight w:val="33"/>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212,534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percentage by which the estimated fair value of the remaining two reporting units exceeded their carrying value and the amount of goodwill allocated to each of these remaining reporting units at September 30, 2011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gridSpan w:val="3"/>
          </w:tcPr>
          <w:p>
            <w:pPr>
              <w:ind w:left="1280"/>
              <w:spacing w:after="0"/>
              <w:rPr>
                <w:sz w:val="20"/>
                <w:szCs w:val="20"/>
                <w:color w:val="auto"/>
              </w:rPr>
            </w:pPr>
            <w:r>
              <w:rPr>
                <w:rFonts w:ascii="Arial" w:cs="Arial" w:eastAsia="Arial" w:hAnsi="Arial"/>
                <w:sz w:val="16"/>
                <w:szCs w:val="16"/>
                <w:b w:val="1"/>
                <w:bCs w:val="1"/>
                <w:color w:val="auto"/>
              </w:rPr>
              <w:t>September 30, 2011</w:t>
            </w: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9"/>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1"/>
              </w:rPr>
              <w:t>Fair Value Exceeded</w:t>
            </w:r>
          </w:p>
        </w:tc>
      </w:tr>
      <w:tr>
        <w:trPr>
          <w:trHeight w:val="210"/>
        </w:trPr>
        <w:tc>
          <w:tcPr>
            <w:tcW w:w="674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380" w:type="dxa"/>
            <w:vAlign w:val="bottom"/>
          </w:tcPr>
          <w:p>
            <w:pPr>
              <w:spacing w:after="0"/>
              <w:rPr>
                <w:sz w:val="18"/>
                <w:szCs w:val="18"/>
                <w:color w:val="auto"/>
              </w:rPr>
            </w:pPr>
          </w:p>
        </w:tc>
        <w:tc>
          <w:tcPr>
            <w:tcW w:w="1900" w:type="dxa"/>
            <w:vAlign w:val="bottom"/>
          </w:tcPr>
          <w:p>
            <w:pPr>
              <w:jc w:val="right"/>
              <w:ind w:right="739"/>
              <w:spacing w:after="0"/>
              <w:rPr>
                <w:sz w:val="20"/>
                <w:szCs w:val="20"/>
                <w:color w:val="auto"/>
              </w:rPr>
            </w:pPr>
            <w:r>
              <w:rPr>
                <w:rFonts w:ascii="Arial" w:cs="Arial" w:eastAsia="Arial" w:hAnsi="Arial"/>
                <w:sz w:val="16"/>
                <w:szCs w:val="16"/>
                <w:b w:val="1"/>
                <w:bCs w:val="1"/>
                <w:color w:val="auto"/>
              </w:rPr>
              <w:t>Goodwill</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5"/>
              </w:rPr>
              <w:t>Carrying Value</w:t>
            </w:r>
          </w:p>
        </w:tc>
      </w:tr>
      <w:tr>
        <w:trPr>
          <w:trHeight w:val="33"/>
        </w:trPr>
        <w:tc>
          <w:tcPr>
            <w:tcW w:w="6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Itron North America</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197,731</w:t>
            </w:r>
          </w:p>
        </w:tc>
        <w:tc>
          <w:tcPr>
            <w:tcW w:w="2380" w:type="dxa"/>
            <w:vAlign w:val="bottom"/>
            <w:tcBorders>
              <w:bottom w:val="single" w:sz="8" w:color="CCEEFF"/>
            </w:tcBorders>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123%</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Itron International - Gas</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304,341</w:t>
            </w:r>
          </w:p>
        </w:tc>
        <w:tc>
          <w:tcPr>
            <w:tcW w:w="2380" w:type="dxa"/>
            <w:vAlign w:val="bottom"/>
            <w:gridSpan w:val="2"/>
          </w:tcPr>
          <w:p>
            <w:pPr>
              <w:jc w:val="right"/>
              <w:ind w:right="959"/>
              <w:spacing w:after="0"/>
              <w:rPr>
                <w:sz w:val="20"/>
                <w:szCs w:val="20"/>
                <w:color w:val="auto"/>
              </w:rPr>
            </w:pPr>
            <w:r>
              <w:rPr>
                <w:rFonts w:ascii="Arial" w:cs="Arial" w:eastAsia="Arial" w:hAnsi="Arial"/>
                <w:sz w:val="16"/>
                <w:szCs w:val="16"/>
                <w:color w:val="auto"/>
              </w:rPr>
              <w:t>7%</w:t>
            </w:r>
          </w:p>
        </w:tc>
      </w:tr>
      <w:tr>
        <w:trPr>
          <w:trHeight w:val="33"/>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55"/>
        </w:trPr>
        <w:tc>
          <w:tcPr>
            <w:tcW w:w="6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502,072</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(also known as “Level 2”), as defined by U.S. generally accepted accounting principles.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(separated between shorter and longer duration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10% of the highest and lowest yielding bonds within each maturity group. The discount rates derived for our shorter duration euro denominated plans (less than 10 years) and longer duration plans (greater than 10 years) were 4.50% and 5.25%, respectively. The weighted average discount rate used to measure the projected benefit obligation for all of the plans at December 31, 2010 was 5.35%. A change of 25 basis points in the discount rate would change our pension benefit obligation by approximately $2.5 million. The financial and actuarial assumptions used at December 31, 2010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and nine months ended September 30, 2011, we accrued $3.7 million and $19.3 million for such awards, compared with $12.1 million and $36.8 million in the same periods in 2010. Awards are typically distributed in the first quarter of the following year.</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In valuing our stock options, significant judgment is required in determining the expected volatility of our common stock and the expected life that individuals will hold their stock options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interest rate risk through our variable rate debt instruments.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4, 2011, we terminated our pay fixed 6.59% receive three-month Euro Interbank Offered Rate (EURIBOR), plus 2%, amortizing interest rate swap, which converted a significant portion of our euro denominated variable-rate term loan to fixed-rate debt, plus or minus the variance in the applicable margin from 2%. As a result, 100% of our borrowings are at variable rates at September 30, 2011. We will continue to monitor and assess our interest rate risk and may institute interest rate swaps or other derivative instruments to manage such risk in the future (refer to Item 1: "Financial Statements, Note 7: Derivative Financial Instruments").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Weighted average variable rates in the table are based on implied forward rates in the Reuters U.S. dollar yield curve as of September 30, 2011, our estimated leverage ratio, which determines our additional interest rate margin, and a static foreign exchange rate at September 30, 2011.</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September 30, 2011.</w:t>
      </w:r>
    </w:p>
    <w:p>
      <w:pPr>
        <w:spacing w:after="0" w:line="112" w:lineRule="exact"/>
        <w:rPr>
          <w:sz w:val="20"/>
          <w:szCs w:val="20"/>
          <w:color w:val="auto"/>
        </w:rPr>
      </w:pPr>
    </w:p>
    <w:p>
      <w:pPr>
        <w:ind w:left="3020"/>
        <w:spacing w:after="0"/>
        <w:tabs>
          <w:tab w:leader="none" w:pos="4280" w:val="left"/>
          <w:tab w:leader="none" w:pos="5560" w:val="left"/>
          <w:tab w:leader="none" w:pos="6840" w:val="left"/>
          <w:tab w:leader="none" w:pos="8120" w:val="left"/>
          <w:tab w:leader="none" w:pos="9100" w:val="left"/>
          <w:tab w:leader="none" w:pos="1064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8"/>
          <w:szCs w:val="18"/>
          <w:b w:val="1"/>
          <w:bCs w:val="1"/>
          <w:color w:val="auto"/>
        </w:rPr>
        <w:t>2012</w:t>
      </w:r>
      <w:r>
        <w:rPr>
          <w:sz w:val="20"/>
          <w:szCs w:val="20"/>
          <w:color w:val="auto"/>
        </w:rPr>
        <w:tab/>
      </w: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Beyond 2015</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34290</wp:posOffset>
            </wp:positionV>
            <wp:extent cx="5591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57"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ind w:left="40"/>
              <w:spacing w:after="0"/>
              <w:rPr>
                <w:sz w:val="20"/>
                <w:szCs w:val="20"/>
                <w:color w:val="auto"/>
              </w:rPr>
            </w:pPr>
            <w:r>
              <w:rPr>
                <w:rFonts w:ascii="Arial" w:cs="Arial" w:eastAsia="Arial" w:hAnsi="Arial"/>
                <w:sz w:val="18"/>
                <w:szCs w:val="18"/>
                <w:i w:val="1"/>
                <w:iCs w:val="1"/>
                <w:color w:val="auto"/>
              </w:rPr>
              <w:t>Variable Rate Debt</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5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Principal: U.S. dollar term</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5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loan</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15,000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18,750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26,250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202,502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296,252</w:t>
            </w:r>
          </w:p>
        </w:tc>
      </w:tr>
      <w:tr>
        <w:trPr>
          <w:trHeight w:val="243"/>
        </w:trPr>
        <w:tc>
          <w:tcPr>
            <w:tcW w:w="2580" w:type="dxa"/>
            <w:vAlign w:val="bottom"/>
          </w:tcPr>
          <w:p>
            <w:pPr>
              <w:ind w:left="620"/>
              <w:spacing w:after="0"/>
              <w:rPr>
                <w:sz w:val="20"/>
                <w:szCs w:val="20"/>
                <w:color w:val="auto"/>
              </w:rPr>
            </w:pPr>
            <w:r>
              <w:rPr>
                <w:rFonts w:ascii="Arial" w:cs="Arial" w:eastAsia="Arial" w:hAnsi="Arial"/>
                <w:sz w:val="18"/>
                <w:szCs w:val="18"/>
                <w:color w:val="auto"/>
              </w:rPr>
              <w:t>Average interest rate</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5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2580" w:type="dxa"/>
            <w:vAlign w:val="bottom"/>
          </w:tcPr>
          <w:p>
            <w:pPr>
              <w:ind w:left="620"/>
              <w:spacing w:after="0"/>
              <w:rPr>
                <w:sz w:val="20"/>
                <w:szCs w:val="20"/>
                <w:color w:val="auto"/>
              </w:rPr>
            </w:pPr>
            <w:r>
              <w:rPr>
                <w:rFonts w:ascii="Arial" w:cs="Arial" w:eastAsia="Arial" w:hAnsi="Arial"/>
                <w:sz w:val="18"/>
                <w:szCs w:val="18"/>
                <w:color w:val="auto"/>
              </w:rPr>
              <w:t>Principal: Multicurrency</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580" w:type="dxa"/>
            <w:vAlign w:val="bottom"/>
          </w:tcPr>
          <w:p>
            <w:pPr>
              <w:ind w:left="620"/>
              <w:spacing w:after="0"/>
              <w:rPr>
                <w:sz w:val="20"/>
                <w:szCs w:val="20"/>
                <w:color w:val="auto"/>
              </w:rPr>
            </w:pPr>
            <w:r>
              <w:rPr>
                <w:rFonts w:ascii="Arial" w:cs="Arial" w:eastAsia="Arial" w:hAnsi="Arial"/>
                <w:sz w:val="18"/>
                <w:szCs w:val="18"/>
                <w:color w:val="auto"/>
              </w:rPr>
              <w:t>revolving line of credit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200,000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200,000</w:t>
            </w:r>
          </w:p>
        </w:tc>
      </w:tr>
      <w:tr>
        <w:trPr>
          <w:trHeight w:val="27"/>
        </w:trPr>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2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Average interest rate</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
        </w:trPr>
        <w:tc>
          <w:tcPr>
            <w:tcW w:w="2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September 30, 2011, we estimate that, if market interest rates average one percentage point higher in 2011 than in the table above, our financial results in 2011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was 56% of total revenues for the three and nine months ended September 30, 2011, compared with 48% and 50% for the same periods in 2010.</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421 contracts were entered into during the nine months ended September 30, 2011), not designated for hedge accounting, with the intent to reduce earnings volatility associated with certain of these balances. The notional amounts of the contracts ranged from $50,000 to $72 million, offsetting our exposures from the euro, British pound, Canadian dollar, Czech koruna, Hungarian forint, and various other currencies.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left="660" w:hanging="328"/>
        <w:spacing w:after="0" w:line="28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At September 30, 2011, an evaluation was performed under the supervision and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2011,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9"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controls over financial reporting. </w:t>
      </w:r>
      <w:r>
        <w:rPr>
          <w:rFonts w:ascii="Arial" w:cs="Arial" w:eastAsia="Arial" w:hAnsi="Arial"/>
          <w:sz w:val="16"/>
          <w:szCs w:val="16"/>
          <w:color w:val="auto"/>
        </w:rPr>
        <w:t>There have been no changes in internal control over financial reporting during the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2011 that have materially affected, or are reasonably likely to materially affect, our internal controls over financial reporting.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as defined by Item 103 of Regulation S-K, during the third quarter of 2011.</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material changes to risk factors during the third quarter of 2011 from those previously disclosed in Item 1A: "Risk Factors" of Part I of our Annual Report on Form 10-K for the fiscal year ended December 31, 2010, which was filed with the SEC on February 25, 2011, and in Part II: Other Information Item 1A "Risk Factors" included in our Quarterly Report on Form 10-Q for the fiscal quarter ended June 30, 2011, which was filed with the SEC on August 2, 2011.</w:t>
      </w:r>
    </w:p>
    <w:p>
      <w:pPr>
        <w:spacing w:after="0" w:line="34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2011 that was not reported.</w:t>
      </w:r>
    </w:p>
    <w:p>
      <w:pPr>
        <w:spacing w:after="0" w:line="387"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jc w:val="right"/>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Pr>
          <w:p>
            <w:pPr>
              <w:spacing w:after="0"/>
              <w:rPr>
                <w:sz w:val="17"/>
                <w:szCs w:val="17"/>
                <w:color w:val="auto"/>
              </w:rPr>
            </w:pPr>
          </w:p>
        </w:tc>
      </w:tr>
      <w:tr>
        <w:trPr>
          <w:trHeight w:val="939"/>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927"/>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34"/>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61"/>
        </w:trPr>
        <w:tc>
          <w:tcPr>
            <w:tcW w:w="12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Executive Deferred Compensation Plan.*</w:t>
            </w:r>
          </w:p>
        </w:tc>
      </w:tr>
      <w:tr>
        <w:trPr>
          <w:trHeight w:val="594"/>
        </w:trPr>
        <w:tc>
          <w:tcPr>
            <w:tcW w:w="1280" w:type="dxa"/>
            <w:vAlign w:val="bottom"/>
          </w:tcPr>
          <w:p>
            <w:pPr>
              <w:jc w:val="right"/>
              <w:ind w:right="17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280" w:type="dxa"/>
            <w:vAlign w:val="bottom"/>
          </w:tcPr>
          <w:p>
            <w:pPr>
              <w:jc w:val="right"/>
              <w:ind w:right="17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280" w:type="dxa"/>
            <w:vAlign w:val="bottom"/>
          </w:tcPr>
          <w:p>
            <w:pPr>
              <w:jc w:val="right"/>
              <w:ind w:right="17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6"/>
              </w:rPr>
              <w:t>101.SCH**</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9"/>
              </w:rPr>
              <w:t>101.CAL**</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7"/>
              </w:rPr>
              <w:t>101.DEF **</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280" w:type="dxa"/>
            <w:vAlign w:val="bottom"/>
          </w:tcPr>
          <w:p>
            <w:pPr>
              <w:jc w:val="center"/>
              <w:ind w:left="230"/>
              <w:spacing w:after="0"/>
              <w:rPr>
                <w:sz w:val="20"/>
                <w:szCs w:val="20"/>
                <w:color w:val="auto"/>
              </w:rPr>
            </w:pPr>
            <w:r>
              <w:rPr>
                <w:rFonts w:ascii="Arial" w:cs="Arial" w:eastAsia="Arial" w:hAnsi="Arial"/>
                <w:sz w:val="18"/>
                <w:szCs w:val="18"/>
                <w:color w:val="auto"/>
                <w:w w:val="97"/>
              </w:rPr>
              <w:t>101.PRE**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64" w:lineRule="exact"/>
        <w:rPr>
          <w:sz w:val="20"/>
          <w:szCs w:val="20"/>
          <w:color w:val="auto"/>
        </w:rPr>
      </w:pPr>
    </w:p>
    <w:p>
      <w:pPr>
        <w:ind w:left="500" w:hanging="465"/>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jc w:val="both"/>
        <w:ind w:left="500" w:right="20" w:hanging="465"/>
        <w:spacing w:after="0" w:line="25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these interactive data files are deemed not filed and otherwise are not subject to liability.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Arial" w:cs="Arial" w:eastAsia="Arial" w:hAnsi="Arial"/>
                <w:sz w:val="18"/>
                <w:szCs w:val="18"/>
                <w:color w:val="auto"/>
                <w:w w:val="89"/>
              </w:rPr>
              <w:t>October 31, 2011</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STEVEN M. HELMBRECHT</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2"/>
              </w:rPr>
              <w:t>Steven M. Helmbrecht</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1"/>
              </w:rPr>
              <w:t>Sr.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DEFERRED COMPENSATION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ESTABLISHMENT AND NATURE OF PLAN</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 established the Plan effective October 1, 1991. The Plan was amended and restated effective August 1, 1996, and was further amended in 2007. The Plan was amended and restated in its entirety effective January 1, 2008, and the amendment and restatement applied to all amounts deferred under the Plan that remained unpaid on or after January 1, 2008 (whether deferred before, on or after January 1, 2005). The Plan was further amended and restated in its entirety effective [January 1, 2012] to expand eligibility and provide new benefits and additional flexibility.</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purpose of the Plan is to permit a select group of management and highly compensated employees of the Company to defer receipt of a portion of their anticipated compensation in addition to the amount that they can defer under the Company's 401(k) plan and to defer equity compensation awards. Non-employee members of the Board also are eligible to participate and to defer directors fees and equity compensation awards. The Company intends that the Plan shall constitute, and shall be construed and administered as, an unfunded plan of deferred compensation within the meaning of the Employee Retirement Income Security Act of 1974, as amended, and the Code.</w:t>
      </w:r>
    </w:p>
    <w:p>
      <w:pPr>
        <w:spacing w:after="0" w:line="17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II. DEFINITIONS</w:t>
      </w: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Whenever used herein, the following terms shall have the respective meanings set forth below, unless the context clearly indicates otherwise. In addition, unless some other meaning or intent is apparent from the context, the plural shall include the singular and vice versa; and masculine, feminine and neuter words shall be used interchangeably.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"Account" means, with respect to each Participant, the account established by the Company to reflect the Deferrals</w:t>
      </w:r>
      <w:r>
        <w:rPr>
          <w:rFonts w:ascii="Arial" w:cs="Arial" w:eastAsia="Arial" w:hAnsi="Arial"/>
          <w:sz w:val="22"/>
          <w:szCs w:val="22"/>
          <w:b w:val="1"/>
          <w:bCs w:val="1"/>
          <w:color w:val="auto"/>
        </w:rPr>
        <w:t xml:space="preserve"> </w:t>
      </w:r>
      <w:r>
        <w:rPr>
          <w:rFonts w:ascii="Arial" w:cs="Arial" w:eastAsia="Arial" w:hAnsi="Arial"/>
          <w:sz w:val="22"/>
          <w:szCs w:val="22"/>
          <w:color w:val="auto"/>
        </w:rPr>
        <w:t>under Article IV and the Matching Contributions under Article V below, increased (decreased) by allocated earnings (losses) and income (expenses) as determined under Article VI below.</w:t>
      </w:r>
    </w:p>
    <w:p>
      <w:pPr>
        <w:spacing w:after="0" w:line="2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"Administrator" means the person or persons appointed by the Compensation Committee to administer the Plan or, if</w:t>
      </w:r>
      <w:r>
        <w:rPr>
          <w:rFonts w:ascii="Arial" w:cs="Arial" w:eastAsia="Arial" w:hAnsi="Arial"/>
          <w:sz w:val="22"/>
          <w:szCs w:val="22"/>
          <w:b w:val="1"/>
          <w:bCs w:val="1"/>
          <w:color w:val="auto"/>
        </w:rPr>
        <w:t xml:space="preserve"> </w:t>
      </w:r>
      <w:r>
        <w:rPr>
          <w:rFonts w:ascii="Arial" w:cs="Arial" w:eastAsia="Arial" w:hAnsi="Arial"/>
          <w:sz w:val="22"/>
          <w:szCs w:val="22"/>
          <w:color w:val="auto"/>
        </w:rPr>
        <w:t>no such person has been appointed, the Compensation Committee.</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color w:val="auto"/>
        </w:rPr>
        <w:t>"Beneficiary" means the person, trust or other entity designated by the Participant in accordance with Section 8.4</w:t>
      </w:r>
      <w:r>
        <w:rPr>
          <w:rFonts w:ascii="Arial" w:cs="Arial" w:eastAsia="Arial" w:hAnsi="Arial"/>
          <w:sz w:val="22"/>
          <w:szCs w:val="22"/>
          <w:b w:val="1"/>
          <w:bCs w:val="1"/>
          <w:color w:val="auto"/>
        </w:rPr>
        <w:t xml:space="preserve"> </w:t>
      </w:r>
      <w:r>
        <w:rPr>
          <w:rFonts w:ascii="Arial" w:cs="Arial" w:eastAsia="Arial" w:hAnsi="Arial"/>
          <w:sz w:val="22"/>
          <w:szCs w:val="22"/>
          <w:color w:val="auto"/>
        </w:rPr>
        <w:t>below to receive payment under the Plan in the event of the Participant's death.</w:t>
      </w:r>
    </w:p>
    <w:p>
      <w:pPr>
        <w:spacing w:after="0" w:line="2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2.4 </w:t>
      </w:r>
      <w:r>
        <w:rPr>
          <w:rFonts w:ascii="Arial" w:cs="Arial" w:eastAsia="Arial" w:hAnsi="Arial"/>
          <w:sz w:val="21"/>
          <w:szCs w:val="21"/>
          <w:color w:val="auto"/>
        </w:rPr>
        <w:t>"Board" means the Board of Directors of Itron, Inc. With respect to the exercise of authority hereunder, not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delegated, including, but not limited to, the powers to amend, modify or terminate the Plan, "Board" shall mean the Board acting through the Compensation Committee or such other committees, officers or persons as the Board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Page 1</w:t>
      </w:r>
    </w:p>
    <w:p>
      <w:pPr>
        <w:sectPr>
          <w:pgSz w:w="11900" w:h="16838" w:orient="portrait"/>
          <w:cols w:equalWidth="0" w:num="2">
            <w:col w:w="10180" w:space="720"/>
            <w:col w:w="520"/>
          </w:cols>
          <w:pgMar w:left="240" w:top="796"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2"/>
          <w:szCs w:val="22"/>
          <w:color w:val="auto"/>
        </w:rPr>
        <w:t>authorize from time to time.</w:t>
      </w:r>
    </w:p>
    <w:p>
      <w:pPr>
        <w:spacing w:after="0" w:line="25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22"/>
          <w:szCs w:val="22"/>
          <w:color w:val="auto"/>
        </w:rPr>
        <w:t>"Bonus" means any amount paid to an Eligible Employee as a bonus pursuant to a bonus arrangement maintained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before payroll deduction (including, without limitation, payroll deductions for taxes, deferrals under this Plan and deferrals under the Itron, Inc. Incentive Savings Plan).</w:t>
      </w:r>
    </w:p>
    <w:p>
      <w:pPr>
        <w:spacing w:after="0" w:line="17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color w:val="auto"/>
        </w:rPr>
        <w:t>"Change of Control" means any of the following:</w:t>
      </w:r>
    </w:p>
    <w:p>
      <w:pPr>
        <w:spacing w:after="0" w:line="266" w:lineRule="exact"/>
        <w:rPr>
          <w:sz w:val="20"/>
          <w:szCs w:val="20"/>
          <w:color w:val="auto"/>
        </w:rPr>
      </w:pPr>
    </w:p>
    <w:p>
      <w:pPr>
        <w:jc w:val="both"/>
        <w:ind w:left="1300" w:hanging="644"/>
        <w:spacing w:after="0" w:line="248"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purchase or other acquisition by any person, entity or group of persons, within the meaning of Section 13(d) or 14(d) of the Securities Exchange Act of 1934 (the "Act"), or any comparable successor provisions, of beneficial ownership (within the meaning of Rule 13d-3 promulgated under the Act) of fifteen percent (15%) or more of either the Company's then outstanding shares of common stock or the combined voting power of the Company's then outstanding securities entitled to vote generally;</w:t>
      </w:r>
    </w:p>
    <w:p>
      <w:pPr>
        <w:spacing w:after="0" w:line="192"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during any period of twenty-four (24) consecutive months, individuals who at the beginning of such period constituted the Board cease for any reason to constitute at least a majority of the Board, unless the election of each new director, or his or her nomination for election by the stockholders of the Company, was approved by a vote of at least two-thirds (2/3) of the directors then still in office who were directors at the beginning of such period;</w:t>
      </w:r>
    </w:p>
    <w:p>
      <w:pPr>
        <w:spacing w:after="0" w:line="142" w:lineRule="exact"/>
        <w:rPr>
          <w:rFonts w:ascii="Arial" w:cs="Arial" w:eastAsia="Arial" w:hAnsi="Arial"/>
          <w:sz w:val="19"/>
          <w:szCs w:val="19"/>
          <w:color w:val="auto"/>
        </w:rPr>
      </w:pPr>
    </w:p>
    <w:p>
      <w:pPr>
        <w:jc w:val="both"/>
        <w:ind w:left="1300" w:hanging="644"/>
        <w:spacing w:after="0" w:line="263" w:lineRule="auto"/>
        <w:tabs>
          <w:tab w:leader="none" w:pos="13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approval by the stockholders of the Company of a reorganization, merger, consolidation or share exchange, in each case, with respect to which persons who were stockholders of the Company immediately prior to such reorganization, merger, consolidation or share exchange do not, immediately thereafter, own more than eighty-five percent (85%) of the combined voting power entitled to vote generally in the election of directors of the reorganized, merged, consolidated or exchanged Company's then outstanding securities; or</w:t>
      </w:r>
    </w:p>
    <w:p>
      <w:pPr>
        <w:spacing w:after="0" w:line="175"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approval by the stockholders of the Company of the complete liquidation or dissolution of the Company or an agreement for the sale of all or substantially all of the Company's assets.</w:t>
      </w:r>
    </w:p>
    <w:p>
      <w:pPr>
        <w:spacing w:after="0" w:line="16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color w:val="auto"/>
        </w:rPr>
        <w:t>"Code" means the Internal Revenue Code of 1986, as now or hereafter amended and in effect.</w:t>
      </w:r>
    </w:p>
    <w:p>
      <w:pPr>
        <w:spacing w:after="0" w:line="26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2.8 </w:t>
      </w:r>
      <w:r>
        <w:rPr>
          <w:rFonts w:ascii="Arial" w:cs="Arial" w:eastAsia="Arial" w:hAnsi="Arial"/>
          <w:sz w:val="22"/>
          <w:szCs w:val="22"/>
          <w:color w:val="auto"/>
        </w:rPr>
        <w:t>“Company" means Itron, Inc. and any other corporation or other entity that is aggregated with Itron, Inc. under Code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414(b) or (c) to which the Board, in its sole discretion, may from time to time extend the Plan.</w:t>
      </w:r>
    </w:p>
    <w:p>
      <w:pPr>
        <w:spacing w:after="0" w:line="20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color w:val="auto"/>
        </w:rPr>
        <w:t>"Compensation Committee" means the Compensation Committee of the Board.</w:t>
      </w:r>
    </w:p>
    <w:p>
      <w:pPr>
        <w:spacing w:after="0" w:line="26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color w:val="auto"/>
        </w:rPr>
        <w:t>“Deferral Agreement” means the election form(s) promulgated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ectPr>
          <w:pgSz w:w="11900" w:h="16838" w:orient="portrait"/>
          <w:cols w:equalWidth="0" w:num="2">
            <w:col w:w="10180" w:space="720"/>
            <w:col w:w="520"/>
          </w:cols>
          <w:pgMar w:left="240" w:top="807" w:right="239" w:bottom="1440" w:gutter="0" w:footer="0" w:header="0"/>
          <w:type w:val="continuous"/>
        </w:sectPr>
      </w:pPr>
    </w:p>
    <w:bookmarkStart w:id="54" w:name="page55"/>
    <w:bookmarkEnd w:id="54"/>
    <w:p>
      <w:pPr>
        <w:jc w:val="both"/>
        <w:ind w:right="20"/>
        <w:spacing w:after="0" w:line="343" w:lineRule="auto"/>
        <w:rPr>
          <w:sz w:val="20"/>
          <w:szCs w:val="20"/>
          <w:color w:val="auto"/>
        </w:rPr>
      </w:pPr>
      <w:r>
        <w:rPr>
          <w:rFonts w:ascii="Arial" w:cs="Arial" w:eastAsia="Arial" w:hAnsi="Arial"/>
          <w:sz w:val="19"/>
          <w:szCs w:val="19"/>
          <w:color w:val="auto"/>
        </w:rPr>
        <w:t>Administrator and executed by the Participant authorizing the deferral of Salary, Bonus, Restricted Stock Units and/or Directors Fees and consenting to the terms and conditions of the Plan, the same as if the Participant were a signatory hereto.</w:t>
      </w:r>
    </w:p>
    <w:p>
      <w:pPr>
        <w:spacing w:after="0" w:line="13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color w:val="auto"/>
        </w:rPr>
        <w:t>“Director” means a non-employee member of the Board.</w:t>
      </w:r>
    </w:p>
    <w:p>
      <w:pPr>
        <w:spacing w:after="0" w:line="26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color w:val="auto"/>
        </w:rPr>
        <w:t>“Directors Fees” mean the annual retainer and meeting fees paid to Directors.</w:t>
      </w:r>
    </w:p>
    <w:p>
      <w:pPr>
        <w:spacing w:after="0" w:line="2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color w:val="auto"/>
        </w:rPr>
        <w:t>“Eligible Director” means a Director.</w:t>
      </w:r>
    </w:p>
    <w:p>
      <w:pPr>
        <w:spacing w:after="0" w:line="2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2.14 </w:t>
      </w:r>
      <w:r>
        <w:rPr>
          <w:rFonts w:ascii="Arial" w:cs="Arial" w:eastAsia="Arial" w:hAnsi="Arial"/>
          <w:sz w:val="22"/>
          <w:szCs w:val="22"/>
          <w:color w:val="auto"/>
        </w:rPr>
        <w:t>“Eligible Employee" means an employee of the Company who meets the eligibility requirements set forth in Article</w:t>
      </w:r>
      <w:r>
        <w:rPr>
          <w:rFonts w:ascii="Arial" w:cs="Arial" w:eastAsia="Arial" w:hAnsi="Arial"/>
          <w:sz w:val="22"/>
          <w:szCs w:val="22"/>
          <w:b w:val="1"/>
          <w:bCs w:val="1"/>
          <w:color w:val="auto"/>
        </w:rPr>
        <w:t xml:space="preserve"> </w:t>
      </w:r>
      <w:r>
        <w:rPr>
          <w:rFonts w:ascii="Arial" w:cs="Arial" w:eastAsia="Arial" w:hAnsi="Arial"/>
          <w:sz w:val="22"/>
          <w:szCs w:val="22"/>
          <w:color w:val="auto"/>
        </w:rPr>
        <w:t>III below.</w:t>
      </w:r>
    </w:p>
    <w:p>
      <w:pPr>
        <w:spacing w:after="0" w:line="203"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color w:val="auto"/>
        </w:rPr>
        <w:t xml:space="preserve">2.15 </w:t>
      </w:r>
      <w:r>
        <w:rPr>
          <w:rFonts w:ascii="Arial" w:cs="Arial" w:eastAsia="Arial" w:hAnsi="Arial"/>
          <w:sz w:val="19"/>
          <w:szCs w:val="19"/>
          <w:color w:val="auto"/>
        </w:rPr>
        <w:t>“</w:t>
      </w:r>
      <w:r>
        <w:rPr>
          <w:rFonts w:ascii="Arial" w:cs="Arial" w:eastAsia="Arial" w:hAnsi="Arial"/>
          <w:sz w:val="17"/>
          <w:szCs w:val="17"/>
          <w:color w:val="auto"/>
        </w:rPr>
        <w:t>Hostile Change of Control" means an event or occurrence described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2.6(a), (c) or (d) above that occurs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the prior recommendation, approval or consent of the Board or an event or occurrence described in Section 2.6(b) above.</w:t>
      </w:r>
    </w:p>
    <w:p>
      <w:pPr>
        <w:spacing w:after="0" w:line="121"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 xml:space="preserve">2.16 </w:t>
      </w:r>
      <w:r>
        <w:rPr>
          <w:rFonts w:ascii="Arial" w:cs="Arial" w:eastAsia="Arial" w:hAnsi="Arial"/>
          <w:sz w:val="19"/>
          <w:szCs w:val="19"/>
          <w:color w:val="auto"/>
        </w:rPr>
        <w:t>“Measurement Fund” means a phantom investment fund designated by the Administrator to serve as a measurement</w:t>
      </w:r>
      <w:r>
        <w:rPr>
          <w:rFonts w:ascii="Arial" w:cs="Arial" w:eastAsia="Arial" w:hAnsi="Arial"/>
          <w:sz w:val="19"/>
          <w:szCs w:val="19"/>
          <w:b w:val="1"/>
          <w:bCs w:val="1"/>
          <w:color w:val="auto"/>
        </w:rPr>
        <w:t xml:space="preserve"> </w:t>
      </w:r>
      <w:r>
        <w:rPr>
          <w:rFonts w:ascii="Arial" w:cs="Arial" w:eastAsia="Arial" w:hAnsi="Arial"/>
          <w:sz w:val="19"/>
          <w:szCs w:val="19"/>
          <w:color w:val="auto"/>
        </w:rPr>
        <w:t>device for purposes of valuing the portion, if any, of a Participant's Account allocated to such phantom investment fund.</w:t>
      </w:r>
    </w:p>
    <w:p>
      <w:pPr>
        <w:spacing w:after="0" w:line="1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2.17 </w:t>
      </w:r>
      <w:r>
        <w:rPr>
          <w:rFonts w:ascii="Arial" w:cs="Arial" w:eastAsia="Arial" w:hAnsi="Arial"/>
          <w:sz w:val="21"/>
          <w:szCs w:val="21"/>
          <w:color w:val="auto"/>
        </w:rPr>
        <w:t>“Participant” means an Eligible Employee or Eligible Director who has elected, under the Plan to defer payment of</w:t>
      </w:r>
      <w:r>
        <w:rPr>
          <w:rFonts w:ascii="Arial" w:cs="Arial" w:eastAsia="Arial" w:hAnsi="Arial"/>
          <w:sz w:val="21"/>
          <w:szCs w:val="21"/>
          <w:b w:val="1"/>
          <w:bCs w:val="1"/>
          <w:color w:val="auto"/>
        </w:rPr>
        <w:t xml:space="preserve"> </w:t>
      </w:r>
      <w:r>
        <w:rPr>
          <w:rFonts w:ascii="Arial" w:cs="Arial" w:eastAsia="Arial" w:hAnsi="Arial"/>
          <w:sz w:val="21"/>
          <w:szCs w:val="21"/>
          <w:color w:val="auto"/>
        </w:rPr>
        <w:t>Salary, Bonus, Restricted Stock Units and/or Directors Fees. A person remains a Participant so long as he or she has an Account balance under the Plan, whether or not he or she remains an Eligible Employee or Eligible Director.</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2.18 </w:t>
      </w:r>
      <w:r>
        <w:rPr>
          <w:rFonts w:ascii="Arial" w:cs="Arial" w:eastAsia="Arial" w:hAnsi="Arial"/>
          <w:sz w:val="22"/>
          <w:szCs w:val="22"/>
          <w:color w:val="auto"/>
        </w:rPr>
        <w:t>“Plan” means the Itron, Inc. Executive Deferred Compensation Plan, as set forth herein, together with all</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amendments hereto.</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2.19 </w:t>
      </w:r>
      <w:r>
        <w:rPr>
          <w:rFonts w:ascii="Arial" w:cs="Arial" w:eastAsia="Arial" w:hAnsi="Arial"/>
          <w:sz w:val="22"/>
          <w:szCs w:val="22"/>
          <w:color w:val="auto"/>
        </w:rPr>
        <w:t>“Restricted Stock Unit” means time-based and performance-based Restricted Stock Units granted to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and Eligible Directors under the Company's 2010 Stock Incentive Plan.</w:t>
      </w:r>
    </w:p>
    <w:p>
      <w:pPr>
        <w:spacing w:after="0" w:line="20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2.20</w:t>
      </w:r>
      <w:r>
        <w:rPr>
          <w:sz w:val="20"/>
          <w:szCs w:val="20"/>
          <w:color w:val="auto"/>
        </w:rPr>
        <w:tab/>
      </w:r>
      <w:r>
        <w:rPr>
          <w:rFonts w:ascii="Arial" w:cs="Arial" w:eastAsia="Arial" w:hAnsi="Arial"/>
          <w:sz w:val="19"/>
          <w:szCs w:val="19"/>
          <w:color w:val="auto"/>
        </w:rPr>
        <w:t>“Salary” means the base salary paid to an Eligible Employee by the Company before payroll deduction.</w:t>
      </w:r>
    </w:p>
    <w:p>
      <w:pPr>
        <w:spacing w:after="0" w:line="2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2.21 </w:t>
      </w:r>
      <w:r>
        <w:rPr>
          <w:rFonts w:ascii="Arial" w:cs="Arial" w:eastAsia="Arial" w:hAnsi="Arial"/>
          <w:sz w:val="19"/>
          <w:szCs w:val="19"/>
          <w:color w:val="auto"/>
        </w:rPr>
        <w:t>“Specified Employee” means a Participant who, as of the date of the Participant's Termination, is a key employee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 Participant is a key employee if the Participant meets the requirements of Code Section 416(i)(1)(A)(i), (ii), or (iii) (applied in accordance with the regulations thereunder and disregarding Code Section 416(i)(5)) at any time during the 12 month period ending on a "specified employee identification date." If a Participant is a key employee as of a specified employee identification date, he or she shall be treated as a Specified Employee for the 12 month period beginning on the related "specified employee effective date." Unless Itron, Inc. has designated different dates in accordance with the provisions of Treasury Regulation Sections 1.409A-1(i)(3), (4) and (8), the specified employee identification date shall be December 31of each year and the specified employee effective date shall be the following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ectPr>
          <w:pgSz w:w="11900" w:h="16838" w:orient="portrait"/>
          <w:cols w:equalWidth="0" w:num="2">
            <w:col w:w="10180" w:space="720"/>
            <w:col w:w="520"/>
          </w:cols>
          <w:pgMar w:left="240" w:top="807" w:right="239" w:bottom="1440" w:gutter="0" w:footer="0" w:header="0"/>
          <w:type w:val="continuous"/>
        </w:sectPr>
      </w:pPr>
    </w:p>
    <w:bookmarkStart w:id="55" w:name="page56"/>
    <w:bookmarkEnd w:id="55"/>
    <w:p>
      <w:pPr>
        <w:jc w:val="both"/>
        <w:ind w:right="20" w:firstLine="648"/>
        <w:spacing w:after="0" w:line="364" w:lineRule="auto"/>
        <w:rPr>
          <w:sz w:val="20"/>
          <w:szCs w:val="20"/>
          <w:color w:val="auto"/>
        </w:rPr>
      </w:pPr>
      <w:r>
        <w:rPr>
          <w:rFonts w:ascii="Arial" w:cs="Arial" w:eastAsia="Arial" w:hAnsi="Arial"/>
          <w:sz w:val="19"/>
          <w:szCs w:val="19"/>
          <w:b w:val="1"/>
          <w:bCs w:val="1"/>
          <w:color w:val="auto"/>
        </w:rPr>
        <w:t xml:space="preserve">2.22 </w:t>
      </w:r>
      <w:r>
        <w:rPr>
          <w:rFonts w:ascii="Arial" w:cs="Arial" w:eastAsia="Arial" w:hAnsi="Arial"/>
          <w:sz w:val="17"/>
          <w:szCs w:val="17"/>
          <w:color w:val="auto"/>
        </w:rPr>
        <w:t>“Termination" and its derivations, such as "Terminate," mean separation from</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as an Employee or Director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meaning of Code Section 409A and the regulations thereunder, voluntarily or involuntarily, for any reason other than death.</w:t>
      </w:r>
    </w:p>
    <w:p>
      <w:pPr>
        <w:spacing w:after="0" w:line="12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2.23</w:t>
      </w:r>
      <w:r>
        <w:rPr>
          <w:sz w:val="20"/>
          <w:szCs w:val="20"/>
          <w:color w:val="auto"/>
        </w:rPr>
        <w:tab/>
      </w:r>
      <w:r>
        <w:rPr>
          <w:rFonts w:ascii="Arial" w:cs="Arial" w:eastAsia="Arial" w:hAnsi="Arial"/>
          <w:sz w:val="19"/>
          <w:szCs w:val="19"/>
          <w:color w:val="auto"/>
        </w:rPr>
        <w:t>“Trust" means the Itron, Inc. Benefits Protection Trust, as now or hereafter amended and in effect.</w:t>
      </w:r>
    </w:p>
    <w:p>
      <w:pPr>
        <w:spacing w:after="0" w:line="260"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 xml:space="preserve">2.24 </w:t>
      </w:r>
      <w:r>
        <w:rPr>
          <w:rFonts w:ascii="Arial" w:cs="Arial" w:eastAsia="Arial" w:hAnsi="Arial"/>
          <w:sz w:val="19"/>
          <w:szCs w:val="19"/>
          <w:color w:val="auto"/>
        </w:rPr>
        <w:t>“Unforeseeable Emergency" means a severe financial hardship to the Participant resulting from an illness or accident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Participant, of the Participant's spouse, the Participant's Beneficiary or the Participant's dependent (as defined in Code Section 152(a</w:t>
      </w:r>
      <w:r>
        <w:rPr>
          <w:rFonts w:ascii="Arial" w:cs="Arial" w:eastAsia="Arial" w:hAnsi="Arial"/>
          <w:sz w:val="19"/>
          <w:szCs w:val="19"/>
          <w:i w:val="1"/>
          <w:iCs w:val="1"/>
          <w:color w:val="auto"/>
        </w:rPr>
        <w:t>),</w:t>
      </w:r>
      <w:r>
        <w:rPr>
          <w:rFonts w:ascii="Arial" w:cs="Arial" w:eastAsia="Arial" w:hAnsi="Arial"/>
          <w:sz w:val="19"/>
          <w:szCs w:val="19"/>
          <w:color w:val="auto"/>
        </w:rPr>
        <w:t xml:space="preserve"> without regard to Sections 152(b)(1), (b)(2) and (d)(l)(B)),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w:t>
      </w:r>
      <w:r>
        <w:rPr>
          <w:rFonts w:ascii="Arial" w:cs="Arial" w:eastAsia="Arial" w:hAnsi="Arial"/>
          <w:sz w:val="17"/>
          <w:szCs w:val="17"/>
          <w:color w:val="auto"/>
        </w:rPr>
        <w:t>control</w:t>
      </w:r>
      <w:r>
        <w:rPr>
          <w:rFonts w:ascii="Arial" w:cs="Arial" w:eastAsia="Arial" w:hAnsi="Arial"/>
          <w:sz w:val="19"/>
          <w:szCs w:val="19"/>
          <w:color w:val="auto"/>
        </w:rPr>
        <w:t xml:space="preserve"> </w:t>
      </w:r>
      <w:r>
        <w:rPr>
          <w:rFonts w:ascii="Arial" w:cs="Arial" w:eastAsia="Arial" w:hAnsi="Arial"/>
          <w:sz w:val="17"/>
          <w:szCs w:val="17"/>
          <w:color w:val="auto"/>
        </w:rPr>
        <w:t>of the Participant. For example, the following may be Unforeseeable Emergencies: (a) the imminent foreclosure of or eviction from the Participant's primary residence may constitute an Unforeseeable Emergency; (b) the need to pay for medical expenses, including nonrefundable deductibles, as well as for the costs of prescription drug medication may constitute an Unforeseeable Emergency; or (c) the need to pay for the funeral expenses of a spouse, a Beneficiary, or a dependent (as defined in Code Section 152</w:t>
      </w:r>
      <w:r>
        <w:rPr>
          <w:rFonts w:ascii="Arial" w:cs="Arial" w:eastAsia="Arial" w:hAnsi="Arial"/>
          <w:sz w:val="17"/>
          <w:szCs w:val="17"/>
          <w:i w:val="1"/>
          <w:iCs w:val="1"/>
          <w:color w:val="auto"/>
        </w:rPr>
        <w:t>,</w:t>
      </w:r>
      <w:r>
        <w:rPr>
          <w:rFonts w:ascii="Arial" w:cs="Arial" w:eastAsia="Arial" w:hAnsi="Arial"/>
          <w:sz w:val="17"/>
          <w:szCs w:val="17"/>
          <w:color w:val="auto"/>
        </w:rPr>
        <w:t xml:space="preserve"> without regard to Sections 152(b)(1), (b)(2) and (d)(1)(B)). Examples of events not considered Unforeseeable Emergencies include the need to pay for tuition or the desire to purchase a home.</w:t>
      </w:r>
    </w:p>
    <w:p>
      <w:pPr>
        <w:spacing w:after="0" w:line="17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2.25 </w:t>
      </w:r>
      <w:r>
        <w:rPr>
          <w:rFonts w:ascii="Arial" w:cs="Arial" w:eastAsia="Arial" w:hAnsi="Arial"/>
          <w:sz w:val="22"/>
          <w:szCs w:val="22"/>
          <w:color w:val="auto"/>
        </w:rPr>
        <w:t>“Year of Service” means twelve consecutive months of employment with the Company, or in the case of a</w:t>
      </w:r>
      <w:r>
        <w:rPr>
          <w:rFonts w:ascii="Arial" w:cs="Arial" w:eastAsia="Arial" w:hAnsi="Arial"/>
          <w:sz w:val="22"/>
          <w:szCs w:val="22"/>
          <w:b w:val="1"/>
          <w:bCs w:val="1"/>
          <w:color w:val="auto"/>
        </w:rPr>
        <w:t xml:space="preserve"> </w:t>
      </w:r>
      <w:r>
        <w:rPr>
          <w:rFonts w:ascii="Arial" w:cs="Arial" w:eastAsia="Arial" w:hAnsi="Arial"/>
          <w:sz w:val="19"/>
          <w:szCs w:val="19"/>
          <w:color w:val="auto"/>
        </w:rPr>
        <w:t>Director</w:t>
      </w:r>
      <w:r>
        <w:rPr>
          <w:rFonts w:ascii="Arial" w:cs="Arial" w:eastAsia="Arial" w:hAnsi="Arial"/>
          <w:sz w:val="22"/>
          <w:szCs w:val="22"/>
          <w:color w:val="auto"/>
        </w:rPr>
        <w:t>-Participant twelve consecutive months of service on the Board.</w:t>
      </w:r>
    </w:p>
    <w:p>
      <w:pPr>
        <w:spacing w:after="0" w:line="18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III. ELIGIBILITY AND PARTICIPATION</w:t>
      </w:r>
    </w:p>
    <w:p>
      <w:pPr>
        <w:spacing w:after="0" w:line="26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3.1 Eligibility. </w:t>
      </w:r>
      <w:r>
        <w:rPr>
          <w:rFonts w:ascii="Arial" w:cs="Arial" w:eastAsia="Arial" w:hAnsi="Arial"/>
          <w:sz w:val="19"/>
          <w:szCs w:val="19"/>
          <w:color w:val="auto"/>
        </w:rPr>
        <w:t>All executive officers of Itron, Inc., and such other employees of the Company as the Board may designate</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shall be eligible to participate in the Plan as of the date designated by the Board; provided, however, that the Board may revoke an active Participant's privilege to make prospective deferrals to this Plan at any time. Each Director of Itron, Inc. shall be eligible to participate in the Plan on January 1, 2012 or upon his or her later election to the Board.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3.2 Participation. </w:t>
      </w:r>
      <w:r>
        <w:rPr>
          <w:rFonts w:ascii="Arial" w:cs="Arial" w:eastAsia="Arial" w:hAnsi="Arial"/>
          <w:sz w:val="22"/>
          <w:szCs w:val="22"/>
          <w:color w:val="auto"/>
        </w:rPr>
        <w:t>An Eligible Employee or Eligible Director shall become a Participant by completing a Deferral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filing it with the Company in accordance with Article IV below.</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 DEFERRALS</w:t>
      </w:r>
    </w:p>
    <w:p>
      <w:pPr>
        <w:spacing w:after="0" w:line="2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Salary Deferrals.</w:t>
      </w:r>
    </w:p>
    <w:p>
      <w:pPr>
        <w:spacing w:after="0" w:line="266" w:lineRule="exact"/>
        <w:rPr>
          <w:sz w:val="20"/>
          <w:szCs w:val="20"/>
          <w:color w:val="auto"/>
        </w:rPr>
      </w:pPr>
    </w:p>
    <w:p>
      <w:pPr>
        <w:ind w:firstLine="1953"/>
        <w:spacing w:after="0" w:line="276" w:lineRule="auto"/>
        <w:tabs>
          <w:tab w:leader="none" w:pos="2793" w:val="left"/>
        </w:tabs>
        <w:numPr>
          <w:ilvl w:val="0"/>
          <w:numId w:val="22"/>
        </w:numPr>
        <w:rPr>
          <w:rFonts w:ascii="Arial" w:cs="Arial" w:eastAsia="Arial" w:hAnsi="Arial"/>
          <w:sz w:val="18"/>
          <w:szCs w:val="18"/>
          <w:color w:val="auto"/>
        </w:rPr>
      </w:pPr>
      <w:r>
        <w:rPr>
          <w:rFonts w:ascii="Arial" w:cs="Arial" w:eastAsia="Arial" w:hAnsi="Arial"/>
          <w:sz w:val="22"/>
          <w:szCs w:val="22"/>
          <w:color w:val="auto"/>
        </w:rPr>
        <w:t>Prior to the beginning of each calendar year, an Eligible Employee may elect to defer receipt of up to fifty percent (50%) (or such other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Page 4</w:t>
      </w:r>
    </w:p>
    <w:p>
      <w:pPr>
        <w:sectPr>
          <w:pgSz w:w="11900" w:h="16838" w:orient="portrait"/>
          <w:cols w:equalWidth="0" w:num="2">
            <w:col w:w="10180" w:space="720"/>
            <w:col w:w="520"/>
          </w:cols>
          <w:pgMar w:left="240" w:top="1030" w:right="239" w:bottom="1440" w:gutter="0" w:footer="0" w:header="0"/>
          <w:type w:val="continuous"/>
        </w:sectPr>
      </w:pPr>
    </w:p>
    <w:bookmarkStart w:id="56" w:name="page57"/>
    <w:bookmarkEnd w:id="56"/>
    <w:p>
      <w:pPr>
        <w:jc w:val="both"/>
        <w:spacing w:after="0" w:line="290" w:lineRule="auto"/>
        <w:rPr>
          <w:sz w:val="20"/>
          <w:szCs w:val="20"/>
          <w:color w:val="auto"/>
        </w:rPr>
      </w:pPr>
      <w:r>
        <w:rPr>
          <w:rFonts w:ascii="Arial" w:cs="Arial" w:eastAsia="Arial" w:hAnsi="Arial"/>
          <w:sz w:val="19"/>
          <w:szCs w:val="19"/>
          <w:color w:val="auto"/>
        </w:rPr>
        <w:t>as may be determined by the Compensation Committee) of the Salary that he or she anticipates earning for services performed during such calendar year. Such election shall be made by filing a Deferral Agreement with the Company in the manner and by the time specified by the Administrator; provided, however, that such Deferral Agreement must be filed with the Company prior to the first day of the first calendar year for which it is to be effective and shall become irrevocable with respect to a calendar year on the last day of the calendar year immediately preceding such calendar year (or such earlier date as the Administrator may prescribe). Notwithstanding the foregoing, an Eligible Employee who first becomes eligible to participate in the Plan during a calendar year may elect to defer Salary that has not yet been earned in that calendar year (as of the date his or her Deferral Agreement is filed with the Company) within thirty (30) days after becoming eligible to participate.</w:t>
      </w:r>
    </w:p>
    <w:p>
      <w:pPr>
        <w:spacing w:after="0" w:line="197" w:lineRule="exact"/>
        <w:rPr>
          <w:sz w:val="20"/>
          <w:szCs w:val="20"/>
          <w:color w:val="auto"/>
        </w:rPr>
      </w:pPr>
    </w:p>
    <w:p>
      <w:pPr>
        <w:jc w:val="both"/>
        <w:ind w:firstLine="1953"/>
        <w:spacing w:after="0" w:line="296" w:lineRule="auto"/>
        <w:tabs>
          <w:tab w:leader="none" w:pos="2803" w:val="left"/>
        </w:tabs>
        <w:numPr>
          <w:ilvl w:val="0"/>
          <w:numId w:val="23"/>
        </w:numPr>
        <w:rPr>
          <w:rFonts w:ascii="Arial" w:cs="Arial" w:eastAsia="Arial" w:hAnsi="Arial"/>
          <w:sz w:val="16"/>
          <w:szCs w:val="16"/>
          <w:color w:val="auto"/>
        </w:rPr>
      </w:pPr>
      <w:r>
        <w:rPr>
          <w:rFonts w:ascii="Arial" w:cs="Arial" w:eastAsia="Arial" w:hAnsi="Arial"/>
          <w:sz w:val="19"/>
          <w:szCs w:val="19"/>
          <w:color w:val="auto"/>
        </w:rPr>
        <w:t xml:space="preserve">In addition to, or in lieu of, deferrals pursuant to subsection (a) immediately above, prior to the beginning of each calendar year, an Eligible Employee may elect to defer receipt of Salary that he or she anticipates earning for services rendered in such calendar year in an amount equal to the amount of any salary deferrals (and related earnings) returned to him or her during such year from the Itron, Inc. Incentive Savings Plan due to such plan's failure to satisfy the actual deferral percentage test under Section 401(k)(3) of the Code. Such election shall be made by filing a Deferral Agreement with the Company in the manner and by the time specified by the Administrator; provided, however, that such Deferral Agreement must be filed with the Company prior to the first day of the first calendar year for which it is to be </w:t>
      </w:r>
      <w:r>
        <w:rPr>
          <w:rFonts w:ascii="Arial" w:cs="Arial" w:eastAsia="Arial" w:hAnsi="Arial"/>
          <w:sz w:val="17"/>
          <w:szCs w:val="17"/>
          <w:color w:val="auto"/>
        </w:rPr>
        <w:t>effective and shall become irrevocable with respect to a</w:t>
      </w:r>
      <w:r>
        <w:rPr>
          <w:rFonts w:ascii="Arial" w:cs="Arial" w:eastAsia="Arial" w:hAnsi="Arial"/>
          <w:sz w:val="19"/>
          <w:szCs w:val="19"/>
          <w:color w:val="auto"/>
        </w:rPr>
        <w:t xml:space="preserve"> </w:t>
      </w:r>
      <w:r>
        <w:rPr>
          <w:rFonts w:ascii="Arial" w:cs="Arial" w:eastAsia="Arial" w:hAnsi="Arial"/>
          <w:sz w:val="17"/>
          <w:szCs w:val="17"/>
          <w:color w:val="auto"/>
        </w:rPr>
        <w:t>calendar year on the last day of the calendar year immediately preceding such calendar year.</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4.2 Bonus Deferrals. </w:t>
      </w:r>
      <w:r>
        <w:rPr>
          <w:rFonts w:ascii="Arial" w:cs="Arial" w:eastAsia="Arial" w:hAnsi="Arial"/>
          <w:sz w:val="21"/>
          <w:szCs w:val="21"/>
          <w:color w:val="auto"/>
        </w:rPr>
        <w:t>An Eligible Employee may elect to defer receipt of up to fifty percent (50%) (or such other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percentage as may be determined by the Compensation Committee) of any Bonus that he or she anticipates receiving. Such election shall be made by filing a Deferral Agreement with the Company in the manner and by the time specified by the Administrator; provided, however, that (a) if such Bonus is "performance-based compensation," as defined in Treasury Regulation 1.409A-1(e), such Deferral Agreement </w:t>
      </w:r>
      <w:r>
        <w:rPr>
          <w:rFonts w:ascii="Arial" w:cs="Arial" w:eastAsia="Arial" w:hAnsi="Arial"/>
          <w:sz w:val="18"/>
          <w:szCs w:val="18"/>
          <w:color w:val="auto"/>
        </w:rPr>
        <w:t>must be filed with the Company (and become irrevocable) no later than June 30 of the calendar year in which the</w:t>
      </w:r>
      <w:r>
        <w:rPr>
          <w:rFonts w:ascii="Arial" w:cs="Arial" w:eastAsia="Arial" w:hAnsi="Arial"/>
          <w:sz w:val="21"/>
          <w:szCs w:val="21"/>
          <w:color w:val="auto"/>
        </w:rPr>
        <w:t xml:space="preserve"> </w:t>
      </w:r>
      <w:r>
        <w:rPr>
          <w:rFonts w:ascii="Arial" w:cs="Arial" w:eastAsia="Arial" w:hAnsi="Arial"/>
          <w:sz w:val="18"/>
          <w:szCs w:val="18"/>
          <w:color w:val="auto"/>
        </w:rPr>
        <w:t xml:space="preserve">services to which the Bonus relates are performed, and (b) if such Bonus is not "performance-based compensation," such Deferral Agreement must be filed </w:t>
      </w:r>
      <w:r>
        <w:rPr>
          <w:rFonts w:ascii="Arial" w:cs="Arial" w:eastAsia="Arial" w:hAnsi="Arial"/>
          <w:sz w:val="20"/>
          <w:szCs w:val="20"/>
          <w:color w:val="auto"/>
        </w:rPr>
        <w:t>with the Company (and become irrevocable) no later than the end of the calendar year preceding the calendar year in</w:t>
      </w:r>
      <w:r>
        <w:rPr>
          <w:rFonts w:ascii="Arial" w:cs="Arial" w:eastAsia="Arial" w:hAnsi="Arial"/>
          <w:sz w:val="18"/>
          <w:szCs w:val="18"/>
          <w:color w:val="auto"/>
        </w:rPr>
        <w:t xml:space="preserve"> </w:t>
      </w:r>
      <w:r>
        <w:rPr>
          <w:rFonts w:ascii="Arial" w:cs="Arial" w:eastAsia="Arial" w:hAnsi="Arial"/>
          <w:sz w:val="20"/>
          <w:szCs w:val="20"/>
          <w:color w:val="auto"/>
        </w:rPr>
        <w:t>which the services to which the Bonus relates are performed.</w:t>
      </w:r>
    </w:p>
    <w:p>
      <w:pPr>
        <w:spacing w:after="0" w:line="2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4.3 Director Fees Deferrals. </w:t>
      </w:r>
      <w:r>
        <w:rPr>
          <w:rFonts w:ascii="Arial" w:cs="Arial" w:eastAsia="Arial" w:hAnsi="Arial"/>
          <w:sz w:val="19"/>
          <w:szCs w:val="19"/>
          <w:color w:val="auto"/>
        </w:rPr>
        <w:t>Effective for Directors Fees earned on or after January 1, 2012, an Eligible Director may</w:t>
      </w:r>
      <w:r>
        <w:rPr>
          <w:rFonts w:ascii="Arial" w:cs="Arial" w:eastAsia="Arial" w:hAnsi="Arial"/>
          <w:sz w:val="19"/>
          <w:szCs w:val="19"/>
          <w:b w:val="1"/>
          <w:bCs w:val="1"/>
          <w:color w:val="auto"/>
        </w:rPr>
        <w:t xml:space="preserve"> </w:t>
      </w:r>
      <w:r>
        <w:rPr>
          <w:rFonts w:ascii="Arial" w:cs="Arial" w:eastAsia="Arial" w:hAnsi="Arial"/>
          <w:sz w:val="19"/>
          <w:szCs w:val="19"/>
          <w:color w:val="auto"/>
        </w:rPr>
        <w:t>elect to defer receipt of up to one hundred percent (100%) of any Director Fees that he or she anticipates receiving. Such election shall be made by filing a Deferral Agreement with the Company in the manner and by the time specified by the Administrator; provided, however, that such Deferral Agreement must be filed with the Company prior to the first day of the first calendar year for which it is to be effective and shall become irrevocable with respect to a calendar year on the last day of the calendar year immediately preceding such calendar year (or such earlier date as the Administrator may prescribe). Notwithstanding the foregoing, an Eligible Director who first becomes eligible to participate in the Plan during a calendar year may elect to defer Director Fees that have not yet been earned in that calendar year (as of the date his or her Deferral Agreement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Page 5</w:t>
      </w:r>
    </w:p>
    <w:p>
      <w:pPr>
        <w:sectPr>
          <w:pgSz w:w="11900" w:h="16838" w:orient="portrait"/>
          <w:cols w:equalWidth="0" w:num="2">
            <w:col w:w="10180" w:space="720"/>
            <w:col w:w="520"/>
          </w:cols>
          <w:pgMar w:left="240" w:top="807"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2"/>
          <w:szCs w:val="22"/>
          <w:color w:val="auto"/>
        </w:rPr>
        <w:t>with the Company) within thirty (30) days after being elected to the Board.</w:t>
      </w:r>
    </w:p>
    <w:p>
      <w:pPr>
        <w:spacing w:after="0" w:line="25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 xml:space="preserve">4.4 Restricted Stock Unit Deferrals. </w:t>
      </w:r>
      <w:r>
        <w:rPr>
          <w:rFonts w:ascii="Arial" w:cs="Arial" w:eastAsia="Arial" w:hAnsi="Arial"/>
          <w:sz w:val="21"/>
          <w:szCs w:val="21"/>
          <w:color w:val="auto"/>
        </w:rPr>
        <w:t>Effective for Restricted Stock Units granted and earned on or after January 1, 2012,</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each Eligible Employee may elect to defer receipt of up to fifty percent (50%) (or such other percentage as may be determined by the Compensation Committee) of any Restricted Stock Units that he or she anticipates receiving and each Eligible Director may elect to defer receipt of up to one hundred percent (100%) of any Restricted Stock Units that he or she anticipates receiving. Such election shall be made by filing a Deferral Agreement with the Company in the manner and by the time specified by the Administrator; provided, however, that (a) if such Restricted Stock Units are "performance-based compensation," as defined in Treasury Regulation 1.409A-1(e), such Deferral Agreement </w:t>
      </w:r>
      <w:r>
        <w:rPr>
          <w:rFonts w:ascii="Arial" w:cs="Arial" w:eastAsia="Arial" w:hAnsi="Arial"/>
          <w:sz w:val="18"/>
          <w:szCs w:val="18"/>
          <w:color w:val="auto"/>
        </w:rPr>
        <w:t>must be filed with the Company (and become irrevocable) no later than six</w:t>
      </w:r>
      <w:r>
        <w:rPr>
          <w:rFonts w:ascii="Arial" w:cs="Arial" w:eastAsia="Arial" w:hAnsi="Arial"/>
          <w:sz w:val="21"/>
          <w:szCs w:val="21"/>
          <w:color w:val="auto"/>
        </w:rPr>
        <w:t xml:space="preserve"> </w:t>
      </w:r>
      <w:r>
        <w:rPr>
          <w:rFonts w:ascii="Arial" w:cs="Arial" w:eastAsia="Arial" w:hAnsi="Arial"/>
          <w:sz w:val="18"/>
          <w:szCs w:val="18"/>
          <w:color w:val="auto"/>
        </w:rPr>
        <w:t xml:space="preserve">months prior to the end of the performance period in which the services to which the Restricted Stock Units relate are performed, and (b) if such </w:t>
      </w:r>
      <w:r>
        <w:rPr>
          <w:rFonts w:ascii="Arial" w:cs="Arial" w:eastAsia="Arial" w:hAnsi="Arial"/>
          <w:sz w:val="20"/>
          <w:szCs w:val="20"/>
          <w:color w:val="auto"/>
        </w:rPr>
        <w:t>Restricted Stock Units are</w:t>
      </w:r>
      <w:r>
        <w:rPr>
          <w:rFonts w:ascii="Arial" w:cs="Arial" w:eastAsia="Arial" w:hAnsi="Arial"/>
          <w:sz w:val="18"/>
          <w:szCs w:val="18"/>
          <w:color w:val="auto"/>
        </w:rPr>
        <w:t xml:space="preserve"> not "performance-based compensation," such Deferral Agreement must be filed </w:t>
      </w:r>
      <w:r>
        <w:rPr>
          <w:rFonts w:ascii="Arial" w:cs="Arial" w:eastAsia="Arial" w:hAnsi="Arial"/>
          <w:sz w:val="20"/>
          <w:szCs w:val="20"/>
          <w:color w:val="auto"/>
        </w:rPr>
        <w:t>with the Company (and</w:t>
      </w:r>
      <w:r>
        <w:rPr>
          <w:rFonts w:ascii="Arial" w:cs="Arial" w:eastAsia="Arial" w:hAnsi="Arial"/>
          <w:sz w:val="18"/>
          <w:szCs w:val="18"/>
          <w:color w:val="auto"/>
        </w:rPr>
        <w:t xml:space="preserve"> </w:t>
      </w:r>
      <w:r>
        <w:rPr>
          <w:rFonts w:ascii="Arial" w:cs="Arial" w:eastAsia="Arial" w:hAnsi="Arial"/>
          <w:sz w:val="20"/>
          <w:szCs w:val="20"/>
          <w:color w:val="auto"/>
        </w:rPr>
        <w:t>become irrevocable) no later than the end of the calendar year preceding the calendar year in which the services to which the Restricted Stock Units relate are performed.</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4.5 Changes in Deferral Elections. </w:t>
      </w:r>
      <w:r>
        <w:rPr>
          <w:rFonts w:ascii="Arial" w:cs="Arial" w:eastAsia="Arial" w:hAnsi="Arial"/>
          <w:sz w:val="21"/>
          <w:szCs w:val="21"/>
          <w:color w:val="auto"/>
        </w:rPr>
        <w:t>Prior to January 1, 2012 and subject to Section 8.3, a Participant's Deferral</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remained in effect from calendar year to calendar year until terminated or modified by the Participant or until the Participant ceased to be an Eligible Employee. Effective January 1, 2012, each Participant must complete a Deferral Agreement for each calendar year, such that a Participant's Deferral Agreement shall remain in effect for one calendar year only and no modification or termination of such Deferral Agreement shall be effective until the first day of the subsequent calendar year or until the Participant ceases to be an Eligible Employee or Eligible Director. Effective January 1, 2012, a Participant must affirmatively elect to participate in the Plan in each calendar year by filing a new Deferral Agreement with the Company in accordance with the provisions of Section 4.1, 4.2. 4.3 and/or 4.4 above, as applicable.</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4.6 Form of Deferral Elections. </w:t>
      </w:r>
      <w:r>
        <w:rPr>
          <w:rFonts w:ascii="Arial" w:cs="Arial" w:eastAsia="Arial" w:hAnsi="Arial"/>
          <w:sz w:val="22"/>
          <w:szCs w:val="22"/>
          <w:color w:val="auto"/>
        </w:rPr>
        <w:t>With respect to deferrals made on or after January 1, 2012, a Participant's annual</w:t>
      </w:r>
      <w:r>
        <w:rPr>
          <w:rFonts w:ascii="Arial" w:cs="Arial" w:eastAsia="Arial" w:hAnsi="Arial"/>
          <w:sz w:val="22"/>
          <w:szCs w:val="22"/>
          <w:b w:val="1"/>
          <w:bCs w:val="1"/>
          <w:color w:val="auto"/>
        </w:rPr>
        <w:t xml:space="preserve"> </w:t>
      </w:r>
      <w:r>
        <w:rPr>
          <w:rFonts w:ascii="Arial" w:cs="Arial" w:eastAsia="Arial" w:hAnsi="Arial"/>
          <w:sz w:val="22"/>
          <w:szCs w:val="22"/>
          <w:color w:val="auto"/>
        </w:rPr>
        <w:t>Deferral Agreement shall specify the form(s) of payment and date(s) of distribution of the Participant's Account with respect to the amounts to be deferred pursuant to the applicable Deferral Agreement.</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4.7 Accounting. </w:t>
      </w:r>
      <w:r>
        <w:rPr>
          <w:rFonts w:ascii="Arial" w:cs="Arial" w:eastAsia="Arial" w:hAnsi="Arial"/>
          <w:sz w:val="22"/>
          <w:szCs w:val="22"/>
          <w:color w:val="auto"/>
        </w:rPr>
        <w:t>The Company shall credit a Participant's deferrals pursuant to Section 4.1, 4.2. 4.3 and/or 4.4 above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Participant's Account on the date such amounts would have been paid to the Participant had they not been deferred by the Participant (or as soon as administratively practicable thereafter).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 MATCHING CONTRIBUTIONS</w:t>
      </w:r>
    </w:p>
    <w:p>
      <w:pPr>
        <w:spacing w:after="0" w:line="2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5.1 Amount of Matching Contributions. </w:t>
      </w:r>
      <w:r>
        <w:rPr>
          <w:rFonts w:ascii="Arial" w:cs="Arial" w:eastAsia="Arial" w:hAnsi="Arial"/>
          <w:sz w:val="21"/>
          <w:szCs w:val="21"/>
          <w:color w:val="auto"/>
        </w:rPr>
        <w:t>Prior to January 1, 2012, an Employee-Participant's Account shall be credited</w:t>
      </w:r>
      <w:r>
        <w:rPr>
          <w:rFonts w:ascii="Arial" w:cs="Arial" w:eastAsia="Arial" w:hAnsi="Arial"/>
          <w:sz w:val="21"/>
          <w:szCs w:val="21"/>
          <w:b w:val="1"/>
          <w:bCs w:val="1"/>
          <w:color w:val="auto"/>
        </w:rPr>
        <w:t xml:space="preserve"> </w:t>
      </w:r>
      <w:r>
        <w:rPr>
          <w:rFonts w:ascii="Arial" w:cs="Arial" w:eastAsia="Arial" w:hAnsi="Arial"/>
          <w:sz w:val="21"/>
          <w:szCs w:val="21"/>
          <w:color w:val="auto"/>
        </w:rPr>
        <w:t>with matching contributions in an amount equal to fifty percent (50%) of the first six percent (6%) of total Salary and Bonuses deferred under the Plan by such Participant during a payroll period. Effective January 1, 2012,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Page 6</w:t>
      </w:r>
    </w:p>
    <w:p>
      <w:pPr>
        <w:sectPr>
          <w:pgSz w:w="11900" w:h="16838" w:orient="portrait"/>
          <w:cols w:equalWidth="0" w:num="2">
            <w:col w:w="10180" w:space="720"/>
            <w:col w:w="520"/>
          </w:cols>
          <w:pgMar w:left="240" w:top="807" w:right="239" w:bottom="1440" w:gutter="0" w:footer="0" w:header="0"/>
          <w:type w:val="continuous"/>
        </w:sectPr>
      </w:pPr>
    </w:p>
    <w:bookmarkStart w:id="58" w:name="page59"/>
    <w:bookmarkEnd w:id="58"/>
    <w:p>
      <w:pPr>
        <w:jc w:val="both"/>
        <w:spacing w:after="0" w:line="248" w:lineRule="auto"/>
        <w:rPr>
          <w:sz w:val="20"/>
          <w:szCs w:val="20"/>
          <w:color w:val="auto"/>
        </w:rPr>
      </w:pPr>
      <w:r>
        <w:rPr>
          <w:rFonts w:ascii="Arial" w:cs="Arial" w:eastAsia="Arial" w:hAnsi="Arial"/>
          <w:sz w:val="22"/>
          <w:szCs w:val="22"/>
          <w:color w:val="auto"/>
        </w:rPr>
        <w:t>Participant's Account shall be credited with the matching contributions described above but only to the extent that such deferred Salary and Bonus exceeds an amount equal to the annual limit under Section 401(a)(17) of the Code earned by the Employee-Participant in the applicable calendar year. Matching contributions shall be credited to an Employee-Participant whose employment with the Company terminates based upon the total Salary and Bonuses deferred under the Plan by such Participant through his or her termination date.</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5.2 Accounting. </w:t>
      </w:r>
      <w:r>
        <w:rPr>
          <w:rFonts w:ascii="Arial" w:cs="Arial" w:eastAsia="Arial" w:hAnsi="Arial"/>
          <w:sz w:val="22"/>
          <w:szCs w:val="22"/>
          <w:color w:val="auto"/>
        </w:rPr>
        <w:t>The Company shall credit its matching contribution for a payroll period for a Participant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Account at the same time as it credits the deferrals to which such contributions relate to such Account.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 ACCOUNTS</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b w:val="1"/>
          <w:bCs w:val="1"/>
          <w:color w:val="auto"/>
        </w:rPr>
        <w:t xml:space="preserve">6.1 Establishment and Nature of Participant Accounts. </w:t>
      </w:r>
      <w:r>
        <w:rPr>
          <w:rFonts w:ascii="Arial" w:cs="Arial" w:eastAsia="Arial" w:hAnsi="Arial"/>
          <w:sz w:val="22"/>
          <w:szCs w:val="22"/>
          <w:color w:val="auto"/>
        </w:rPr>
        <w:t>The Company shall establish and maintain in the name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Participant an Account to reflect the Participant's interest under the Plan. The maintenance of such Accounts is for record keeping purposes only. No funds or other assets of the Company shall be segregated or attributable to the </w:t>
      </w:r>
      <w:r>
        <w:rPr>
          <w:rFonts w:ascii="Arial" w:cs="Arial" w:eastAsia="Arial" w:hAnsi="Arial"/>
          <w:sz w:val="19"/>
          <w:szCs w:val="19"/>
          <w:color w:val="auto"/>
        </w:rPr>
        <w:t>amounts that may be credited to a</w:t>
      </w:r>
      <w:r>
        <w:rPr>
          <w:rFonts w:ascii="Arial" w:cs="Arial" w:eastAsia="Arial" w:hAnsi="Arial"/>
          <w:sz w:val="22"/>
          <w:szCs w:val="22"/>
          <w:color w:val="auto"/>
        </w:rPr>
        <w:t xml:space="preserve"> </w:t>
      </w:r>
      <w:r>
        <w:rPr>
          <w:rFonts w:ascii="Arial" w:cs="Arial" w:eastAsia="Arial" w:hAnsi="Arial"/>
          <w:sz w:val="19"/>
          <w:szCs w:val="19"/>
          <w:color w:val="auto"/>
        </w:rPr>
        <w:t>Participant's Accounts from time to time, but rather benefit payments under the Plan shall be made from the general assets of the Company at the time any such payments become due and payable.</w:t>
      </w:r>
    </w:p>
    <w:p>
      <w:pPr>
        <w:spacing w:after="0" w:line="20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Account Earnings.</w:t>
      </w:r>
    </w:p>
    <w:p>
      <w:pPr>
        <w:spacing w:after="0" w:line="266" w:lineRule="exact"/>
        <w:rPr>
          <w:sz w:val="20"/>
          <w:szCs w:val="20"/>
          <w:color w:val="auto"/>
        </w:rPr>
      </w:pPr>
    </w:p>
    <w:p>
      <w:pPr>
        <w:jc w:val="both"/>
        <w:ind w:firstLine="1872"/>
        <w:spacing w:after="0" w:line="297" w:lineRule="auto"/>
        <w:tabs>
          <w:tab w:leader="none" w:pos="236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Allocation of Gains and Losses</w:t>
      </w:r>
      <w:r>
        <w:rPr>
          <w:rFonts w:ascii="Arial" w:cs="Arial" w:eastAsia="Arial" w:hAnsi="Arial"/>
          <w:sz w:val="19"/>
          <w:szCs w:val="19"/>
          <w:color w:val="auto"/>
        </w:rPr>
        <w:t>. Participant Accounts (except that portion of the Account consisting of deferred Restricted Stock Units) shall be adjusted on a daily basis (through the date immediately preceding the date on which the last payment to the Participant or Beneficiary, as applicable, is processed), according to the performance of the Measurement Fund(s) selected by the Participant pursuant to Section 6.2(b). Such credits and debits to a Participant's Account on a particular day shall be taken into account for purposes of calculating earnings or losses in a manner determined by the Administrator.</w:t>
      </w:r>
    </w:p>
    <w:p>
      <w:pPr>
        <w:spacing w:after="0" w:line="187" w:lineRule="exact"/>
        <w:rPr>
          <w:rFonts w:ascii="Arial" w:cs="Arial" w:eastAsia="Arial" w:hAnsi="Arial"/>
          <w:sz w:val="19"/>
          <w:szCs w:val="19"/>
          <w:color w:val="auto"/>
        </w:rPr>
      </w:pPr>
    </w:p>
    <w:p>
      <w:pPr>
        <w:jc w:val="both"/>
        <w:ind w:firstLine="1872"/>
        <w:spacing w:after="0" w:line="261" w:lineRule="auto"/>
        <w:tabs>
          <w:tab w:leader="none" w:pos="2359"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Allocation to Measurement Funds</w:t>
      </w:r>
      <w:r>
        <w:rPr>
          <w:rFonts w:ascii="Arial" w:cs="Arial" w:eastAsia="Arial" w:hAnsi="Arial"/>
          <w:sz w:val="21"/>
          <w:szCs w:val="21"/>
          <w:color w:val="auto"/>
        </w:rPr>
        <w:t>. A Participant may allocate and reallocate his or her Account (except that portion of the Account consisting of deferred Restricted Stock Units) among the various Measurement Funds designated by the Administrator from time to time. All such allocations and reallocations must be made in accordance with, and subject to, such rules and procedures as the Administrator may establish. To the extent a Participant fails to allocate his or her Account to a Measurement Fund as described above, such Participant will be deemed to have selected the Measurement Fund designated by the Administrator as the default Measurement Fund.</w:t>
      </w:r>
    </w:p>
    <w:p>
      <w:pPr>
        <w:spacing w:after="0" w:line="220" w:lineRule="exact"/>
        <w:rPr>
          <w:rFonts w:ascii="Arial" w:cs="Arial" w:eastAsia="Arial" w:hAnsi="Arial"/>
          <w:sz w:val="21"/>
          <w:szCs w:val="21"/>
          <w:color w:val="auto"/>
        </w:rPr>
      </w:pPr>
    </w:p>
    <w:p>
      <w:pPr>
        <w:jc w:val="both"/>
        <w:ind w:firstLine="1872"/>
        <w:spacing w:after="0" w:line="297" w:lineRule="auto"/>
        <w:tabs>
          <w:tab w:leader="none" w:pos="2441"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 Actual Investment</w:t>
      </w:r>
      <w:r>
        <w:rPr>
          <w:rFonts w:ascii="Arial" w:cs="Arial" w:eastAsia="Arial" w:hAnsi="Arial"/>
          <w:sz w:val="19"/>
          <w:szCs w:val="19"/>
          <w:color w:val="auto"/>
        </w:rPr>
        <w:t>. Notwithstanding any provision in the Plan to the contrary, the Measurement Funds are to be used for measurement purposes only. Neither the Participant's selection of a Measurement Fund nor the crediting or debiting of amounts to the Participant's Account in accordance with that selection shall be considered or construed as an actual investment of the Participant's Account in any Measurement Fund or as requiring the Company or the Administrator to invest any assets in any Measurement Fund or in any other particular investment. In the event that the Company or the Administrator,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Page 7</w:t>
      </w:r>
    </w:p>
    <w:p>
      <w:pPr>
        <w:sectPr>
          <w:pgSz w:w="11900" w:h="16838" w:orient="portrait"/>
          <w:cols w:equalWidth="0" w:num="2">
            <w:col w:w="10180" w:space="720"/>
            <w:col w:w="520"/>
          </w:cols>
          <w:pgMar w:left="240" w:top="807" w:right="239" w:bottom="1440" w:gutter="0" w:footer="0" w:header="0"/>
          <w:type w:val="continuous"/>
        </w:sectPr>
      </w:pPr>
    </w:p>
    <w:bookmarkStart w:id="59" w:name="page60"/>
    <w:bookmarkEnd w:id="59"/>
    <w:p>
      <w:pPr>
        <w:jc w:val="both"/>
        <w:spacing w:after="0" w:line="247" w:lineRule="auto"/>
        <w:rPr>
          <w:sz w:val="20"/>
          <w:szCs w:val="20"/>
          <w:color w:val="auto"/>
        </w:rPr>
      </w:pPr>
      <w:r>
        <w:rPr>
          <w:rFonts w:ascii="Arial" w:cs="Arial" w:eastAsia="Arial" w:hAnsi="Arial"/>
          <w:sz w:val="22"/>
          <w:szCs w:val="22"/>
          <w:color w:val="auto"/>
        </w:rPr>
        <w:t>its own discretion, decides to invest funds in any or all of the investments on which the Measurement Funds are based, no Participant (or Beneficiary) shall have any rights in or to such investments. Without limiting the foregoing, a Participant's Account balance shall at all times be a bookkeeping entry only and shall not represent any investment made on his or her behalf by the Company or the Administrator; the Participant shall at all times remain an unsecured creditor of the Company. The Administrator is under no obligation to offer any particular investment as a Measurement Fund and may discontinue, substitute, modify or add Measurement Funds at any time.</w:t>
      </w:r>
    </w:p>
    <w:p>
      <w:pPr>
        <w:spacing w:after="0" w:line="22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6.3 </w:t>
      </w:r>
      <w:r>
        <w:rPr>
          <w:rFonts w:ascii="Arial" w:cs="Arial" w:eastAsia="Arial" w:hAnsi="Arial"/>
          <w:sz w:val="19"/>
          <w:szCs w:val="19"/>
          <w:color w:val="auto"/>
        </w:rPr>
        <w:t>Dividend equivalents shall be credited in respect of the deferred Restricted Stock Units. Such 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converted into additional deferred common stock equivalents covered by the deferred awards by dividing (1) the aggregate amount or value of the dividends paid with respect to that number of stock equivalents covered by the deferred award by (2) the Fair Market Value (as defined in the Company's 2010 Stock Incentive Plan) per share of Company common stock on the payment date for such dividend. Any additional stock equivalents covered by the deferred Restricted Stock Units credited by reason of such dividend equivalents shall be deferred and subject to all the terms and conditions of this Plan.</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6.4 </w:t>
      </w:r>
      <w:r>
        <w:rPr>
          <w:rFonts w:ascii="Arial" w:cs="Arial" w:eastAsia="Arial" w:hAnsi="Arial"/>
          <w:sz w:val="19"/>
          <w:szCs w:val="19"/>
          <w:color w:val="auto"/>
        </w:rPr>
        <w:t>In the event of any stock dividend, stock split, reverse stock split, recapitalization, merger, combination, exchange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reclassification or similar change in the capital structure of the Company, appropriate adjustments shall be made in the number and class of share equivalents subject to the deferred Restricted Stock Unit awards. If a majority of the shares which are of the same class as the shares the underlie the share equivalents subject to deferred Restricted Stock Unit awards are exchanged for, converted into, or otherwise become shares of another corporation (the “New Shares”), the Compensation Committee may unilaterally amend the deferred awards to provide that shares that underlie the share equivalents subject to such deferred awards are New Shares. In the event of any such amendment, the number of share equivalents subject to deferred awards shall be adjusted in a fair and equitable manner as determined by the Compensation Committee, in its discretion. Notwithstanding the foregoing, any fractional share equivalents resulting from an adjustment pursuant to this Section 6.4 shall be rounded down to the nearest whole share equivalent. The adjustments determined by the Compensation Committee pursuant to this Section 6.4 shall be final, binding and conclusive.</w:t>
      </w: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auto"/>
        </w:rPr>
        <w:t xml:space="preserve">6.5 Account Statements. </w:t>
      </w:r>
      <w:r>
        <w:rPr>
          <w:rFonts w:ascii="Arial" w:cs="Arial" w:eastAsia="Arial" w:hAnsi="Arial"/>
          <w:sz w:val="21"/>
          <w:szCs w:val="21"/>
          <w:color w:val="auto"/>
        </w:rPr>
        <w:t>After the close of each calendar year, or more frequently as the Administrator, in its sole</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 determines, the Company shall furnish each Participant with a statement of the value of his or her Account.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 VESTING</w:t>
      </w:r>
    </w:p>
    <w:p>
      <w:pPr>
        <w:spacing w:after="0" w:line="2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Except as provided below, a Participant shall be fully vested in his or her Account at all times, subject only to the Participant's status as a general unsecured creditor of the Company in the event of its insolvency or bankruptcy. Effective with respect to matching contributions made on or after January 1, 2012 and in accordance with Section 5.1 above, an Employee-Participant shall vest in such matching contributions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Page 8</w:t>
      </w:r>
    </w:p>
    <w:p>
      <w:pPr>
        <w:sectPr>
          <w:pgSz w:w="11900" w:h="16838" w:orient="portrait"/>
          <w:cols w:equalWidth="0" w:num="2">
            <w:col w:w="10180" w:space="720"/>
            <w:col w:w="520"/>
          </w:cols>
          <w:pgMar w:left="240" w:top="807"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color w:val="auto"/>
        </w:rPr>
        <w:t>following schedule:</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Years of Service</w:t>
            </w:r>
          </w:p>
        </w:tc>
        <w:tc>
          <w:tcPr>
            <w:tcW w:w="5700" w:type="dxa"/>
            <w:vAlign w:val="bottom"/>
            <w:tcBorders>
              <w:top w:val="single" w:sz="8" w:color="auto"/>
              <w:right w:val="single" w:sz="8" w:color="auto"/>
            </w:tcBorders>
          </w:tcPr>
          <w:p>
            <w:pPr>
              <w:ind w:left="2260"/>
              <w:spacing w:after="0"/>
              <w:rPr>
                <w:sz w:val="20"/>
                <w:szCs w:val="20"/>
                <w:color w:val="auto"/>
              </w:rPr>
            </w:pPr>
            <w:r>
              <w:rPr>
                <w:rFonts w:ascii="Arial" w:cs="Arial" w:eastAsia="Arial" w:hAnsi="Arial"/>
                <w:sz w:val="18"/>
                <w:szCs w:val="18"/>
                <w:b w:val="1"/>
                <w:bCs w:val="1"/>
                <w:color w:val="auto"/>
              </w:rPr>
              <w:t>Percent Vested</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Less than one</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At least one and less than two</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At least two and less than three</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66%</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At least three</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VIII. DISTRIBUTIONS</w:t>
      </w:r>
    </w:p>
    <w:p>
      <w:pPr>
        <w:spacing w:after="0" w:line="2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Timing of Distribution.</w:t>
      </w:r>
    </w:p>
    <w:p>
      <w:pPr>
        <w:spacing w:after="0" w:line="266" w:lineRule="exact"/>
        <w:rPr>
          <w:sz w:val="20"/>
          <w:szCs w:val="20"/>
          <w:color w:val="auto"/>
        </w:rPr>
      </w:pPr>
    </w:p>
    <w:p>
      <w:pPr>
        <w:jc w:val="both"/>
        <w:ind w:right="20" w:firstLine="656"/>
        <w:spacing w:after="0" w:line="253" w:lineRule="auto"/>
        <w:tabs>
          <w:tab w:leader="none" w:pos="123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With respect to deferrals made on or before December 31, 2011, with respect to all deferrals made by Director-Participants, and except as provided otherwise in this Article VIII, a Participant's Account shall be distributed or commence to be distributed to the Participant within ninety (90) days after the Participant's Termination.</w:t>
      </w:r>
    </w:p>
    <w:p>
      <w:pPr>
        <w:spacing w:after="0" w:line="226" w:lineRule="exact"/>
        <w:rPr>
          <w:rFonts w:ascii="Arial" w:cs="Arial" w:eastAsia="Arial" w:hAnsi="Arial"/>
          <w:sz w:val="22"/>
          <w:szCs w:val="22"/>
          <w:color w:val="auto"/>
        </w:rPr>
      </w:pPr>
    </w:p>
    <w:p>
      <w:pPr>
        <w:ind w:right="20" w:firstLine="656"/>
        <w:spacing w:after="0" w:line="343" w:lineRule="auto"/>
        <w:tabs>
          <w:tab w:leader="none" w:pos="1171" w:val="left"/>
        </w:tabs>
        <w:numPr>
          <w:ilvl w:val="0"/>
          <w:numId w:val="25"/>
        </w:numPr>
        <w:rPr>
          <w:rFonts w:ascii="Arial" w:cs="Arial" w:eastAsia="Arial" w:hAnsi="Arial"/>
          <w:sz w:val="19"/>
          <w:szCs w:val="19"/>
          <w:color w:val="auto"/>
        </w:rPr>
      </w:pPr>
      <w:r>
        <w:rPr>
          <w:rFonts w:ascii="Arial" w:cs="Arial" w:eastAsia="Arial" w:hAnsi="Arial"/>
          <w:sz w:val="19"/>
          <w:szCs w:val="19"/>
          <w:color w:val="auto"/>
        </w:rPr>
        <w:t>With respect to deferrals made on or after January 1, 2012 and except as provided otherwise in this Article VIII, an Employee-Participant's vested Account shall be distributed or commence to be distributed to the Participant as follows:</w:t>
      </w:r>
    </w:p>
    <w:p>
      <w:pPr>
        <w:spacing w:after="0" w:line="145" w:lineRule="exact"/>
        <w:rPr>
          <w:rFonts w:ascii="Arial" w:cs="Arial" w:eastAsia="Arial" w:hAnsi="Arial"/>
          <w:sz w:val="19"/>
          <w:szCs w:val="19"/>
          <w:color w:val="auto"/>
        </w:rPr>
      </w:pPr>
    </w:p>
    <w:p>
      <w:pPr>
        <w:ind w:right="20" w:firstLine="2601"/>
        <w:spacing w:after="0" w:line="276" w:lineRule="auto"/>
        <w:tabs>
          <w:tab w:leader="none" w:pos="3411" w:val="left"/>
        </w:tabs>
        <w:numPr>
          <w:ilvl w:val="1"/>
          <w:numId w:val="25"/>
        </w:numPr>
        <w:rPr>
          <w:rFonts w:ascii="Arial" w:cs="Arial" w:eastAsia="Arial" w:hAnsi="Arial"/>
          <w:sz w:val="18"/>
          <w:szCs w:val="18"/>
          <w:b w:val="1"/>
          <w:bCs w:val="1"/>
          <w:color w:val="auto"/>
        </w:rPr>
      </w:pPr>
      <w:r>
        <w:rPr>
          <w:rFonts w:ascii="Arial" w:cs="Arial" w:eastAsia="Arial" w:hAnsi="Arial"/>
          <w:sz w:val="22"/>
          <w:szCs w:val="22"/>
          <w:color w:val="auto"/>
        </w:rPr>
        <w:t>An Employee-Participant's vested Account shall be distributed or commence to be distributed in the seventh month after the Participant's Termination.</w:t>
      </w:r>
    </w:p>
    <w:p>
      <w:pPr>
        <w:spacing w:after="0" w:line="201" w:lineRule="exact"/>
        <w:rPr>
          <w:rFonts w:ascii="Arial" w:cs="Arial" w:eastAsia="Arial" w:hAnsi="Arial"/>
          <w:sz w:val="18"/>
          <w:szCs w:val="18"/>
          <w:b w:val="1"/>
          <w:bCs w:val="1"/>
          <w:color w:val="auto"/>
        </w:rPr>
      </w:pPr>
    </w:p>
    <w:p>
      <w:pPr>
        <w:jc w:val="both"/>
        <w:ind w:right="20" w:firstLine="2601"/>
        <w:spacing w:after="0" w:line="257" w:lineRule="auto"/>
        <w:tabs>
          <w:tab w:leader="none" w:pos="3461" w:val="left"/>
        </w:tabs>
        <w:numPr>
          <w:ilvl w:val="1"/>
          <w:numId w:val="25"/>
        </w:numPr>
        <w:rPr>
          <w:rFonts w:ascii="Arial" w:cs="Arial" w:eastAsia="Arial" w:hAnsi="Arial"/>
          <w:sz w:val="17"/>
          <w:szCs w:val="17"/>
          <w:b w:val="1"/>
          <w:bCs w:val="1"/>
          <w:color w:val="auto"/>
        </w:rPr>
      </w:pPr>
      <w:r>
        <w:rPr>
          <w:rFonts w:ascii="Arial" w:cs="Arial" w:eastAsia="Arial" w:hAnsi="Arial"/>
          <w:sz w:val="21"/>
          <w:szCs w:val="21"/>
          <w:color w:val="auto"/>
        </w:rPr>
        <w:t>Notwithstanding subpart (b)(i) above, each Employee-Participant may elect to receive one or more in-service distributions of his or her vested Account in the form specified in the Participant's Deferral Agreement, which may be a lump sum payment and/or annual installments of substantial equal amounts payable over a period of years certain not to exceed ten. Any such in-service distribution may be scheduled for any month and year prior to the Participant's Termination and must be scheduled at least two years from the year in which the deferred amount is earned. Any in-service distribution will commence on the first day of the month following the month designated by the Participant as the distribution month. Notwithstanding the foregoing, in-service distributions shall be made only prior to the Participant's Termination. To the extent that a Participant Terminates, a distribution of the Participant's vested Account shall be made in accordance with Section 8.1(b)(i); provided, however, that if an in-service distribution is an installment distribution and if it is in pay status, then such in-service distribution installments shall be paid in accordance with the Participant's in-service distribution election and not in accordance with Section 8.1(b)(i).</w:t>
      </w:r>
    </w:p>
    <w:p>
      <w:pPr>
        <w:spacing w:after="0" w:line="9" w:lineRule="exact"/>
        <w:rPr>
          <w:rFonts w:ascii="Arial" w:cs="Arial" w:eastAsia="Arial" w:hAnsi="Arial"/>
          <w:sz w:val="17"/>
          <w:szCs w:val="17"/>
          <w:b w:val="1"/>
          <w:bCs w:val="1"/>
          <w:color w:val="auto"/>
        </w:rPr>
      </w:pPr>
    </w:p>
    <w:p>
      <w:pPr>
        <w:jc w:val="both"/>
        <w:ind w:right="20" w:firstLine="2601"/>
        <w:spacing w:after="0" w:line="310" w:lineRule="auto"/>
        <w:tabs>
          <w:tab w:leader="none" w:pos="3511" w:val="left"/>
        </w:tabs>
        <w:numPr>
          <w:ilvl w:val="1"/>
          <w:numId w:val="25"/>
        </w:numPr>
        <w:rPr>
          <w:rFonts w:ascii="Arial" w:cs="Arial" w:eastAsia="Arial" w:hAnsi="Arial"/>
          <w:sz w:val="16"/>
          <w:szCs w:val="16"/>
          <w:b w:val="1"/>
          <w:bCs w:val="1"/>
          <w:color w:val="auto"/>
        </w:rPr>
      </w:pPr>
      <w:r>
        <w:rPr>
          <w:rFonts w:ascii="Arial" w:cs="Arial" w:eastAsia="Arial" w:hAnsi="Arial"/>
          <w:sz w:val="19"/>
          <w:szCs w:val="19"/>
          <w:color w:val="auto"/>
        </w:rPr>
        <w:t>An Employee-Participant who elects an in-service distribution may make a re-deferral election with respect to the in-service distribution election if the following conditions are met: (1) the re-deferral election is in writing and does not take effect until twelve months after the date the re-deferral election is made, (2) the new in-service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80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Page 9</w:t>
      </w:r>
    </w:p>
    <w:p>
      <w:pPr>
        <w:sectPr>
          <w:pgSz w:w="11900" w:h="16838" w:orient="portrait"/>
          <w:cols w:equalWidth="0" w:num="2">
            <w:col w:w="10180" w:space="720"/>
            <w:col w:w="540"/>
          </w:cols>
          <w:pgMar w:left="240" w:top="807" w:right="2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9"/>
          <w:szCs w:val="19"/>
          <w:color w:val="auto"/>
        </w:rPr>
        <w:t>distribution date is at least five years after the scheduled distribution date in effect on the date the re-deferral election is made, and</w:t>
      </w:r>
    </w:p>
    <w:p>
      <w:pPr>
        <w:spacing w:after="0" w:line="56" w:lineRule="exact"/>
        <w:rPr>
          <w:sz w:val="20"/>
          <w:szCs w:val="20"/>
          <w:color w:val="auto"/>
        </w:rPr>
      </w:pPr>
    </w:p>
    <w:p>
      <w:pPr>
        <w:ind w:firstLine="8"/>
        <w:spacing w:after="0" w:line="246" w:lineRule="auto"/>
        <w:tabs>
          <w:tab w:leader="none" w:pos="314"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re-deferral election is made not less than twelve months prior to the scheduled distribution date in effect on the date the re-deferral election is made.</w:t>
      </w:r>
    </w:p>
    <w:p>
      <w:pPr>
        <w:spacing w:after="0" w:line="227"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b w:val="1"/>
          <w:bCs w:val="1"/>
          <w:color w:val="auto"/>
        </w:rPr>
        <w:t xml:space="preserve">8.2 Form of Distribution. </w:t>
      </w:r>
      <w:r>
        <w:rPr>
          <w:rFonts w:ascii="Arial" w:cs="Arial" w:eastAsia="Arial" w:hAnsi="Arial"/>
          <w:sz w:val="19"/>
          <w:szCs w:val="19"/>
          <w:color w:val="auto"/>
        </w:rPr>
        <w:t>Except as provided otherwise in this Article VIII, a Participant's vested Account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distributed to the Participant in either a lump sum or in approximately equal annual installments over a period not to exceed ten</w:t>
      </w:r>
    </w:p>
    <w:p>
      <w:pPr>
        <w:jc w:val="both"/>
        <w:ind w:firstLine="8"/>
        <w:spacing w:after="0" w:line="286" w:lineRule="auto"/>
        <w:tabs>
          <w:tab w:leader="none" w:pos="426" w:val="left"/>
        </w:tabs>
        <w:numPr>
          <w:ilvl w:val="0"/>
          <w:numId w:val="27"/>
        </w:numPr>
        <w:rPr>
          <w:rFonts w:ascii="Arial" w:cs="Arial" w:eastAsia="Arial" w:hAnsi="Arial"/>
          <w:sz w:val="19"/>
          <w:szCs w:val="19"/>
          <w:color w:val="auto"/>
        </w:rPr>
      </w:pPr>
      <w:r>
        <w:rPr>
          <w:rFonts w:ascii="Arial" w:cs="Arial" w:eastAsia="Arial" w:hAnsi="Arial"/>
          <w:sz w:val="19"/>
          <w:szCs w:val="19"/>
          <w:color w:val="auto"/>
        </w:rPr>
        <w:t>years. Said form shall be irrevocably elected by the Participant on the Participant's applicable Deferral Agreement; provided, however, that the Participant may, with the consent of the Administrator, change the distribution form, provided such change does not result in the acceleration of payments within the meaning of Code Section 409A. Any such change (a) must be requested in writing (and such request must be filed with the Administrator) at least twelve (12) months prior to the date on which the Participant Terminates, (b) shall automatically result in the distribution (or commencement of distribution) of the Participant's benefit being delayed until the fifth (5th) anniversary of the date on which it would otherwise have occurred (or commenced), (c) shall not take effect for twelve (12) months after the date on which such change request is filed with the Administrator, and (d) shall not be effective unless and until approved by the Administrator. Any change requested which does not meet all the above requirements shall be null and void. If a Participant fails to elect a form of distribution on his or her initial Deferral Agreement or, effective for deferrals made on or after January 1, 2012, on his or her annual Deferral Agreement, then such Participant shall be deemed to have elected a lump sum distribution payable upon Termination in accordance with Section 8.1(a) or 8.1(b)(i).</w:t>
      </w:r>
    </w:p>
    <w:p>
      <w:pPr>
        <w:spacing w:after="0" w:line="19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Unforeseeable Emergency.</w:t>
      </w:r>
    </w:p>
    <w:p>
      <w:pPr>
        <w:spacing w:after="0" w:line="266" w:lineRule="exact"/>
        <w:rPr>
          <w:sz w:val="20"/>
          <w:szCs w:val="20"/>
          <w:color w:val="auto"/>
        </w:rPr>
      </w:pPr>
    </w:p>
    <w:p>
      <w:pPr>
        <w:jc w:val="both"/>
        <w:ind w:firstLine="1872"/>
        <w:spacing w:after="0" w:line="283" w:lineRule="auto"/>
        <w:tabs>
          <w:tab w:leader="none" w:pos="2308" w:val="left"/>
        </w:tabs>
        <w:numPr>
          <w:ilvl w:val="1"/>
          <w:numId w:val="28"/>
        </w:numPr>
        <w:rPr>
          <w:rFonts w:ascii="Arial" w:cs="Arial" w:eastAsia="Arial" w:hAnsi="Arial"/>
          <w:sz w:val="19"/>
          <w:szCs w:val="19"/>
          <w:color w:val="auto"/>
        </w:rPr>
      </w:pPr>
      <w:r>
        <w:rPr>
          <w:rFonts w:ascii="Arial" w:cs="Arial" w:eastAsia="Arial" w:hAnsi="Arial"/>
          <w:sz w:val="19"/>
          <w:szCs w:val="19"/>
          <w:color w:val="auto"/>
        </w:rPr>
        <w:t>Any Participant who experiences an Unforeseeable Emergency may request a distribution from his or her vested Account under the Plan. The amount of any such distribution may not exceed the lesser of the balance in the Participant's vested Account as of the date of distribution or the amount reasonably necessary to satisfy the emergency need (which may include amounts necessary to pay Federal, state, local or foreign income taxes or penalties reasonably anticipated to result from the distribution). Whether a Participant has experienced an Unforeseeable Emergency permitting a distribution under this Section 8.3 shall be determined by the Administrator based on the relevant facts and circumstances of each case, but, in any case, a distribution on account of an Unforeseeable Emergency may not be made to the extent that the emergency need is or may be relieved through reimbursement or compensation by insurance or otherwise, by liquidation of the Participant's assets (to the extent the liquidation would not itself cause severe financial hardship), or by cessation of deferrals under the Plan. A Participant shall be required to submit a written request for such a withdrawal, together with such supporting documentation as the Administrator may require, to the Administrator for review and approval. If the Administrator approves the Participant's request, the Participant's deferrals under the Plan shall be cancelled prospectively, effective upon the date of such approval, and any distribution shall be made within ninety</w:t>
      </w:r>
    </w:p>
    <w:p>
      <w:pPr>
        <w:spacing w:after="0" w:line="5" w:lineRule="exact"/>
        <w:rPr>
          <w:rFonts w:ascii="Arial" w:cs="Arial" w:eastAsia="Arial" w:hAnsi="Arial"/>
          <w:sz w:val="19"/>
          <w:szCs w:val="19"/>
          <w:color w:val="auto"/>
        </w:rPr>
      </w:pPr>
    </w:p>
    <w:p>
      <w:pPr>
        <w:ind w:firstLine="8"/>
        <w:spacing w:after="0" w:line="246" w:lineRule="auto"/>
        <w:tabs>
          <w:tab w:leader="none" w:pos="419" w:val="left"/>
        </w:tabs>
        <w:numPr>
          <w:ilvl w:val="0"/>
          <w:numId w:val="29"/>
        </w:numPr>
        <w:rPr>
          <w:rFonts w:ascii="Arial" w:cs="Arial" w:eastAsia="Arial" w:hAnsi="Arial"/>
          <w:sz w:val="22"/>
          <w:szCs w:val="22"/>
          <w:color w:val="auto"/>
        </w:rPr>
      </w:pPr>
      <w:r>
        <w:rPr>
          <w:rFonts w:ascii="Arial" w:cs="Arial" w:eastAsia="Arial" w:hAnsi="Arial"/>
          <w:sz w:val="22"/>
          <w:szCs w:val="22"/>
          <w:color w:val="auto"/>
        </w:rPr>
        <w:t>days after such approval. If the requesting Participant's emergency need can be satisfied simply by cancelling the Participant's deferrals under the Plan without a corresponding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Page 10</w:t>
      </w:r>
    </w:p>
    <w:p>
      <w:pPr>
        <w:sectPr>
          <w:pgSz w:w="11900" w:h="16838" w:orient="portrait"/>
          <w:cols w:equalWidth="0" w:num="2">
            <w:col w:w="10100" w:space="720"/>
            <w:col w:w="600"/>
          </w:cols>
          <w:pgMar w:left="240" w:top="807"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9"/>
          <w:szCs w:val="19"/>
          <w:color w:val="auto"/>
        </w:rPr>
        <w:t>then the Administrator may authorize such cancellation, even though no distribution can be made. A Participant whose deferrals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have been cancelled under this subsection (a) may not recommence deferrals under the Plan until the first day of the following calendar year.</w:t>
      </w:r>
    </w:p>
    <w:p>
      <w:pPr>
        <w:spacing w:after="0" w:line="261" w:lineRule="exact"/>
        <w:rPr>
          <w:sz w:val="20"/>
          <w:szCs w:val="20"/>
          <w:color w:val="auto"/>
        </w:rPr>
      </w:pPr>
    </w:p>
    <w:p>
      <w:pPr>
        <w:jc w:val="both"/>
        <w:ind w:firstLine="1872"/>
        <w:spacing w:after="0" w:line="302" w:lineRule="auto"/>
        <w:tabs>
          <w:tab w:leader="none" w:pos="2428"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Participant's deferrals shall be cancelled prospectively upon the Participant's receipt of a hardship withdrawal from the Itron, Inc. Incentive Savings Plan or any other 401(k) plan sponsored, maintained or contributed to by the Company. A Participant whose deferrals have been cancelled under this subsection (b) may not recommence deferrals under the Plan until the first day of the first calendar year commencing at least six (6) months after the date of such hardship withdrawal.</w:t>
      </w:r>
    </w:p>
    <w:p>
      <w:pPr>
        <w:spacing w:after="0" w:line="183" w:lineRule="exact"/>
        <w:rPr>
          <w:rFonts w:ascii="Arial" w:cs="Arial" w:eastAsia="Arial" w:hAnsi="Arial"/>
          <w:sz w:val="19"/>
          <w:szCs w:val="19"/>
          <w:color w:val="auto"/>
        </w:rPr>
      </w:pPr>
    </w:p>
    <w:p>
      <w:pPr>
        <w:ind w:firstLine="1872"/>
        <w:spacing w:after="0" w:line="263" w:lineRule="auto"/>
        <w:tabs>
          <w:tab w:leader="none" w:pos="234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recommencement of deferrals following cancellation pursuant to this Section 8.3 shall be governed by the provisions of Article IV hereof.</w:t>
      </w:r>
    </w:p>
    <w:p>
      <w:pPr>
        <w:spacing w:after="0" w:line="20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Death Benefits.</w:t>
      </w:r>
    </w:p>
    <w:p>
      <w:pPr>
        <w:spacing w:after="0" w:line="266" w:lineRule="exact"/>
        <w:rPr>
          <w:sz w:val="20"/>
          <w:szCs w:val="20"/>
          <w:color w:val="auto"/>
        </w:rPr>
      </w:pPr>
    </w:p>
    <w:p>
      <w:pPr>
        <w:ind w:firstLine="1872"/>
        <w:spacing w:after="0" w:line="343" w:lineRule="auto"/>
        <w:tabs>
          <w:tab w:leader="none" w:pos="2397" w:val="left"/>
        </w:tabs>
        <w:numPr>
          <w:ilvl w:val="0"/>
          <w:numId w:val="31"/>
        </w:numPr>
        <w:rPr>
          <w:rFonts w:ascii="Arial" w:cs="Arial" w:eastAsia="Arial" w:hAnsi="Arial"/>
          <w:sz w:val="19"/>
          <w:szCs w:val="19"/>
          <w:color w:val="auto"/>
        </w:rPr>
      </w:pPr>
      <w:r>
        <w:rPr>
          <w:rFonts w:ascii="Arial" w:cs="Arial" w:eastAsia="Arial" w:hAnsi="Arial"/>
          <w:sz w:val="19"/>
          <w:szCs w:val="19"/>
          <w:color w:val="auto"/>
        </w:rPr>
        <w:t>Upon the death of a Participant, any portion of the Participant's vested Account that has not yet been distributed shall be paid in a lump sum to the Participant's Beneficiary within ninety (90) days after the Participant's death.</w:t>
      </w:r>
    </w:p>
    <w:p>
      <w:pPr>
        <w:spacing w:after="0" w:line="145" w:lineRule="exact"/>
        <w:rPr>
          <w:rFonts w:ascii="Arial" w:cs="Arial" w:eastAsia="Arial" w:hAnsi="Arial"/>
          <w:sz w:val="19"/>
          <w:szCs w:val="19"/>
          <w:color w:val="auto"/>
        </w:rPr>
      </w:pPr>
    </w:p>
    <w:p>
      <w:pPr>
        <w:jc w:val="both"/>
        <w:ind w:firstLine="1872"/>
        <w:spacing w:after="0" w:line="292" w:lineRule="auto"/>
        <w:tabs>
          <w:tab w:leader="none" w:pos="2458"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Participant shall designate his or her Beneficiary on such form (filed with the Company) as the Administrator shall prescribe and may change that designation at any time by filing a new beneficiary designation with the Company. Any such change shall be effective only if the Participant is alive at the time the Company receives such change. The most recent beneficiary designation on file with the Company shall be controlling. If the Participant fails to designate a Beneficiary, or if all of the Participant's designated Beneficiaries predecease the Participant, then the Participant's Beneficiary shall be the Participant's surviving spouse or, if the Participant has no surviving spouse, the Participant's surviving children in equal shares, or, if the Participant has no surviving spouse or surviving children, the Participant's estate.</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8.5 Restricted Stock Unit Distributions. </w:t>
      </w:r>
      <w:r>
        <w:rPr>
          <w:rFonts w:ascii="Arial" w:cs="Arial" w:eastAsia="Arial" w:hAnsi="Arial"/>
          <w:sz w:val="22"/>
          <w:szCs w:val="22"/>
          <w:color w:val="auto"/>
        </w:rPr>
        <w:t>Notwithstanding any provision of the Plan to the contrary, that 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vested Account consisting of Restricted Stock Unit deferrals shall be distributed in shares of the Company's common stock.</w:t>
      </w:r>
    </w:p>
    <w:p>
      <w:pPr>
        <w:spacing w:after="0" w:line="21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8.6 Distribution of Small Account Balances. </w:t>
      </w:r>
      <w:r>
        <w:rPr>
          <w:rFonts w:ascii="Arial" w:cs="Arial" w:eastAsia="Arial" w:hAnsi="Arial"/>
          <w:sz w:val="19"/>
          <w:szCs w:val="19"/>
          <w:color w:val="auto"/>
        </w:rPr>
        <w:t>If at any time after a distribution event specified above, the amount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vested Account is less than annual limit under Code Section 402(g) as in effect at the time of distribution (in 2011, this limit is $16,500), the Participant's vested Account will be distributed on the next scheduled distribution date in a lump sum.</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8.7 Payments to Specified Employees</w:t>
      </w:r>
      <w:r>
        <w:rPr>
          <w:rFonts w:ascii="Arial" w:cs="Arial" w:eastAsia="Arial" w:hAnsi="Arial"/>
          <w:sz w:val="22"/>
          <w:szCs w:val="22"/>
          <w:color w:val="auto"/>
        </w:rPr>
        <w:t>. Notwithstanding the foregoing and with respect to deferrals made on or before</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2011, in the case of any Specified Employee, payments due upon Termination shall not be made (or commence to be made) before the date that is six (6) months after the date of Termination (or if earlier, the date of such Specified Employee's death). Any amounts that would have been paid during the six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Page 11</w:t>
      </w:r>
    </w:p>
    <w:p>
      <w:pPr>
        <w:sectPr>
          <w:pgSz w:w="11900" w:h="16838" w:orient="portrait"/>
          <w:cols w:equalWidth="0" w:num="2">
            <w:col w:w="10100" w:space="720"/>
            <w:col w:w="600"/>
          </w:cols>
          <w:pgMar w:left="240" w:top="807" w:right="239" w:bottom="1440" w:gutter="0" w:footer="0" w:header="0"/>
          <w:type w:val="continuous"/>
        </w:sectPr>
      </w:pPr>
    </w:p>
    <w:bookmarkStart w:id="63" w:name="page64"/>
    <w:bookmarkEnd w:id="63"/>
    <w:p>
      <w:pPr>
        <w:ind w:firstLine="8"/>
        <w:spacing w:after="0" w:line="263" w:lineRule="auto"/>
        <w:tabs>
          <w:tab w:leader="none" w:pos="324" w:val="left"/>
        </w:tabs>
        <w:numPr>
          <w:ilvl w:val="0"/>
          <w:numId w:val="32"/>
        </w:numPr>
        <w:rPr>
          <w:rFonts w:ascii="Arial" w:cs="Arial" w:eastAsia="Arial" w:hAnsi="Arial"/>
          <w:sz w:val="22"/>
          <w:szCs w:val="22"/>
          <w:color w:val="auto"/>
        </w:rPr>
      </w:pPr>
      <w:r>
        <w:rPr>
          <w:rFonts w:ascii="Arial" w:cs="Arial" w:eastAsia="Arial" w:hAnsi="Arial"/>
          <w:sz w:val="22"/>
          <w:szCs w:val="22"/>
          <w:color w:val="auto"/>
        </w:rPr>
        <w:t>month period immediately following Termination but for such delay will be paid on the first business day following the date that is six (6) months after the Specified Employee's date of Termination.</w:t>
      </w:r>
    </w:p>
    <w:p>
      <w:pPr>
        <w:spacing w:after="0" w:line="20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8.8 Delay Due to Non-Deductibility under Section 162(m). </w:t>
      </w:r>
      <w:r>
        <w:rPr>
          <w:rFonts w:ascii="Arial" w:cs="Arial" w:eastAsia="Arial" w:hAnsi="Arial"/>
          <w:sz w:val="21"/>
          <w:szCs w:val="21"/>
          <w:color w:val="auto"/>
        </w:rPr>
        <w:t>Notwithstanding any provision of the Plan to the contrary,</w:t>
      </w:r>
      <w:r>
        <w:rPr>
          <w:rFonts w:ascii="Arial" w:cs="Arial" w:eastAsia="Arial" w:hAnsi="Arial"/>
          <w:sz w:val="21"/>
          <w:szCs w:val="21"/>
          <w:b w:val="1"/>
          <w:bCs w:val="1"/>
          <w:color w:val="auto"/>
        </w:rPr>
        <w:t xml:space="preserve"> </w:t>
      </w:r>
      <w:r>
        <w:rPr>
          <w:rFonts w:ascii="Arial" w:cs="Arial" w:eastAsia="Arial" w:hAnsi="Arial"/>
          <w:sz w:val="21"/>
          <w:szCs w:val="21"/>
          <w:color w:val="auto"/>
        </w:rPr>
        <w:t>but subject to the requirements of Code Section 409A, the Company may delay any payment under the Plan to the extent it reasonably anticipates that if the payment were made as scheduled, the Company's deduction with respect to such payment would not be permitted due to the application of Code Section 162(m). Subject to the requirements of Code Section 409A, any payment that is delayed under this Section 8.6 shall be paid during the first taxable year of the Company in which the Company reasonably anticipates, or should reasonably anticipate, that if the payment is made during such year, the deduction of such payment will not be barred by application of Code Section 162(m).</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8.9 Distribution in Event of Taxation. </w:t>
      </w:r>
      <w:r>
        <w:rPr>
          <w:rFonts w:ascii="Arial" w:cs="Arial" w:eastAsia="Arial" w:hAnsi="Arial"/>
          <w:sz w:val="22"/>
          <w:szCs w:val="22"/>
          <w:color w:val="auto"/>
        </w:rPr>
        <w:t>Notwithstanding any provision in the Plan to the contrary, if this Plan fails to</w:t>
      </w:r>
      <w:r>
        <w:rPr>
          <w:rFonts w:ascii="Arial" w:cs="Arial" w:eastAsia="Arial" w:hAnsi="Arial"/>
          <w:sz w:val="22"/>
          <w:szCs w:val="22"/>
          <w:b w:val="1"/>
          <w:bCs w:val="1"/>
          <w:color w:val="auto"/>
        </w:rPr>
        <w:t xml:space="preserve"> </w:t>
      </w:r>
      <w:r>
        <w:rPr>
          <w:rFonts w:ascii="Arial" w:cs="Arial" w:eastAsia="Arial" w:hAnsi="Arial"/>
          <w:sz w:val="22"/>
          <w:szCs w:val="22"/>
          <w:color w:val="auto"/>
        </w:rPr>
        <w:t>meet the requirements of Code Section 409A and the regulations thereunder, the Administrator may distribute to each Participant an amount from his or her vested Account not to exceed the amount required to be included in such Participant's income as a result of the Plan's failure to meet such requirements.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 ADMINISTRATION</w:t>
      </w:r>
    </w:p>
    <w:p>
      <w:pPr>
        <w:spacing w:after="0" w:line="2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Plan Administration.</w:t>
      </w:r>
    </w:p>
    <w:p>
      <w:pPr>
        <w:spacing w:after="0" w:line="28" w:lineRule="exact"/>
        <w:rPr>
          <w:sz w:val="20"/>
          <w:szCs w:val="20"/>
          <w:color w:val="auto"/>
        </w:rPr>
      </w:pPr>
    </w:p>
    <w:p>
      <w:pPr>
        <w:ind w:left="2400" w:hanging="447"/>
        <w:spacing w:after="0"/>
        <w:tabs>
          <w:tab w:leader="none" w:pos="24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Plan shall be administered by the Administrator.</w:t>
      </w:r>
    </w:p>
    <w:p>
      <w:pPr>
        <w:spacing w:after="0" w:line="242" w:lineRule="exact"/>
        <w:rPr>
          <w:rFonts w:ascii="Arial" w:cs="Arial" w:eastAsia="Arial" w:hAnsi="Arial"/>
          <w:sz w:val="22"/>
          <w:szCs w:val="22"/>
          <w:color w:val="auto"/>
        </w:rPr>
      </w:pPr>
    </w:p>
    <w:p>
      <w:pPr>
        <w:jc w:val="both"/>
        <w:ind w:firstLine="1953"/>
        <w:spacing w:after="0" w:line="278" w:lineRule="auto"/>
        <w:tabs>
          <w:tab w:leader="none" w:pos="2457"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The Administrator shall have and exercise all discretionary and other authority to control and manage the operation and administration of the Plan, except such authority as is specifically allocated otherwise by or under the terms hereof, and shall have the power to take any action necessary or appropriate to carry out such responsibilities. Without limiting the foregoing, and in addition to the authority and duties specified elsewhere herein, the Administrator shall have the discretionary authority to construe, interpret and apply the terms and provisions of the Plan; to prescribe such rules and regulations, and issue such directives, as it deems necessary or appropriate for the administration of the Plan; and to make all other determinations and decisions as it deems necessary or appropriate for the administration of </w:t>
      </w:r>
      <w:r>
        <w:rPr>
          <w:rFonts w:ascii="Arial" w:cs="Arial" w:eastAsia="Arial" w:hAnsi="Arial"/>
          <w:sz w:val="17"/>
          <w:szCs w:val="17"/>
          <w:color w:val="auto"/>
        </w:rPr>
        <w:t>the Plan. The Administrator may correct any defect or supply any</w:t>
      </w:r>
      <w:r>
        <w:rPr>
          <w:rFonts w:ascii="Arial" w:cs="Arial" w:eastAsia="Arial" w:hAnsi="Arial"/>
          <w:sz w:val="20"/>
          <w:szCs w:val="20"/>
          <w:color w:val="auto"/>
        </w:rPr>
        <w:t xml:space="preserve"> </w:t>
      </w:r>
      <w:r>
        <w:rPr>
          <w:rFonts w:ascii="Arial" w:cs="Arial" w:eastAsia="Arial" w:hAnsi="Arial"/>
          <w:sz w:val="17"/>
          <w:szCs w:val="17"/>
          <w:color w:val="auto"/>
        </w:rPr>
        <w:t xml:space="preserve">omission or reconcile any </w:t>
      </w:r>
      <w:r>
        <w:rPr>
          <w:rFonts w:ascii="Arial" w:cs="Arial" w:eastAsia="Arial" w:hAnsi="Arial"/>
          <w:sz w:val="19"/>
          <w:szCs w:val="19"/>
          <w:color w:val="auto"/>
        </w:rPr>
        <w:t>inconsistency in the Plan in the manner and to the extent it deems expedient. Decisions of the</w:t>
      </w:r>
      <w:r>
        <w:rPr>
          <w:rFonts w:ascii="Arial" w:cs="Arial" w:eastAsia="Arial" w:hAnsi="Arial"/>
          <w:sz w:val="17"/>
          <w:szCs w:val="17"/>
          <w:color w:val="auto"/>
        </w:rPr>
        <w:t xml:space="preserve"> </w:t>
      </w:r>
      <w:r>
        <w:rPr>
          <w:rFonts w:ascii="Arial" w:cs="Arial" w:eastAsia="Arial" w:hAnsi="Arial"/>
          <w:sz w:val="19"/>
          <w:szCs w:val="19"/>
          <w:color w:val="auto"/>
        </w:rPr>
        <w:t>Administrator shall be final and binding upon the Participants, and their legal representatives and Beneficiaries.</w:t>
      </w:r>
    </w:p>
    <w:p>
      <w:pPr>
        <w:spacing w:after="0" w:line="208" w:lineRule="exact"/>
        <w:rPr>
          <w:rFonts w:ascii="Arial" w:cs="Arial" w:eastAsia="Arial" w:hAnsi="Arial"/>
          <w:sz w:val="20"/>
          <w:szCs w:val="20"/>
          <w:color w:val="auto"/>
        </w:rPr>
      </w:pPr>
    </w:p>
    <w:p>
      <w:pPr>
        <w:jc w:val="both"/>
        <w:ind w:firstLine="1953"/>
        <w:spacing w:after="0" w:line="250" w:lineRule="auto"/>
        <w:tabs>
          <w:tab w:leader="none" w:pos="2565" w:val="left"/>
        </w:tabs>
        <w:numPr>
          <w:ilvl w:val="0"/>
          <w:numId w:val="33"/>
        </w:numPr>
        <w:rPr>
          <w:rFonts w:ascii="Arial" w:cs="Arial" w:eastAsia="Arial" w:hAnsi="Arial"/>
          <w:sz w:val="22"/>
          <w:szCs w:val="22"/>
          <w:color w:val="auto"/>
        </w:rPr>
      </w:pPr>
      <w:r>
        <w:rPr>
          <w:rFonts w:ascii="Arial" w:cs="Arial" w:eastAsia="Arial" w:hAnsi="Arial"/>
          <w:sz w:val="22"/>
          <w:szCs w:val="22"/>
          <w:color w:val="auto"/>
        </w:rPr>
        <w:t>No Participant who represents or is authorized to act on behalf of (or who is a member of) the Administrator or the Board may decide, determine or act on any matter that affects the distribution, nature or method of settlement of solely his or her Account under the Plan, except in exercising an election available to that member in his or her capacity as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664845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Page 12</w:t>
      </w:r>
    </w:p>
    <w:p>
      <w:pPr>
        <w:sectPr>
          <w:pgSz w:w="11900" w:h="16838" w:orient="portrait"/>
          <w:cols w:equalWidth="0" w:num="2">
            <w:col w:w="10100" w:space="720"/>
            <w:col w:w="600"/>
          </w:cols>
          <w:pgMar w:left="240" w:top="807" w:right="239" w:bottom="1440" w:gutter="0" w:footer="0" w:header="0"/>
          <w:type w:val="continuous"/>
        </w:sectPr>
      </w:pPr>
    </w:p>
    <w:bookmarkStart w:id="64" w:name="page65"/>
    <w:bookmarkEnd w:id="64"/>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9.2 Finality of Determination. </w:t>
      </w:r>
      <w:r>
        <w:rPr>
          <w:rFonts w:ascii="Arial" w:cs="Arial" w:eastAsia="Arial" w:hAnsi="Arial"/>
          <w:sz w:val="22"/>
          <w:szCs w:val="22"/>
          <w:color w:val="auto"/>
        </w:rPr>
        <w:t>Except as provided in Sections 9.6(d) and (e) below with respect to appeals of claim</w:t>
      </w:r>
      <w:r>
        <w:rPr>
          <w:rFonts w:ascii="Arial" w:cs="Arial" w:eastAsia="Arial" w:hAnsi="Arial"/>
          <w:sz w:val="22"/>
          <w:szCs w:val="22"/>
          <w:b w:val="1"/>
          <w:bCs w:val="1"/>
          <w:color w:val="auto"/>
        </w:rPr>
        <w:t xml:space="preserve"> </w:t>
      </w:r>
      <w:r>
        <w:rPr>
          <w:rFonts w:ascii="Arial" w:cs="Arial" w:eastAsia="Arial" w:hAnsi="Arial"/>
          <w:sz w:val="22"/>
          <w:szCs w:val="22"/>
          <w:color w:val="auto"/>
        </w:rPr>
        <w:t>denials, the determination of the Administrator with respect to any question arising out of or in connection with the administration, interpretation, and application of the Plan shall be final, binding, and conclusive upon all persons and shall be given the greatest deference permitted by law.</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9.3 Expenses. </w:t>
      </w:r>
      <w:r>
        <w:rPr>
          <w:rFonts w:ascii="Arial" w:cs="Arial" w:eastAsia="Arial" w:hAnsi="Arial"/>
          <w:sz w:val="22"/>
          <w:szCs w:val="22"/>
          <w:color w:val="auto"/>
        </w:rPr>
        <w:t>All expenses and costs incurred in connection with the administration and operation of the Plan and Trust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borne by the Company.</w:t>
      </w:r>
    </w:p>
    <w:p>
      <w:pPr>
        <w:spacing w:after="0" w:line="2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b w:val="1"/>
          <w:bCs w:val="1"/>
          <w:color w:val="auto"/>
        </w:rPr>
        <w:t xml:space="preserve">9.4 Legal Proceedings. </w:t>
      </w:r>
      <w:r>
        <w:rPr>
          <w:rFonts w:ascii="Arial" w:cs="Arial" w:eastAsia="Arial" w:hAnsi="Arial"/>
          <w:sz w:val="21"/>
          <w:szCs w:val="21"/>
          <w:color w:val="auto"/>
        </w:rPr>
        <w:t>Neither the Company, the Board, the Compensation Committee, the Administrator nor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person shall be bound to institute any legal action against or between any person or persons, unless it shall first have been indemnified to its satisfaction by the Plan. If any dispute shall arise regarding the person to whom payment </w:t>
      </w:r>
      <w:r>
        <w:rPr>
          <w:rFonts w:ascii="Arial" w:cs="Arial" w:eastAsia="Arial" w:hAnsi="Arial"/>
          <w:sz w:val="18"/>
          <w:szCs w:val="18"/>
          <w:color w:val="auto"/>
        </w:rPr>
        <w:t>or delivery of any sums or</w:t>
      </w:r>
      <w:r>
        <w:rPr>
          <w:rFonts w:ascii="Arial" w:cs="Arial" w:eastAsia="Arial" w:hAnsi="Arial"/>
          <w:sz w:val="21"/>
          <w:szCs w:val="21"/>
          <w:color w:val="auto"/>
        </w:rPr>
        <w:t xml:space="preserve"> </w:t>
      </w:r>
      <w:r>
        <w:rPr>
          <w:rFonts w:ascii="Arial" w:cs="Arial" w:eastAsia="Arial" w:hAnsi="Arial"/>
          <w:sz w:val="18"/>
          <w:szCs w:val="18"/>
          <w:color w:val="auto"/>
        </w:rPr>
        <w:t>property should be made by the Company, or regarding any act to be performed, the Company may, in its sole discretion, retain such payment and postpone the performing of such act until final adjudication of such dispute shall have been made in a court of competent jurisdiction or otherwise to the satisfaction of the Company or until the Company shall have been indemnified against loss to its satisfaction.</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9.5 Disputed Payee or Act. </w:t>
      </w:r>
      <w:r>
        <w:rPr>
          <w:rFonts w:ascii="Arial" w:cs="Arial" w:eastAsia="Arial" w:hAnsi="Arial"/>
          <w:sz w:val="22"/>
          <w:szCs w:val="22"/>
          <w:color w:val="auto"/>
        </w:rPr>
        <w:t>If any dispute arises regarding the person to whom payment or delivery of any sums or</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should be made by the Company, or regarding any act to be performed, the Company may, in its sole discretion, retain such payment and postpone the performing of such act until final adjudication of such dispute has been made in a court of competent jurisdiction or otherwise to the satisfaction of the Company or until the Company has been indemnified against loss to its satisfaction.</w:t>
      </w:r>
    </w:p>
    <w:p>
      <w:pPr>
        <w:spacing w:after="0" w:line="22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Claims Procedure.</w:t>
      </w:r>
    </w:p>
    <w:p>
      <w:pPr>
        <w:spacing w:after="0" w:line="266" w:lineRule="exact"/>
        <w:rPr>
          <w:sz w:val="20"/>
          <w:szCs w:val="20"/>
          <w:color w:val="auto"/>
        </w:rPr>
      </w:pPr>
    </w:p>
    <w:p>
      <w:pPr>
        <w:jc w:val="both"/>
        <w:ind w:firstLine="2034"/>
        <w:spacing w:after="0" w:line="261" w:lineRule="auto"/>
        <w:tabs>
          <w:tab w:leader="none" w:pos="2549"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Filing a Claim</w:t>
      </w:r>
      <w:r>
        <w:rPr>
          <w:rFonts w:ascii="Arial" w:cs="Arial" w:eastAsia="Arial" w:hAnsi="Arial"/>
          <w:sz w:val="21"/>
          <w:szCs w:val="21"/>
          <w:color w:val="auto"/>
        </w:rPr>
        <w:t>. Benefits under the Plan shall be paid only if the Administrator or the Compensation Committee decides, in its sole and absolute discretion, that the Participant or Beneficiary, as applicable (the "Claimant") is entitled to them. A Participant or a Beneficiary (the "Claimant"), or the authorized representative of either, shall file a claim for benefits under the Plan with the Administrator in writing. The Administrator may prescribed a particular form for filing such claims, and, if it does so, a claim will not be deemed properly filed unless such form is used, but the Administrator shall provide a copy of such form to any person whose claim for benefits is improper solely for this reason.</w:t>
      </w:r>
    </w:p>
    <w:p>
      <w:pPr>
        <w:spacing w:after="0" w:line="220" w:lineRule="exact"/>
        <w:rPr>
          <w:rFonts w:ascii="Arial" w:cs="Arial" w:eastAsia="Arial" w:hAnsi="Arial"/>
          <w:sz w:val="21"/>
          <w:szCs w:val="21"/>
          <w:color w:val="auto"/>
        </w:rPr>
      </w:pPr>
    </w:p>
    <w:p>
      <w:pPr>
        <w:jc w:val="both"/>
        <w:ind w:firstLine="2034"/>
        <w:spacing w:after="0" w:line="246" w:lineRule="auto"/>
        <w:tabs>
          <w:tab w:leader="none" w:pos="2723"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Claim Review</w:t>
      </w:r>
      <w:r>
        <w:rPr>
          <w:rFonts w:ascii="Arial" w:cs="Arial" w:eastAsia="Arial" w:hAnsi="Arial"/>
          <w:sz w:val="22"/>
          <w:szCs w:val="22"/>
          <w:color w:val="auto"/>
        </w:rPr>
        <w:t>. Claims will be decided by the Administrator (or, if the Administrator is the Compensation Committee, the senior human resources officer of Itron, Inc., or another individual designated by the Compensation Committee), which will make its decision with respect to a claim and notify the Claimant (or his or her authorized representative) in writing of such decision within ninety (90) days after receiving the claim. The Administrator (or the designee) may extend this ninety-day (90-day) period for an additional ninety (90) days if it determines that special circumstances require additional time to process the claim. The Administrator (or the designee) will notify the Claimant (or his or her authorized representative) in writing of any such extension within ninety (90) days of receiving the claim. The notice will included the reason(s) why the extension is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Page 13</w:t>
      </w:r>
    </w:p>
    <w:p>
      <w:pPr>
        <w:sectPr>
          <w:pgSz w:w="11900" w:h="16838" w:orient="portrait"/>
          <w:cols w:equalWidth="0" w:num="2">
            <w:col w:w="10100" w:space="720"/>
            <w:col w:w="600"/>
          </w:cols>
          <w:pgMar w:left="240" w:top="801"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22"/>
          <w:szCs w:val="22"/>
          <w:color w:val="auto"/>
        </w:rPr>
        <w:t>and the date by which the Administrator (or the designee) expects to render its decision on the claim.</w:t>
      </w:r>
    </w:p>
    <w:p>
      <w:pPr>
        <w:spacing w:after="0" w:line="26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If a claim is partially or completely denied, the written notice to the Claimant (or his or her authorized representative) will include:</w:t>
      </w:r>
    </w:p>
    <w:p>
      <w:pPr>
        <w:spacing w:after="0" w:line="175"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Reference to the specific Plan provisions on which the denial is based;</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 and</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description of the Plan's claim appeal procedure (and the time limits applicable thereto), including a statement of the Claimant's right to bring a civil action under Section 502(a) of ERISA, following an adverse determination on appeal.</w:t>
      </w:r>
    </w:p>
    <w:p>
      <w:pPr>
        <w:spacing w:after="0" w:line="18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a Claimant submits a claim in accordance with the procedure described above and does not hear from the Administrator (or the designee) within ninety (90) days, the Claimant may consider the claim denied.</w:t>
      </w:r>
    </w:p>
    <w:p>
      <w:pPr>
        <w:spacing w:after="0" w:line="175" w:lineRule="exact"/>
        <w:rPr>
          <w:sz w:val="20"/>
          <w:szCs w:val="20"/>
          <w:color w:val="auto"/>
        </w:rPr>
      </w:pPr>
    </w:p>
    <w:p>
      <w:pPr>
        <w:jc w:val="both"/>
        <w:ind w:firstLine="2034"/>
        <w:spacing w:after="0" w:line="250" w:lineRule="auto"/>
        <w:tabs>
          <w:tab w:leader="none" w:pos="2536"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Appealing a Claim Denial</w:t>
      </w:r>
      <w:r>
        <w:rPr>
          <w:rFonts w:ascii="Arial" w:cs="Arial" w:eastAsia="Arial" w:hAnsi="Arial"/>
          <w:sz w:val="22"/>
          <w:szCs w:val="22"/>
          <w:color w:val="auto"/>
        </w:rPr>
        <w:t>. If a claim is partially or completely denied, the Claimant has the right to appeal the denial. To appeal a claim denial, the Claimant (or his or her authorized representative) must file a written request for appeal with the Compensation Committee within sixty (60) days after receiving written notice of the claim denial. This written request for appeal should include:</w:t>
      </w:r>
    </w:p>
    <w:p>
      <w:pPr>
        <w:spacing w:after="0" w:line="228" w:lineRule="exact"/>
        <w:rPr>
          <w:rFonts w:ascii="Arial" w:cs="Arial" w:eastAsia="Arial" w:hAnsi="Arial"/>
          <w:sz w:val="22"/>
          <w:szCs w:val="22"/>
          <w:color w:val="auto"/>
        </w:rPr>
      </w:pPr>
    </w:p>
    <w:p>
      <w:pPr>
        <w:ind w:left="1080" w:hanging="424"/>
        <w:spacing w:after="0"/>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statement of the grounds on which the appeal is based;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 to the specific Plan provisions that support your claim;</w:t>
      </w:r>
    </w:p>
    <w:p>
      <w:pPr>
        <w:spacing w:after="0" w:line="233"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reason(s) or argument(s) why the Claimant believes the claim should be granted and the evidence supporting each reason or argument; 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other comments, documents, records or information relating to the claim that the Claimant wishes to submit.</w:t>
      </w:r>
    </w:p>
    <w:p>
      <w:pPr>
        <w:spacing w:after="0" w:line="25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Claimant (or his or her authorized representative) will be provided, upon request and free of charge, reasonable access to, and copies of, all documents, records and other information relevant (within the meaning of 29 C.F.R. § 2560.503-1(m)(8)) to his or her claim.</w:t>
      </w:r>
    </w:p>
    <w:p>
      <w:pPr>
        <w:spacing w:after="0" w:line="186" w:lineRule="exact"/>
        <w:rPr>
          <w:sz w:val="20"/>
          <w:szCs w:val="20"/>
          <w:color w:val="auto"/>
        </w:rPr>
      </w:pPr>
    </w:p>
    <w:p>
      <w:pPr>
        <w:jc w:val="both"/>
        <w:ind w:firstLine="2034"/>
        <w:spacing w:after="0" w:line="250" w:lineRule="auto"/>
        <w:tabs>
          <w:tab w:leader="none" w:pos="253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Decision on Appeal</w:t>
      </w:r>
      <w:r>
        <w:rPr>
          <w:rFonts w:ascii="Arial" w:cs="Arial" w:eastAsia="Arial" w:hAnsi="Arial"/>
          <w:sz w:val="22"/>
          <w:szCs w:val="22"/>
          <w:color w:val="auto"/>
        </w:rPr>
        <w:t>. Appeals will be decided by the Compensation Committee, which will render its decision with respect to an appeal and notify the Claimant (or his or her authorized representative) in writing of such decision within sixty (60) days after receiving the appeal. The Compensation Committee may extend this sixty-day (60-day) period for an additional sixty (60) days if it determines that special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Page 14</w:t>
      </w:r>
    </w:p>
    <w:p>
      <w:pPr>
        <w:sectPr>
          <w:pgSz w:w="11900" w:h="16838" w:orient="portrait"/>
          <w:cols w:equalWidth="0" w:num="2">
            <w:col w:w="10100" w:space="720"/>
            <w:col w:w="600"/>
          </w:cols>
          <w:pgMar w:left="240" w:top="807" w:right="239" w:bottom="1440" w:gutter="0" w:footer="0" w:header="0"/>
          <w:type w:val="continuous"/>
        </w:sectPr>
      </w:pPr>
    </w:p>
    <w:bookmarkStart w:id="66" w:name="page67"/>
    <w:bookmarkEnd w:id="66"/>
    <w:p>
      <w:pPr>
        <w:jc w:val="both"/>
        <w:spacing w:after="0" w:line="294" w:lineRule="auto"/>
        <w:rPr>
          <w:sz w:val="20"/>
          <w:szCs w:val="20"/>
          <w:color w:val="auto"/>
        </w:rPr>
      </w:pPr>
      <w:r>
        <w:rPr>
          <w:rFonts w:ascii="Arial" w:cs="Arial" w:eastAsia="Arial" w:hAnsi="Arial"/>
          <w:sz w:val="19"/>
          <w:szCs w:val="19"/>
          <w:color w:val="auto"/>
        </w:rPr>
        <w:t>require additional time to process the appeal. The Compensation Committee will notify the Claimant (or his or her authorized representative) in writing of any such extension within sixty (60) days of receiving the appeal. The notice will included the reason(s) why the extension is necessary and the date by which the Compensation Committee expects to render its decision on the appeal. In reaching its decision, the Compensation Committee will take into account all of the comments, documents, records and other information that the Claimant (or his or her authorized representative) submitted, without regard to whether such information was submitted or considered by the Administrator in its initial denial of the claim.</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a claim is partially or completely denied on appeal, the written notice of claim denial will include the following:</w:t>
      </w:r>
    </w:p>
    <w:p>
      <w:pPr>
        <w:spacing w:after="0" w:line="231"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Reference to the specific Plan provisions on which the denial is based;</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statement that the Claimant (or his or her authorized representative) is entitled to receive, upon request and free of charge, reasonable access to, and copies of, all documents, records and other information relevant (within the meaning of 29 C.F.R. § 2560.503-1(m)(8)) to the claim; and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statement of the Claimant's right to bring an action under Section 502(a) of ERISA.</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a Claimant files an appeal in accordance with the procedure described above and does not hear from the Administrator within sixty (60) days, the Claimant may consider the appeal denied.</w:t>
      </w:r>
    </w:p>
    <w:p>
      <w:pPr>
        <w:spacing w:after="0" w:line="175" w:lineRule="exact"/>
        <w:rPr>
          <w:sz w:val="20"/>
          <w:szCs w:val="20"/>
          <w:color w:val="auto"/>
        </w:rPr>
      </w:pPr>
    </w:p>
    <w:p>
      <w:pPr>
        <w:jc w:val="both"/>
        <w:ind w:firstLine="2034"/>
        <w:spacing w:after="0" w:line="289" w:lineRule="auto"/>
        <w:tabs>
          <w:tab w:leader="none" w:pos="2509"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Filing Suit</w:t>
      </w:r>
      <w:r>
        <w:rPr>
          <w:rFonts w:ascii="Arial" w:cs="Arial" w:eastAsia="Arial" w:hAnsi="Arial"/>
          <w:sz w:val="19"/>
          <w:szCs w:val="19"/>
          <w:color w:val="auto"/>
        </w:rPr>
        <w:t>. A Participant or Beneficiary must comply with the claim and appeal procedures described above before seeking any other legal recourse (including filing a law suit) regarding claims for benefits. If a Claimant wishes to file a court action after exhausting the foregoing procedures, the Claimant (or his or her authorized representative) must file such action in a court of competent jurisdiction within one hundred eighty (180) days after the date on which the Claimant (or his or her authorized representative) received the Administrator's written denial of the appeal. Court actions may not be commenced after this one hundred eighty (ISO) day period. Any judicial review of the Compensation Committee's decision on a claim will be limited to whether, in the particular instance, the Compensation Committee abused its discretion. In no event will such judicial review be on a de novo basis, because the Compensation Committee has discretionary authority to determine eligibility for (and the amount of) benefits under the Plan and to construe and interpret the terms and provisions of the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 CHANGE OF CONTROL</w:t>
      </w:r>
    </w:p>
    <w:p>
      <w:pPr>
        <w:spacing w:after="0" w:line="2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10.1 Benefits Protection Trust. </w:t>
      </w:r>
      <w:r>
        <w:rPr>
          <w:rFonts w:ascii="Arial" w:cs="Arial" w:eastAsia="Arial" w:hAnsi="Arial"/>
          <w:sz w:val="22"/>
          <w:szCs w:val="22"/>
          <w:color w:val="auto"/>
        </w:rPr>
        <w:t>As soon as administratively practicable (but in no event more than 14 days) after a</w:t>
      </w:r>
      <w:r>
        <w:rPr>
          <w:rFonts w:ascii="Arial" w:cs="Arial" w:eastAsia="Arial" w:hAnsi="Arial"/>
          <w:sz w:val="22"/>
          <w:szCs w:val="22"/>
          <w:b w:val="1"/>
          <w:bCs w:val="1"/>
          <w:color w:val="auto"/>
        </w:rPr>
        <w:t xml:space="preserve"> </w:t>
      </w:r>
      <w:r>
        <w:rPr>
          <w:rFonts w:ascii="Arial" w:cs="Arial" w:eastAsia="Arial" w:hAnsi="Arial"/>
          <w:sz w:val="22"/>
          <w:szCs w:val="22"/>
          <w:color w:val="auto"/>
        </w:rPr>
        <w:t>Change of Control, the Company shall contribute to the Trust an amount equal to the total of Plan's liabilities as of the date of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Page 15</w:t>
      </w:r>
    </w:p>
    <w:p>
      <w:pPr>
        <w:sectPr>
          <w:pgSz w:w="11900" w:h="16838" w:orient="portrait"/>
          <w:cols w:equalWidth="0" w:num="2">
            <w:col w:w="10100" w:space="720"/>
            <w:col w:w="600"/>
          </w:cols>
          <w:pgMar w:left="240" w:top="807" w:right="239" w:bottom="1440" w:gutter="0" w:footer="0" w:header="0"/>
          <w:type w:val="continuous"/>
        </w:sectPr>
      </w:pPr>
    </w:p>
    <w:bookmarkStart w:id="67" w:name="page68"/>
    <w:bookmarkEnd w:id="67"/>
    <w:p>
      <w:pPr>
        <w:spacing w:after="0" w:line="287" w:lineRule="auto"/>
        <w:rPr>
          <w:sz w:val="20"/>
          <w:szCs w:val="20"/>
          <w:color w:val="auto"/>
        </w:rPr>
      </w:pPr>
      <w:r>
        <w:rPr>
          <w:rFonts w:ascii="Arial" w:cs="Arial" w:eastAsia="Arial" w:hAnsi="Arial"/>
          <w:sz w:val="21"/>
          <w:szCs w:val="21"/>
          <w:color w:val="auto"/>
        </w:rPr>
        <w:t>less the amount already held in the Trust with respect to such Accounts, provided that the Company is not then insolvent. In addition, on and after a Change of Control, the following shall apply (provided that the Company is not then insolvent):</w:t>
      </w:r>
    </w:p>
    <w:p>
      <w:pPr>
        <w:spacing w:after="0" w:line="192" w:lineRule="exact"/>
        <w:rPr>
          <w:sz w:val="20"/>
          <w:szCs w:val="20"/>
          <w:color w:val="auto"/>
        </w:rPr>
      </w:pPr>
    </w:p>
    <w:p>
      <w:pPr>
        <w:jc w:val="both"/>
        <w:ind w:left="1300" w:hanging="644"/>
        <w:spacing w:after="0" w:line="260" w:lineRule="auto"/>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As soon as administratively practicable (but in no event more than 14 days) after the end of the month in which occurs a Change of Control and each month commencing thereafter, Company shall make an irrevocable </w:t>
      </w:r>
      <w:r>
        <w:rPr>
          <w:rFonts w:ascii="Arial" w:cs="Arial" w:eastAsia="Arial" w:hAnsi="Arial"/>
          <w:sz w:val="19"/>
          <w:szCs w:val="19"/>
          <w:color w:val="auto"/>
        </w:rPr>
        <w:t>contribution</w:t>
      </w:r>
      <w:r>
        <w:rPr>
          <w:rFonts w:ascii="Arial" w:cs="Arial" w:eastAsia="Arial" w:hAnsi="Arial"/>
          <w:sz w:val="22"/>
          <w:szCs w:val="22"/>
          <w:color w:val="auto"/>
        </w:rPr>
        <w:t xml:space="preserve"> </w:t>
      </w:r>
      <w:r>
        <w:rPr>
          <w:rFonts w:ascii="Arial" w:cs="Arial" w:eastAsia="Arial" w:hAnsi="Arial"/>
          <w:sz w:val="19"/>
          <w:szCs w:val="19"/>
          <w:color w:val="auto"/>
        </w:rPr>
        <w:t>to the Trust in an amount that is equal to any amounts deferred pursuant to Article IV hereof by Participants during such month.</w:t>
      </w:r>
    </w:p>
    <w:p>
      <w:pPr>
        <w:spacing w:after="0" w:line="197"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As soon as administratively practicable (but in no event more than one month) after the end of the calendar year in which occurs a Change of Control and each calendar year commencing thereafter, Company shall make an irrevocable contribution to the Trust in an amount equal to any Matching Contribution required to be made under this Plan pursuant to Section 5.1 hereof.</w:t>
      </w:r>
    </w:p>
    <w:p>
      <w:pPr>
        <w:spacing w:after="0" w:line="188"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As soon as administratively practicable (but in no event more than two and one-half months) after the end of the calendar year in which occurs a Change of Control and each calendar year commencing thereafter, Company shall make an irrevocable contribution to the Trust in an amount that is equal to the total amount credited to the Participants' Accounts pursuant to Section 6.2 above, if any, for such calendar year.</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shall be insolvent if either (i) it is generally unable to pay its debts as they become due unless such debts are the subject of a bona fide dispute, or (ii) the Company is subject to a pending proceeding as a debtor under the United States Bankruptcy Code. The Company shall have no obligation to contribute to the Trust or any other "rabbi" trust with respect to the Plan except in the event of a Change of Control.</w:t>
      </w:r>
    </w:p>
    <w:p>
      <w:pPr>
        <w:spacing w:after="0" w:line="18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10.2 Legal Defense Trust. </w:t>
      </w:r>
      <w:r>
        <w:rPr>
          <w:rFonts w:ascii="Arial" w:cs="Arial" w:eastAsia="Arial" w:hAnsi="Arial"/>
          <w:sz w:val="19"/>
          <w:szCs w:val="19"/>
          <w:color w:val="auto"/>
        </w:rPr>
        <w:t>Immediately upon a Hostile Change of Control, the Company shall contribute to the Itron, Inc.</w:t>
      </w:r>
      <w:r>
        <w:rPr>
          <w:rFonts w:ascii="Arial" w:cs="Arial" w:eastAsia="Arial" w:hAnsi="Arial"/>
          <w:sz w:val="19"/>
          <w:szCs w:val="19"/>
          <w:b w:val="1"/>
          <w:bCs w:val="1"/>
          <w:color w:val="auto"/>
        </w:rPr>
        <w:t xml:space="preserve"> </w:t>
      </w:r>
      <w:r>
        <w:rPr>
          <w:rFonts w:ascii="Arial" w:cs="Arial" w:eastAsia="Arial" w:hAnsi="Arial"/>
          <w:sz w:val="19"/>
          <w:szCs w:val="19"/>
          <w:color w:val="auto"/>
        </w:rPr>
        <w:t>Legal Defense Trust such amount as may be specified in the trust agreement for such trust for purposes of reimbursing Participants for legal fees and other related costs incurred by any Participant in attempting to enforce such Participant's rights under the Plan, provided that the Company is not then insolvent (as defined in Section 10.1 above). The terms and conditions under which such fees and costs shall be reimbursed shall be set forth in the trust agreement for such trust.</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10.3 Amendment After Change of Control. </w:t>
      </w:r>
      <w:r>
        <w:rPr>
          <w:rFonts w:ascii="Arial" w:cs="Arial" w:eastAsia="Arial" w:hAnsi="Arial"/>
          <w:sz w:val="22"/>
          <w:szCs w:val="22"/>
          <w:color w:val="auto"/>
        </w:rPr>
        <w:t>This Article X may not be amended or modified following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 AMENDMENT, MODIFICATION AND TERMINATION</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Subject to Section 10.3 above, this Plan may be amended, modified or terminated at any time by the Board; provided, however, that no amendment, modification or termination may adversely affect the rights of any Participant, without his or her consent, to any benefit under the Plan to which he or she was entitled prior to the effective date (or, if later,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Page 16</w:t>
      </w:r>
    </w:p>
    <w:p>
      <w:pPr>
        <w:sectPr>
          <w:pgSz w:w="11900" w:h="16838" w:orient="portrait"/>
          <w:cols w:equalWidth="0" w:num="2">
            <w:col w:w="10100" w:space="720"/>
            <w:col w:w="600"/>
          </w:cols>
          <w:pgMar w:left="240" w:top="807" w:right="239" w:bottom="1440" w:gutter="0" w:footer="0" w:header="0"/>
          <w:type w:val="continuous"/>
        </w:sectPr>
      </w:pPr>
    </w:p>
    <w:bookmarkStart w:id="68" w:name="page69"/>
    <w:bookmarkEnd w:id="68"/>
    <w:p>
      <w:pPr>
        <w:jc w:val="both"/>
        <w:spacing w:after="0" w:line="292" w:lineRule="auto"/>
        <w:rPr>
          <w:sz w:val="20"/>
          <w:szCs w:val="20"/>
          <w:color w:val="auto"/>
        </w:rPr>
      </w:pPr>
      <w:r>
        <w:rPr>
          <w:rFonts w:ascii="Arial" w:cs="Arial" w:eastAsia="Arial" w:hAnsi="Arial"/>
          <w:sz w:val="19"/>
          <w:szCs w:val="19"/>
          <w:color w:val="auto"/>
        </w:rPr>
        <w:t>adoption date) of such amendment, modification or termination; and provided further, that the Plan may not be amended, modified or terminated in any way without the consent of each Participant for a period of two (2) years following a Change of Control. No amendment shall be made to the Plan if such amendment would cause the Plan to be funded, or cause any amounts allocated to Participants' Accounts under the Plan to be taxable to the Participants or their Beneficiaries prior to the calendar year of actual receipt of such amounts, or otherwise cause the Plan to lose its exemption from ERISA. In the event of the termination of the Plan, the Accounts shall be distributed to Participants pursuant to Article VIII above, unless the Board, in its sole and absolute discretion, directs that distributions occur sooner in accordance with the provisions of Treasury Regulation Section 1 .409A-3(j)(4)(ix).</w:t>
      </w:r>
    </w:p>
    <w:p>
      <w:pPr>
        <w:spacing w:after="0" w:line="145"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ARTICLE XII. MISCELLANEOUS</w:t>
      </w:r>
    </w:p>
    <w:p>
      <w:pPr>
        <w:spacing w:after="0" w:line="26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Plan Year</w:t>
      </w:r>
      <w:r>
        <w:rPr>
          <w:rFonts w:ascii="Arial" w:cs="Arial" w:eastAsia="Arial" w:hAnsi="Arial"/>
          <w:sz w:val="19"/>
          <w:szCs w:val="19"/>
          <w:color w:val="auto"/>
        </w:rPr>
        <w:t>. The Plan year shall be the calendar year.</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12.2 Withholding for Taxes and Other Deductions. </w:t>
      </w:r>
      <w:r>
        <w:rPr>
          <w:rFonts w:ascii="Arial" w:cs="Arial" w:eastAsia="Arial" w:hAnsi="Arial"/>
          <w:sz w:val="22"/>
          <w:szCs w:val="22"/>
          <w:color w:val="auto"/>
        </w:rPr>
        <w:t>The Company shall have the right to deduct from any deferral,</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or withdrawal under the Plan any applicable taxes that it is required by law to withhold. In addition, the Company may also deduct from any distribution or withdrawal under the Plan any amounts owed by the Participant to the Company; provided, however, that the amount deducted from any distribution or withdrawal may not exceed the amount of such distribution or withdrawal, less any applicable tax withholding. The immediately preceding sentence shall not apply after a Hostile Change of Control.</w:t>
      </w:r>
    </w:p>
    <w:p>
      <w:pPr>
        <w:spacing w:after="0" w:line="22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12.3 No Right to Employment. </w:t>
      </w:r>
      <w:r>
        <w:rPr>
          <w:rFonts w:ascii="Arial" w:cs="Arial" w:eastAsia="Arial" w:hAnsi="Arial"/>
          <w:sz w:val="19"/>
          <w:szCs w:val="19"/>
          <w:color w:val="auto"/>
        </w:rPr>
        <w:t>Nothing contained in the Plan or in any Deferral Agreement executed by a Participant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herewith shall be construed to (i) confer upon any employee any right of employment with the Company, (ii) restrict in any way with the Company's right to terminate or change the terms or conditions of any employee's employment at any time, or</w:t>
      </w:r>
    </w:p>
    <w:p>
      <w:pPr>
        <w:spacing w:after="0" w:line="2" w:lineRule="exact"/>
        <w:rPr>
          <w:sz w:val="20"/>
          <w:szCs w:val="20"/>
          <w:color w:val="auto"/>
        </w:rPr>
      </w:pPr>
    </w:p>
    <w:p>
      <w:pPr>
        <w:ind w:firstLine="8"/>
        <w:spacing w:after="0" w:line="246" w:lineRule="auto"/>
        <w:tabs>
          <w:tab w:leader="none" w:pos="385" w:val="left"/>
        </w:tabs>
        <w:numPr>
          <w:ilvl w:val="0"/>
          <w:numId w:val="42"/>
        </w:numPr>
        <w:rPr>
          <w:rFonts w:ascii="Arial" w:cs="Arial" w:eastAsia="Arial" w:hAnsi="Arial"/>
          <w:sz w:val="22"/>
          <w:szCs w:val="22"/>
          <w:color w:val="auto"/>
        </w:rPr>
      </w:pPr>
      <w:r>
        <w:rPr>
          <w:rFonts w:ascii="Arial" w:cs="Arial" w:eastAsia="Arial" w:hAnsi="Arial"/>
          <w:sz w:val="22"/>
          <w:szCs w:val="22"/>
          <w:color w:val="auto"/>
        </w:rPr>
        <w:t>confer upon any employee or any other person any claim or right to any distribution under the Plan except in accordance with its terms.</w:t>
      </w:r>
    </w:p>
    <w:p>
      <w:pPr>
        <w:spacing w:after="0" w:line="22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12.4 Alienation Prohibited. </w:t>
      </w:r>
      <w:r>
        <w:rPr>
          <w:rFonts w:ascii="Arial" w:cs="Arial" w:eastAsia="Arial" w:hAnsi="Arial"/>
          <w:sz w:val="19"/>
          <w:szCs w:val="19"/>
          <w:color w:val="auto"/>
        </w:rPr>
        <w:t>Neither the Participant nor any Beneficiary shall have any right or ability to alienate, sell,</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assign, pledge or encumber, either voluntarily or involuntarily, any amount due or expected to become due under the Plan. Nor shall any such amounts be subject to garnishment, execution, levy or other seizure by any creditor of a Participant or Beneficiary. Notwithstanding the foregoing, the Administrator, in its sole discretion, may authorize payment (including immediate payment) to an "alternate payee" to the extent necessary to fulfill a "domestic relations order," as defined in Code Section 414(p).</w:t>
      </w:r>
    </w:p>
    <w:p>
      <w:pPr>
        <w:spacing w:after="0" w:line="18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12.5 General Limitation of Liability. </w:t>
      </w:r>
      <w:r>
        <w:rPr>
          <w:rFonts w:ascii="Arial" w:cs="Arial" w:eastAsia="Arial" w:hAnsi="Arial"/>
          <w:sz w:val="19"/>
          <w:szCs w:val="19"/>
          <w:color w:val="auto"/>
        </w:rPr>
        <w:t>Neither the Company, the Board, the Compensation Committee, the Administrator</w:t>
      </w:r>
      <w:r>
        <w:rPr>
          <w:rFonts w:ascii="Arial" w:cs="Arial" w:eastAsia="Arial" w:hAnsi="Arial"/>
          <w:sz w:val="19"/>
          <w:szCs w:val="19"/>
          <w:b w:val="1"/>
          <w:bCs w:val="1"/>
          <w:color w:val="auto"/>
        </w:rPr>
        <w:t xml:space="preserve"> </w:t>
      </w:r>
      <w:r>
        <w:rPr>
          <w:rFonts w:ascii="Arial" w:cs="Arial" w:eastAsia="Arial" w:hAnsi="Arial"/>
          <w:sz w:val="19"/>
          <w:szCs w:val="19"/>
          <w:color w:val="auto"/>
        </w:rPr>
        <w:t>nor any other person shall be liable, either jointly or severally, for any act or failure to act or for anything whatsoever in connection with the Plan, or the administration thereof, except, and only to the extent of, liability imposed because of willful misconduct, gross negligence or bad faith. All benefit payments shall be made solely from the Company's general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Page 17</w:t>
      </w:r>
    </w:p>
    <w:p>
      <w:pPr>
        <w:sectPr>
          <w:pgSz w:w="11900" w:h="16838" w:orient="portrait"/>
          <w:cols w:equalWidth="0" w:num="2">
            <w:col w:w="10100" w:space="720"/>
            <w:col w:w="600"/>
          </w:cols>
          <w:pgMar w:left="240" w:top="807" w:right="239" w:bottom="1440" w:gutter="0" w:footer="0" w:header="0"/>
          <w:type w:val="continuous"/>
        </w:sectPr>
      </w:pPr>
    </w:p>
    <w:bookmarkStart w:id="69" w:name="page70"/>
    <w:bookmarkEnd w:id="69"/>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12.6 Contributions to Trust. </w:t>
      </w:r>
      <w:r>
        <w:rPr>
          <w:rFonts w:ascii="Arial" w:cs="Arial" w:eastAsia="Arial" w:hAnsi="Arial"/>
          <w:sz w:val="19"/>
          <w:szCs w:val="19"/>
          <w:color w:val="auto"/>
        </w:rPr>
        <w:t>Nothing contained herein shall be construed or interpreted to preclude the Company from</w:t>
      </w:r>
      <w:r>
        <w:rPr>
          <w:rFonts w:ascii="Arial" w:cs="Arial" w:eastAsia="Arial" w:hAnsi="Arial"/>
          <w:sz w:val="19"/>
          <w:szCs w:val="19"/>
          <w:b w:val="1"/>
          <w:bCs w:val="1"/>
          <w:color w:val="auto"/>
        </w:rPr>
        <w:t xml:space="preserve"> </w:t>
      </w:r>
      <w:r>
        <w:rPr>
          <w:rFonts w:ascii="Arial" w:cs="Arial" w:eastAsia="Arial" w:hAnsi="Arial"/>
          <w:sz w:val="19"/>
          <w:szCs w:val="19"/>
          <w:color w:val="auto"/>
        </w:rPr>
        <w:t>contributing to the Trust, or from establishing and contributing to any other trust, to facilitate benefit payments under the Plan prior to a Hostile Change of Control. All amounts held in the Trust (both now and in the future) shall be used to pay benefits under the Plan on a first-come, first-served basis, and shall not be earmarked to pay benefits to any particular Participant or Beneficiary.</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12.7 Unfunded Plan. </w:t>
      </w:r>
      <w:r>
        <w:rPr>
          <w:rFonts w:ascii="Arial" w:cs="Arial" w:eastAsia="Arial" w:hAnsi="Arial"/>
          <w:sz w:val="19"/>
          <w:szCs w:val="19"/>
          <w:color w:val="auto"/>
        </w:rPr>
        <w:t>Notwithstanding the existence of the Trust or any other trust created pursuant to Section 12.6</w:t>
      </w:r>
      <w:r>
        <w:rPr>
          <w:rFonts w:ascii="Arial" w:cs="Arial" w:eastAsia="Arial" w:hAnsi="Arial"/>
          <w:sz w:val="19"/>
          <w:szCs w:val="19"/>
          <w:b w:val="1"/>
          <w:bCs w:val="1"/>
          <w:color w:val="auto"/>
        </w:rPr>
        <w:t xml:space="preserve"> </w:t>
      </w:r>
      <w:r>
        <w:rPr>
          <w:rFonts w:ascii="Arial" w:cs="Arial" w:eastAsia="Arial" w:hAnsi="Arial"/>
          <w:sz w:val="19"/>
          <w:szCs w:val="19"/>
          <w:color w:val="auto"/>
        </w:rPr>
        <w:t>above, the Plan shall be unfunded. All amounts deferred by, or credited to, Participants under the Plan, all Participant Accounts established and maintained pursuant to the Plan and all amounts contributed to the Trust or any other trust established pursuant to Section 12.6 above shall continue for all purposes to be part of the general assets of the Company until distributed; all benefits under the Plan shall be paid solely from the general assets of the Company. The Plan constitutes a mere promise by the Company to make benefit payments in the future. Participants and Beneficiaries shall have the status of general unsecured creditors of the Company with respect to the Plan and any rights and benefits thereunder. No Participant or Beneficiary shall have any preferred claim to the amounts credited to a Participant's Accounts or to any assets of the Company (or any trust established pursuant to Section 12.6 above) on account of a Participant's participation in the Plan prior to the time such amounts are actually paid to the Participant or Beneficiary, and then only to the extent of any such payment.</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12.8 Applicable Law. </w:t>
      </w:r>
      <w:r>
        <w:rPr>
          <w:rFonts w:ascii="Arial" w:cs="Arial" w:eastAsia="Arial" w:hAnsi="Arial"/>
          <w:sz w:val="22"/>
          <w:szCs w:val="22"/>
          <w:color w:val="auto"/>
        </w:rPr>
        <w:t>The Plan shall be construed and its validity determined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Washington to the extent such laws are not preempted by federal law.</w:t>
      </w:r>
    </w:p>
    <w:p>
      <w:pPr>
        <w:spacing w:after="0" w:line="2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12.9 Severability. </w:t>
      </w:r>
      <w:r>
        <w:rPr>
          <w:rFonts w:ascii="Arial" w:cs="Arial" w:eastAsia="Arial" w:hAnsi="Arial"/>
          <w:sz w:val="22"/>
          <w:szCs w:val="22"/>
          <w:color w:val="auto"/>
        </w:rPr>
        <w:t>If any provision of the Plan is held by a court of competent jurisdiction to be illegal, invalid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said illegality, invalidity or unenforceability shall not affect the remaining provisions of the Plan, which shall remain fully effective and shall be construed and enforced as if said illegal, invalid or unenforceable provision had never been included herein.</w:t>
      </w:r>
    </w:p>
    <w:p>
      <w:pPr>
        <w:spacing w:after="0" w:line="22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12.10 Successors and Assigns. </w:t>
      </w:r>
      <w:r>
        <w:rPr>
          <w:rFonts w:ascii="Arial" w:cs="Arial" w:eastAsia="Arial" w:hAnsi="Arial"/>
          <w:sz w:val="22"/>
          <w:szCs w:val="22"/>
          <w:color w:val="auto"/>
        </w:rPr>
        <w:t>The terms and conditions of the Plan, as amended and in effect from time to time,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upon the Company's successors and assigns, including without limitation any entity into which the Company may be merged or with which the Company may be consolidated.</w:t>
      </w:r>
    </w:p>
    <w:p>
      <w:pPr>
        <w:spacing w:after="0" w:line="21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12.11 Compliance with Section 409A. </w:t>
      </w:r>
      <w:r>
        <w:rPr>
          <w:rFonts w:ascii="Arial" w:cs="Arial" w:eastAsia="Arial" w:hAnsi="Arial"/>
          <w:sz w:val="19"/>
          <w:szCs w:val="19"/>
          <w:color w:val="auto"/>
        </w:rPr>
        <w:t>The Plan is intended to comply with the requirements of 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accompanying regulations and current IRS guidance) and to conform to the current operation of the Plan. Notwithstanding any provision of the Plan to the contrary, the Plan shall be interpreted, operated and administered in a manner consistent with this intention, so as to avoid the pre-distribution inclusion in income of amounts deferred under the Plan and the imposition of any additional taxes or interest thereon. With respect to any Participant whose taxable year is not the calendar year, all references in the Plan to "calendar year," except those in Article V and Section 6.3 above, shall be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Page 18</w:t>
      </w:r>
    </w:p>
    <w:p>
      <w:pPr>
        <w:sectPr>
          <w:pgSz w:w="11900" w:h="16838" w:orient="portrait"/>
          <w:cols w:equalWidth="0" w:num="2">
            <w:col w:w="10100" w:space="720"/>
            <w:col w:w="600"/>
          </w:cols>
          <w:pgMar w:left="240" w:top="1057" w:right="239" w:bottom="1440" w:gutter="0" w:footer="0" w:header="0"/>
          <w:type w:val="continuous"/>
        </w:sectPr>
      </w:pPr>
    </w:p>
    <w:bookmarkStart w:id="70" w:name="page71"/>
    <w:bookmarkEnd w:id="70"/>
    <w:p>
      <w:pPr>
        <w:spacing w:after="0" w:line="251" w:lineRule="auto"/>
        <w:rPr>
          <w:sz w:val="20"/>
          <w:szCs w:val="20"/>
          <w:color w:val="auto"/>
        </w:rPr>
      </w:pPr>
      <w:r>
        <w:rPr>
          <w:rFonts w:ascii="Arial" w:cs="Arial" w:eastAsia="Arial" w:hAnsi="Arial"/>
          <w:sz w:val="22"/>
          <w:szCs w:val="22"/>
          <w:color w:val="auto"/>
        </w:rPr>
        <w:t>be revised to refer to the Participant's "taxable year." The Company and the Administrator may conclusively presume that a Participant's taxable year is the calendar year until notified otherwise in writing by the Participant.</w:t>
      </w:r>
    </w:p>
    <w:p>
      <w:pPr>
        <w:spacing w:after="0" w:line="2" w:lineRule="exact"/>
        <w:rPr>
          <w:sz w:val="20"/>
          <w:szCs w:val="20"/>
          <w:color w:val="auto"/>
        </w:rPr>
      </w:pPr>
    </w:p>
    <w:p>
      <w:pPr>
        <w:ind w:left="5400"/>
        <w:spacing w:after="0"/>
        <w:tabs>
          <w:tab w:leader="none" w:pos="5680" w:val="left"/>
          <w:tab w:leader="none" w:pos="5960" w:val="left"/>
          <w:tab w:leader="none" w:pos="6260" w:val="left"/>
          <w:tab w:leader="none" w:pos="6540" w:val="left"/>
        </w:tabs>
        <w:rPr>
          <w:sz w:val="20"/>
          <w:szCs w:val="20"/>
          <w:color w:val="auto"/>
        </w:rPr>
      </w:pPr>
      <w:r>
        <w:rPr>
          <w:rFonts w:ascii="Arial" w:cs="Arial" w:eastAsia="Arial" w:hAnsi="Arial"/>
          <w:sz w:val="22"/>
          <w:szCs w:val="22"/>
          <w:color w:val="auto"/>
        </w:rPr>
        <w:t>*</w:t>
        <w:tab/>
        <w:t>*</w:t>
        <w:tab/>
        <w:t>*</w:t>
        <w:tab/>
        <w:t>*</w:t>
        <w:tab/>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this instrument has been executed by the Company as the 15th day of September, 2011.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ITRON, INC.</w:t>
      </w:r>
    </w:p>
    <w:p>
      <w:pPr>
        <w:spacing w:after="0" w:line="200" w:lineRule="exact"/>
        <w:rPr>
          <w:sz w:val="20"/>
          <w:szCs w:val="20"/>
          <w:color w:val="auto"/>
        </w:rPr>
      </w:pPr>
    </w:p>
    <w:p>
      <w:pPr>
        <w:spacing w:after="0" w:line="390" w:lineRule="exact"/>
        <w:rPr>
          <w:sz w:val="20"/>
          <w:szCs w:val="20"/>
          <w:color w:val="auto"/>
        </w:rPr>
      </w:pPr>
    </w:p>
    <w:p>
      <w:pPr>
        <w:ind w:left="516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JARED P. SERFF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24765</wp:posOffset>
            </wp:positionV>
            <wp:extent cx="23583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8" w:lineRule="exact"/>
        <w:rPr>
          <w:sz w:val="20"/>
          <w:szCs w:val="20"/>
          <w:color w:val="auto"/>
        </w:rPr>
      </w:pPr>
    </w:p>
    <w:p>
      <w:pPr>
        <w:ind w:left="5160"/>
        <w:spacing w:after="0"/>
        <w:tabs>
          <w:tab w:leader="none" w:pos="5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22"/>
          <w:szCs w:val="22"/>
          <w:color w:val="auto"/>
        </w:rPr>
        <w:t>Vice President, Competitive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24765</wp:posOffset>
            </wp:positionV>
            <wp:extent cx="23583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583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2905760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Deferred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Page 19</w:t>
      </w:r>
    </w:p>
    <w:p>
      <w:pPr>
        <w:sectPr>
          <w:pgSz w:w="11900" w:h="16838" w:orient="portrait"/>
          <w:cols w:equalWidth="0" w:num="2">
            <w:col w:w="10100" w:space="720"/>
            <w:col w:w="600"/>
          </w:cols>
          <w:pgMar w:left="240" w:top="807" w:right="23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9"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2011</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2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31750</wp:posOffset>
            </wp:positionV>
            <wp:extent cx="25469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9"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2011</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2011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October 31, 2011</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October 31, 2011</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lvl w:ilvl="1">
      <w:lvlJc w:val="left"/>
      <w:lvlText w:val="◦"/>
      <w:numFmt w:val="bullet"/>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6"/>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2"/>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lvl w:ilvl="1">
      <w:lvlJc w:val="left"/>
      <w:lvlText w:val="(%2)"/>
      <w:numFmt w:val="lowerRoman"/>
      <w:start w:val="1"/>
    </w:lvl>
  </w:abstractNum>
  <w:abstractNum w:abstractNumId="25">
    <w:nsid w:val="440BADFC"/>
    <w:multiLevelType w:val="hybridMultilevel"/>
    <w:lvl w:ilvl="0">
      <w:lvlJc w:val="left"/>
      <w:lvlText w:val="(%1)"/>
      <w:numFmt w:val="decimal"/>
      <w:start w:val="3"/>
    </w:lvl>
  </w:abstractNum>
  <w:abstractNum w:abstractNumId="26">
    <w:nsid w:val="5072367"/>
    <w:multiLevelType w:val="hybridMultilevel"/>
    <w:lvl w:ilvl="0">
      <w:lvlJc w:val="left"/>
      <w:lvlText w:val="(%1)"/>
      <w:numFmt w:val="decimal"/>
      <w:start w:val="10"/>
    </w:lvl>
  </w:abstractNum>
  <w:abstractNum w:abstractNumId="27">
    <w:nsid w:val="3804823E"/>
    <w:multiLevelType w:val="hybridMultilevel"/>
    <w:lvl w:ilvl="0">
      <w:lvlJc w:val="left"/>
      <w:lvlText w:val="%1"/>
      <w:numFmt w:val="decimal"/>
      <w:start w:val="1"/>
    </w:lvl>
    <w:lvl w:ilvl="1">
      <w:lvlJc w:val="left"/>
      <w:lvlText w:val="(%2)"/>
      <w:numFmt w:val="lowerLetter"/>
      <w:start w:val="1"/>
    </w:lvl>
  </w:abstractNum>
  <w:abstractNum w:abstractNumId="28">
    <w:nsid w:val="77465F01"/>
    <w:multiLevelType w:val="hybridMultilevel"/>
    <w:lvl w:ilvl="0">
      <w:lvlJc w:val="left"/>
      <w:lvlText w:val="(%1)"/>
      <w:numFmt w:val="decimal"/>
      <w:start w:val="90"/>
    </w:lvl>
    <w:lvl w:ilvl="1">
      <w:lvlJc w:val="left"/>
      <w:lvlText w:val="%2"/>
      <w:numFmt w:val="lowerLetter"/>
      <w:start w:val="1"/>
    </w:lvl>
  </w:abstractNum>
  <w:abstractNum w:abstractNumId="29">
    <w:nsid w:val="7724C67E"/>
    <w:multiLevelType w:val="hybridMultilevel"/>
    <w:lvl w:ilvl="0">
      <w:lvlJc w:val="left"/>
      <w:lvlText w:val="(%1)"/>
      <w:numFmt w:val="lowerLetter"/>
      <w:start w:val="2"/>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decimal"/>
      <w:start w:val="6"/>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lvl w:ilvl="1">
      <w:lvlJc w:val="left"/>
      <w:lvlText w:val="(%2)"/>
      <w:numFmt w:val="lowerLetter"/>
      <w:start w:val="3"/>
    </w:lvl>
  </w:abstractNum>
  <w:abstractNum w:abstractNumId="36">
    <w:nsid w:val="153EA438"/>
    <w:multiLevelType w:val="hybridMultilevel"/>
    <w:lvl w:ilvl="0">
      <w:lvlJc w:val="left"/>
      <w:lvlText w:val="(%1)"/>
      <w:numFmt w:val="decimal"/>
      <w:start w:val="1"/>
    </w:lvl>
    <w:lvl w:ilvl="1">
      <w:lvlJc w:val="left"/>
      <w:lvlText w:val="%2"/>
      <w:numFmt w:val="lowerLetter"/>
      <w:start w:val="1"/>
    </w:lvl>
  </w:abstractNum>
  <w:abstractNum w:abstractNumId="37">
    <w:nsid w:val="3855585C"/>
    <w:multiLevelType w:val="hybridMultilevel"/>
    <w:lvl w:ilvl="0">
      <w:lvlJc w:val="left"/>
      <w:lvlText w:val="(%1)"/>
      <w:numFmt w:val="lowerLetter"/>
      <w:start w:val="4"/>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lowerLetter"/>
      <w:start w:val="5"/>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Roman"/>
      <w:start w:val="3"/>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2019-12-10T05:58:15Z</dcterms:created>
  <dcterms:modified xsi:type="dcterms:W3CDTF">2019-12-10T05:58:15Z</dcterms:modified>
</cp:coreProperties>
</file>