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41" w:right="3760" w:hanging="4941"/>
        <w:spacing w:after="0" w:line="246" w:lineRule="auto"/>
        <w:rPr>
          <w:sz w:val="20"/>
          <w:szCs w:val="20"/>
          <w:color w:val="auto"/>
        </w:rPr>
      </w:pPr>
      <w:r>
        <w:rPr>
          <w:rFonts w:ascii="Courier New" w:cs="Courier New" w:eastAsia="Courier New" w:hAnsi="Courier New"/>
          <w:sz w:val="16"/>
          <w:szCs w:val="16"/>
          <w:color w:val="auto"/>
        </w:rPr>
        <w:t>As filed with the Securities and Exchange Commission on June 10, 1997 Registration No. 333-______</w:t>
      </w:r>
    </w:p>
    <w:p>
      <w:pPr>
        <w:spacing w:after="0" w:line="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6"/>
          <w:szCs w:val="16"/>
          <w:color w:val="auto"/>
        </w:rPr>
        <w:t>Washington, D.C. 20549</w:t>
      </w:r>
    </w:p>
    <w:p>
      <w:pPr>
        <w:spacing w:after="0" w:line="5"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3481"/>
        <w:spacing w:after="0"/>
        <w:rPr>
          <w:sz w:val="20"/>
          <w:szCs w:val="20"/>
          <w:color w:val="auto"/>
        </w:rPr>
      </w:pPr>
      <w:r>
        <w:rPr>
          <w:rFonts w:ascii="Courier New" w:cs="Courier New" w:eastAsia="Courier New" w:hAnsi="Courier New"/>
          <w:sz w:val="16"/>
          <w:szCs w:val="16"/>
          <w:color w:val="auto"/>
        </w:rPr>
        <w:t>FORM S-8</w:t>
      </w:r>
    </w:p>
    <w:p>
      <w:pPr>
        <w:spacing w:after="0" w:line="5"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REGISTRATION STATEMENT</w:t>
      </w:r>
    </w:p>
    <w:p>
      <w:pPr>
        <w:spacing w:after="0" w:line="5" w:lineRule="exact"/>
        <w:rPr>
          <w:sz w:val="24"/>
          <w:szCs w:val="24"/>
          <w:color w:val="auto"/>
        </w:rPr>
      </w:pPr>
    </w:p>
    <w:p>
      <w:pPr>
        <w:ind w:left="3681"/>
        <w:spacing w:after="0"/>
        <w:rPr>
          <w:sz w:val="20"/>
          <w:szCs w:val="20"/>
          <w:color w:val="auto"/>
        </w:rPr>
      </w:pPr>
      <w:r>
        <w:rPr>
          <w:rFonts w:ascii="Courier New" w:cs="Courier New" w:eastAsia="Courier New" w:hAnsi="Courier New"/>
          <w:sz w:val="16"/>
          <w:szCs w:val="16"/>
          <w:color w:val="auto"/>
        </w:rPr>
        <w:t>UNDER</w:t>
      </w:r>
    </w:p>
    <w:p>
      <w:pPr>
        <w:spacing w:after="0" w:line="5" w:lineRule="exact"/>
        <w:rPr>
          <w:sz w:val="24"/>
          <w:szCs w:val="24"/>
          <w:color w:val="auto"/>
        </w:rPr>
      </w:pPr>
    </w:p>
    <w:p>
      <w:pPr>
        <w:ind w:left="2621"/>
        <w:spacing w:after="0"/>
        <w:rPr>
          <w:sz w:val="20"/>
          <w:szCs w:val="20"/>
          <w:color w:val="auto"/>
        </w:rPr>
      </w:pPr>
      <w:r>
        <w:rPr>
          <w:rFonts w:ascii="Courier New" w:cs="Courier New" w:eastAsia="Courier New" w:hAnsi="Courier New"/>
          <w:sz w:val="16"/>
          <w:szCs w:val="16"/>
          <w:color w:val="auto"/>
        </w:rPr>
        <w:t>THE SECURITIES ACT OF 1933</w:t>
      </w:r>
    </w:p>
    <w:p>
      <w:pPr>
        <w:spacing w:after="0" w:line="5"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6"/>
          <w:szCs w:val="16"/>
          <w:color w:val="auto"/>
        </w:rPr>
        <w:t>ITRON, INC.</w:t>
      </w:r>
    </w:p>
    <w:p>
      <w:pPr>
        <w:spacing w:after="0" w:line="5"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1521"/>
          </w:cols>
          <w:pgMar w:left="239" w:top="427" w:right="1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(State or other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4" w:lineRule="exact"/>
        <w:rPr>
          <w:sz w:val="24"/>
          <w:szCs w:val="24"/>
          <w:color w:val="auto"/>
        </w:rPr>
      </w:pPr>
    </w:p>
    <w:p>
      <w:pPr>
        <w:jc w:val="both"/>
        <w:ind w:firstLine="485"/>
        <w:spacing w:after="0" w:line="248" w:lineRule="auto"/>
        <w:rPr>
          <w:sz w:val="20"/>
          <w:szCs w:val="20"/>
          <w:color w:val="auto"/>
        </w:rPr>
      </w:pPr>
      <w:r>
        <w:rPr>
          <w:rFonts w:ascii="Courier New" w:cs="Courier New" w:eastAsia="Courier New" w:hAnsi="Courier New"/>
          <w:sz w:val="16"/>
          <w:szCs w:val="16"/>
          <w:color w:val="auto"/>
        </w:rPr>
        <w:t>Washington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4" w:lineRule="exact"/>
        <w:rPr>
          <w:sz w:val="24"/>
          <w:szCs w:val="24"/>
          <w:color w:val="auto"/>
        </w:rPr>
      </w:pPr>
    </w:p>
    <w:p>
      <w:pPr>
        <w:ind w:left="3300"/>
        <w:spacing w:after="0"/>
        <w:rPr>
          <w:sz w:val="20"/>
          <w:szCs w:val="20"/>
          <w:color w:val="auto"/>
        </w:rPr>
      </w:pPr>
      <w:r>
        <w:rPr>
          <w:rFonts w:ascii="Courier New" w:cs="Courier New" w:eastAsia="Courier New" w:hAnsi="Courier New"/>
          <w:sz w:val="16"/>
          <w:szCs w:val="16"/>
          <w:color w:val="auto"/>
        </w:rPr>
        <w:t>91-1011792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or organization) (I.R.S. Employer Identification No.)</w:t>
      </w:r>
    </w:p>
    <w:p>
      <w:pPr>
        <w:spacing w:after="0" w:line="206" w:lineRule="exact"/>
        <w:rPr>
          <w:sz w:val="24"/>
          <w:szCs w:val="24"/>
          <w:color w:val="auto"/>
        </w:rPr>
      </w:pPr>
    </w:p>
    <w:p>
      <w:pPr>
        <w:sectPr>
          <w:pgSz w:w="11900" w:h="16838" w:orient="portrait"/>
          <w:cols w:equalWidth="0" w:num="4">
            <w:col w:w="1461" w:space="180"/>
            <w:col w:w="1460" w:space="200"/>
            <w:col w:w="1260" w:space="180"/>
            <w:col w:w="6780"/>
          </w:cols>
          <w:pgMar w:left="239" w:top="427" w:right="139" w:bottom="0" w:gutter="0" w:footer="0" w:header="0"/>
          <w:type w:val="continuous"/>
        </w:sectPr>
      </w:pPr>
    </w:p>
    <w:p>
      <w:pPr>
        <w:spacing w:after="0" w:line="171"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2818 N. Sullivan Road</w:t>
      </w:r>
    </w:p>
    <w:p>
      <w:pPr>
        <w:spacing w:after="0" w:line="5" w:lineRule="exact"/>
        <w:rPr>
          <w:sz w:val="24"/>
          <w:szCs w:val="24"/>
          <w:color w:val="auto"/>
        </w:rPr>
      </w:pPr>
    </w:p>
    <w:p>
      <w:pPr>
        <w:ind w:left="2421"/>
        <w:spacing w:after="0"/>
        <w:rPr>
          <w:sz w:val="20"/>
          <w:szCs w:val="20"/>
          <w:color w:val="auto"/>
        </w:rPr>
      </w:pPr>
      <w:r>
        <w:rPr>
          <w:rFonts w:ascii="Courier New" w:cs="Courier New" w:eastAsia="Courier New" w:hAnsi="Courier New"/>
          <w:sz w:val="16"/>
          <w:szCs w:val="16"/>
          <w:color w:val="auto"/>
        </w:rPr>
        <w:t>Spokane, Washington 99216-1897</w:t>
      </w:r>
    </w:p>
    <w:p>
      <w:pPr>
        <w:spacing w:after="0" w:line="5" w:lineRule="exact"/>
        <w:rPr>
          <w:sz w:val="24"/>
          <w:szCs w:val="24"/>
          <w:color w:val="auto"/>
        </w:rPr>
      </w:pPr>
    </w:p>
    <w:p>
      <w:pPr>
        <w:ind w:left="1461"/>
        <w:spacing w:after="0"/>
        <w:rPr>
          <w:sz w:val="20"/>
          <w:szCs w:val="20"/>
          <w:color w:val="auto"/>
        </w:rPr>
      </w:pPr>
      <w:r>
        <w:rPr>
          <w:rFonts w:ascii="Courier New" w:cs="Courier New" w:eastAsia="Courier New" w:hAnsi="Courier New"/>
          <w:sz w:val="16"/>
          <w:szCs w:val="16"/>
          <w:color w:val="auto"/>
        </w:rPr>
        <w:t>(Address of Principal Executive Offices)(Zip Code)</w:t>
      </w:r>
    </w:p>
    <w:p>
      <w:pPr>
        <w:spacing w:after="0" w:line="378"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6"/>
          <w:szCs w:val="16"/>
          <w:color w:val="auto"/>
        </w:rPr>
        <w:t>ITRON, INC. 1989 RESTATED STOCK OPTION PLAN</w:t>
      </w:r>
    </w:p>
    <w:p>
      <w:pPr>
        <w:spacing w:after="0" w:line="5"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6"/>
          <w:szCs w:val="16"/>
          <w:color w:val="auto"/>
        </w:rPr>
        <w:t>(Full title of the plan)</w:t>
      </w:r>
    </w:p>
    <w:p>
      <w:pPr>
        <w:spacing w:after="0" w:line="191" w:lineRule="exact"/>
        <w:rPr>
          <w:sz w:val="24"/>
          <w:szCs w:val="24"/>
          <w:color w:val="auto"/>
        </w:rPr>
      </w:pPr>
    </w:p>
    <w:p>
      <w:pPr>
        <w:ind w:left="262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3001"/>
        <w:spacing w:after="0"/>
        <w:rPr>
          <w:sz w:val="20"/>
          <w:szCs w:val="20"/>
          <w:color w:val="auto"/>
        </w:rPr>
      </w:pPr>
      <w:r>
        <w:rPr>
          <w:rFonts w:ascii="Courier New" w:cs="Courier New" w:eastAsia="Courier New" w:hAnsi="Courier New"/>
          <w:sz w:val="16"/>
          <w:szCs w:val="16"/>
          <w:color w:val="auto"/>
        </w:rPr>
        <w:t>David G. Remington</w:t>
      </w:r>
    </w:p>
    <w:p>
      <w:pPr>
        <w:spacing w:after="0" w:line="5"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Chief Financial Officer</w:t>
      </w:r>
    </w:p>
    <w:p>
      <w:pPr>
        <w:spacing w:after="0" w:line="5" w:lineRule="exact"/>
        <w:rPr>
          <w:sz w:val="24"/>
          <w:szCs w:val="24"/>
          <w:color w:val="auto"/>
        </w:rPr>
      </w:pPr>
    </w:p>
    <w:p>
      <w:pPr>
        <w:ind w:left="3401"/>
        <w:spacing w:after="0"/>
        <w:rPr>
          <w:sz w:val="20"/>
          <w:szCs w:val="20"/>
          <w:color w:val="auto"/>
        </w:rPr>
      </w:pPr>
      <w:r>
        <w:rPr>
          <w:rFonts w:ascii="Courier New" w:cs="Courier New" w:eastAsia="Courier New" w:hAnsi="Courier New"/>
          <w:sz w:val="16"/>
          <w:szCs w:val="16"/>
          <w:color w:val="auto"/>
        </w:rPr>
        <w:t>ITRON, INC.</w:t>
      </w:r>
    </w:p>
    <w:p>
      <w:pPr>
        <w:spacing w:after="0" w:line="5" w:lineRule="exact"/>
        <w:rPr>
          <w:sz w:val="24"/>
          <w:szCs w:val="24"/>
          <w:color w:val="auto"/>
        </w:rPr>
      </w:pPr>
    </w:p>
    <w:p>
      <w:pPr>
        <w:ind w:left="2901"/>
        <w:spacing w:after="0"/>
        <w:rPr>
          <w:sz w:val="20"/>
          <w:szCs w:val="20"/>
          <w:color w:val="auto"/>
        </w:rPr>
      </w:pPr>
      <w:r>
        <w:rPr>
          <w:rFonts w:ascii="Courier New" w:cs="Courier New" w:eastAsia="Courier New" w:hAnsi="Courier New"/>
          <w:sz w:val="16"/>
          <w:szCs w:val="16"/>
          <w:color w:val="auto"/>
        </w:rPr>
        <w:t>2818 N. Sullivan Road</w:t>
      </w:r>
    </w:p>
    <w:p>
      <w:pPr>
        <w:spacing w:after="0" w:line="5" w:lineRule="exact"/>
        <w:rPr>
          <w:sz w:val="24"/>
          <w:szCs w:val="24"/>
          <w:color w:val="auto"/>
        </w:rPr>
      </w:pPr>
    </w:p>
    <w:p>
      <w:pPr>
        <w:ind w:left="3201"/>
        <w:spacing w:after="0"/>
        <w:rPr>
          <w:sz w:val="20"/>
          <w:szCs w:val="20"/>
          <w:color w:val="auto"/>
        </w:rPr>
      </w:pPr>
      <w:r>
        <w:rPr>
          <w:rFonts w:ascii="Courier New" w:cs="Courier New" w:eastAsia="Courier New" w:hAnsi="Courier New"/>
          <w:sz w:val="16"/>
          <w:szCs w:val="16"/>
          <w:color w:val="auto"/>
        </w:rPr>
        <w:t>P.O. Box 15288</w:t>
      </w:r>
    </w:p>
    <w:p>
      <w:pPr>
        <w:spacing w:after="0" w:line="5" w:lineRule="exact"/>
        <w:rPr>
          <w:sz w:val="24"/>
          <w:szCs w:val="24"/>
          <w:color w:val="auto"/>
        </w:rPr>
      </w:pPr>
    </w:p>
    <w:p>
      <w:pPr>
        <w:ind w:left="2421"/>
        <w:spacing w:after="0"/>
        <w:rPr>
          <w:sz w:val="20"/>
          <w:szCs w:val="20"/>
          <w:color w:val="auto"/>
        </w:rPr>
      </w:pPr>
      <w:r>
        <w:rPr>
          <w:rFonts w:ascii="Courier New" w:cs="Courier New" w:eastAsia="Courier New" w:hAnsi="Courier New"/>
          <w:sz w:val="16"/>
          <w:szCs w:val="16"/>
          <w:color w:val="auto"/>
        </w:rPr>
        <w:t>Spokane, Washington 99216-1897</w:t>
      </w:r>
    </w:p>
    <w:p>
      <w:pPr>
        <w:spacing w:after="0" w:line="5" w:lineRule="exact"/>
        <w:rPr>
          <w:sz w:val="24"/>
          <w:szCs w:val="24"/>
          <w:color w:val="auto"/>
        </w:rPr>
      </w:pPr>
    </w:p>
    <w:p>
      <w:pPr>
        <w:ind w:left="3201"/>
        <w:spacing w:after="0"/>
        <w:rPr>
          <w:sz w:val="20"/>
          <w:szCs w:val="20"/>
          <w:color w:val="auto"/>
        </w:rPr>
      </w:pPr>
      <w:r>
        <w:rPr>
          <w:rFonts w:ascii="Courier New" w:cs="Courier New" w:eastAsia="Courier New" w:hAnsi="Courier New"/>
          <w:sz w:val="16"/>
          <w:szCs w:val="16"/>
          <w:color w:val="auto"/>
        </w:rPr>
        <w:t>(509) 924-9900</w:t>
      </w:r>
    </w:p>
    <w:p>
      <w:pPr>
        <w:spacing w:after="0" w:line="5" w:lineRule="exact"/>
        <w:rPr>
          <w:sz w:val="24"/>
          <w:szCs w:val="24"/>
          <w:color w:val="auto"/>
        </w:rPr>
      </w:pPr>
    </w:p>
    <w:p>
      <w:pPr>
        <w:ind w:left="1161"/>
        <w:spacing w:after="0"/>
        <w:rPr>
          <w:sz w:val="20"/>
          <w:szCs w:val="20"/>
          <w:color w:val="auto"/>
        </w:rPr>
      </w:pPr>
      <w:r>
        <w:rPr>
          <w:rFonts w:ascii="Courier New" w:cs="Courier New" w:eastAsia="Courier New" w:hAnsi="Courier New"/>
          <w:sz w:val="16"/>
          <w:szCs w:val="16"/>
          <w:color w:val="auto"/>
        </w:rPr>
        <w:t>(Name, address and telephone number of agent for service)</w:t>
      </w:r>
    </w:p>
    <w:p>
      <w:pPr>
        <w:spacing w:after="0" w:line="5"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3481"/>
        <w:spacing w:after="0"/>
        <w:rPr>
          <w:sz w:val="20"/>
          <w:szCs w:val="20"/>
          <w:color w:val="auto"/>
        </w:rPr>
      </w:pPr>
      <w:r>
        <w:rPr>
          <w:rFonts w:ascii="Courier New" w:cs="Courier New" w:eastAsia="Courier New" w:hAnsi="Courier New"/>
          <w:sz w:val="16"/>
          <w:szCs w:val="16"/>
          <w:color w:val="auto"/>
        </w:rPr>
        <w:t>Copy to:</w:t>
      </w:r>
    </w:p>
    <w:p>
      <w:pPr>
        <w:spacing w:after="0" w:line="5" w:lineRule="exact"/>
        <w:rPr>
          <w:sz w:val="24"/>
          <w:szCs w:val="24"/>
          <w:color w:val="auto"/>
        </w:rPr>
      </w:pPr>
    </w:p>
    <w:p>
      <w:pPr>
        <w:ind w:left="3001"/>
        <w:spacing w:after="0"/>
        <w:rPr>
          <w:sz w:val="20"/>
          <w:szCs w:val="20"/>
          <w:color w:val="auto"/>
        </w:rPr>
      </w:pPr>
      <w:r>
        <w:rPr>
          <w:rFonts w:ascii="Courier New" w:cs="Courier New" w:eastAsia="Courier New" w:hAnsi="Courier New"/>
          <w:sz w:val="16"/>
          <w:szCs w:val="16"/>
          <w:color w:val="auto"/>
        </w:rPr>
        <w:t>Linda A. Schoemaker</w:t>
      </w:r>
    </w:p>
    <w:p>
      <w:pPr>
        <w:spacing w:after="0" w:line="5" w:lineRule="exact"/>
        <w:rPr>
          <w:sz w:val="24"/>
          <w:szCs w:val="24"/>
          <w:color w:val="auto"/>
        </w:rPr>
      </w:pPr>
    </w:p>
    <w:p>
      <w:pPr>
        <w:ind w:left="3301"/>
        <w:spacing w:after="0"/>
        <w:rPr>
          <w:sz w:val="20"/>
          <w:szCs w:val="20"/>
          <w:color w:val="auto"/>
        </w:rPr>
      </w:pPr>
      <w:r>
        <w:rPr>
          <w:rFonts w:ascii="Courier New" w:cs="Courier New" w:eastAsia="Courier New" w:hAnsi="Courier New"/>
          <w:sz w:val="16"/>
          <w:szCs w:val="16"/>
          <w:color w:val="auto"/>
        </w:rPr>
        <w:t>Perkins Coie</w:t>
      </w:r>
    </w:p>
    <w:p>
      <w:pPr>
        <w:spacing w:after="0" w:line="5" w:lineRule="exact"/>
        <w:rPr>
          <w:sz w:val="24"/>
          <w:szCs w:val="24"/>
          <w:color w:val="auto"/>
        </w:rPr>
      </w:pPr>
    </w:p>
    <w:p>
      <w:pPr>
        <w:ind w:left="2521"/>
        <w:spacing w:after="0"/>
        <w:rPr>
          <w:sz w:val="20"/>
          <w:szCs w:val="20"/>
          <w:color w:val="auto"/>
        </w:rPr>
      </w:pPr>
      <w:r>
        <w:rPr>
          <w:rFonts w:ascii="Courier New" w:cs="Courier New" w:eastAsia="Courier New" w:hAnsi="Courier New"/>
          <w:sz w:val="16"/>
          <w:szCs w:val="16"/>
          <w:color w:val="auto"/>
        </w:rPr>
        <w:t>1201 Third Avenue, 40th Floor</w:t>
      </w:r>
    </w:p>
    <w:p>
      <w:pPr>
        <w:spacing w:after="0" w:line="5" w:lineRule="exact"/>
        <w:rPr>
          <w:sz w:val="24"/>
          <w:szCs w:val="24"/>
          <w:color w:val="auto"/>
        </w:rPr>
      </w:pPr>
    </w:p>
    <w:p>
      <w:pPr>
        <w:ind w:left="2421"/>
        <w:spacing w:after="0"/>
        <w:rPr>
          <w:sz w:val="20"/>
          <w:szCs w:val="20"/>
          <w:color w:val="auto"/>
        </w:rPr>
      </w:pPr>
      <w:r>
        <w:rPr>
          <w:rFonts w:ascii="Courier New" w:cs="Courier New" w:eastAsia="Courier New" w:hAnsi="Courier New"/>
          <w:sz w:val="16"/>
          <w:szCs w:val="16"/>
          <w:color w:val="auto"/>
        </w:rPr>
        <w:t>Seattle, Washington 98101-3099</w:t>
      </w:r>
    </w:p>
    <w:p>
      <w:pPr>
        <w:spacing w:after="0" w:line="5" w:lineRule="exact"/>
        <w:rPr>
          <w:sz w:val="24"/>
          <w:szCs w:val="24"/>
          <w:color w:val="auto"/>
        </w:rPr>
      </w:pPr>
    </w:p>
    <w:p>
      <w:pPr>
        <w:ind w:left="3781" w:hanging="583"/>
        <w:spacing w:after="0"/>
        <w:tabs>
          <w:tab w:leader="none" w:pos="37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583-8888</w:t>
      </w:r>
    </w:p>
    <w:p>
      <w:pPr>
        <w:spacing w:after="0" w:line="5" w:lineRule="exact"/>
        <w:rPr>
          <w:rFonts w:ascii="Courier New" w:cs="Courier New" w:eastAsia="Courier New" w:hAnsi="Courier New"/>
          <w:sz w:val="16"/>
          <w:szCs w:val="16"/>
          <w:color w:val="auto"/>
        </w:rPr>
      </w:pPr>
    </w:p>
    <w:p>
      <w:pPr>
        <w:ind w:left="28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ind w:left="2421"/>
        <w:spacing w:after="0"/>
        <w:rPr>
          <w:sz w:val="20"/>
          <w:szCs w:val="20"/>
          <w:color w:val="auto"/>
        </w:rPr>
      </w:pPr>
      <w:r>
        <w:rPr>
          <w:rFonts w:ascii="Courier New" w:cs="Courier New" w:eastAsia="Courier New" w:hAnsi="Courier New"/>
          <w:sz w:val="16"/>
          <w:szCs w:val="16"/>
          <w:color w:val="auto"/>
        </w:rPr>
        <w:t>CALCULATION OF REGISTRATION FEE</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 -------------- ------------------------ -------------------------- ---------------------</w:t>
      </w:r>
    </w:p>
    <w:p>
      <w:pPr>
        <w:spacing w:after="0" w:line="5" w:lineRule="exact"/>
        <w:rPr>
          <w:sz w:val="24"/>
          <w:szCs w:val="24"/>
          <w:color w:val="auto"/>
        </w:rPr>
      </w:pPr>
    </w:p>
    <w:p>
      <w:pPr>
        <w:ind w:left="381"/>
        <w:spacing w:after="0"/>
        <w:tabs>
          <w:tab w:leader="none" w:pos="2880" w:val="left"/>
          <w:tab w:leader="none" w:pos="4640" w:val="left"/>
          <w:tab w:leader="none" w:pos="7160" w:val="left"/>
          <w:tab w:leader="none" w:pos="9860" w:val="left"/>
        </w:tabs>
        <w:rPr>
          <w:sz w:val="20"/>
          <w:szCs w:val="20"/>
          <w:color w:val="auto"/>
        </w:rPr>
      </w:pPr>
      <w:r>
        <w:rPr>
          <w:rFonts w:ascii="Courier New" w:cs="Courier New" w:eastAsia="Courier New" w:hAnsi="Courier New"/>
          <w:sz w:val="16"/>
          <w:szCs w:val="16"/>
          <w:color w:val="auto"/>
        </w:rPr>
        <w:t>Title of Securities</w:t>
      </w:r>
      <w:r>
        <w:rPr>
          <w:sz w:val="20"/>
          <w:szCs w:val="20"/>
          <w:color w:val="auto"/>
        </w:rPr>
        <w:tab/>
      </w:r>
      <w:r>
        <w:rPr>
          <w:rFonts w:ascii="Courier New" w:cs="Courier New" w:eastAsia="Courier New" w:hAnsi="Courier New"/>
          <w:sz w:val="16"/>
          <w:szCs w:val="16"/>
          <w:color w:val="auto"/>
        </w:rPr>
        <w:t>Amount to Be</w:t>
      </w:r>
      <w:r>
        <w:rPr>
          <w:sz w:val="20"/>
          <w:szCs w:val="20"/>
          <w:color w:val="auto"/>
        </w:rPr>
        <w:tab/>
      </w:r>
      <w:r>
        <w:rPr>
          <w:rFonts w:ascii="Courier New" w:cs="Courier New" w:eastAsia="Courier New" w:hAnsi="Courier New"/>
          <w:sz w:val="16"/>
          <w:szCs w:val="16"/>
          <w:color w:val="auto"/>
        </w:rPr>
        <w:t>Proposed Maximum</w:t>
      </w:r>
      <w:r>
        <w:rPr>
          <w:sz w:val="20"/>
          <w:szCs w:val="20"/>
          <w:color w:val="auto"/>
        </w:rPr>
        <w:tab/>
      </w:r>
      <w:r>
        <w:rPr>
          <w:rFonts w:ascii="Courier New" w:cs="Courier New" w:eastAsia="Courier New" w:hAnsi="Courier New"/>
          <w:sz w:val="16"/>
          <w:szCs w:val="16"/>
          <w:color w:val="auto"/>
        </w:rPr>
        <w:t>Proposed Maximum</w:t>
      </w:r>
      <w:r>
        <w:rPr>
          <w:sz w:val="20"/>
          <w:szCs w:val="20"/>
          <w:color w:val="auto"/>
        </w:rPr>
        <w:tab/>
      </w:r>
      <w:r>
        <w:rPr>
          <w:rFonts w:ascii="Courier New" w:cs="Courier New" w:eastAsia="Courier New" w:hAnsi="Courier New"/>
          <w:sz w:val="16"/>
          <w:szCs w:val="16"/>
          <w:color w:val="auto"/>
        </w:rPr>
        <w:t>Amount of</w:t>
      </w:r>
    </w:p>
    <w:p>
      <w:pPr>
        <w:spacing w:after="0" w:line="5" w:lineRule="exact"/>
        <w:rPr>
          <w:sz w:val="24"/>
          <w:szCs w:val="24"/>
          <w:color w:val="auto"/>
        </w:rPr>
      </w:pPr>
    </w:p>
    <w:p>
      <w:pPr>
        <w:ind w:left="481"/>
        <w:spacing w:after="0"/>
        <w:tabs>
          <w:tab w:leader="none" w:pos="2980" w:val="left"/>
          <w:tab w:leader="none" w:pos="4540" w:val="left"/>
          <w:tab w:leader="none" w:pos="7060" w:val="left"/>
          <w:tab w:leader="none" w:pos="9580" w:val="left"/>
        </w:tabs>
        <w:rPr>
          <w:sz w:val="20"/>
          <w:szCs w:val="20"/>
          <w:color w:val="auto"/>
        </w:rPr>
      </w:pPr>
      <w:r>
        <w:rPr>
          <w:rFonts w:ascii="Courier New" w:cs="Courier New" w:eastAsia="Courier New" w:hAnsi="Courier New"/>
          <w:sz w:val="16"/>
          <w:szCs w:val="16"/>
          <w:color w:val="auto"/>
        </w:rPr>
        <w:t>to Be Registered</w:t>
      </w:r>
      <w:r>
        <w:rPr>
          <w:sz w:val="20"/>
          <w:szCs w:val="20"/>
          <w:color w:val="auto"/>
        </w:rPr>
        <w:tab/>
      </w:r>
      <w:r>
        <w:rPr>
          <w:rFonts w:ascii="Courier New" w:cs="Courier New" w:eastAsia="Courier New" w:hAnsi="Courier New"/>
          <w:sz w:val="16"/>
          <w:szCs w:val="16"/>
          <w:color w:val="auto"/>
        </w:rPr>
        <w:t>Registered</w:t>
      </w:r>
      <w:r>
        <w:rPr>
          <w:sz w:val="20"/>
          <w:szCs w:val="20"/>
          <w:color w:val="auto"/>
        </w:rPr>
        <w:tab/>
      </w:r>
      <w:r>
        <w:rPr>
          <w:rFonts w:ascii="Courier New" w:cs="Courier New" w:eastAsia="Courier New" w:hAnsi="Courier New"/>
          <w:sz w:val="16"/>
          <w:szCs w:val="16"/>
          <w:color w:val="auto"/>
        </w:rPr>
        <w:t>Offering Price Per</w:t>
      </w:r>
      <w:r>
        <w:rPr>
          <w:sz w:val="20"/>
          <w:szCs w:val="20"/>
          <w:color w:val="auto"/>
        </w:rPr>
        <w:tab/>
      </w:r>
      <w:r>
        <w:rPr>
          <w:rFonts w:ascii="Courier New" w:cs="Courier New" w:eastAsia="Courier New" w:hAnsi="Courier New"/>
          <w:sz w:val="16"/>
          <w:szCs w:val="16"/>
          <w:color w:val="auto"/>
        </w:rPr>
        <w:t>Aggregate Offering</w:t>
      </w:r>
      <w:r>
        <w:rPr>
          <w:sz w:val="20"/>
          <w:szCs w:val="20"/>
          <w:color w:val="auto"/>
        </w:rPr>
        <w:tab/>
      </w:r>
      <w:r>
        <w:rPr>
          <w:rFonts w:ascii="Courier New" w:cs="Courier New" w:eastAsia="Courier New" w:hAnsi="Courier New"/>
          <w:sz w:val="16"/>
          <w:szCs w:val="16"/>
          <w:color w:val="auto"/>
        </w:rPr>
        <w:t>Registration Fee</w:t>
      </w:r>
    </w:p>
    <w:p>
      <w:pPr>
        <w:spacing w:after="0" w:line="5" w:lineRule="exact"/>
        <w:rPr>
          <w:sz w:val="24"/>
          <w:szCs w:val="24"/>
          <w:color w:val="auto"/>
        </w:rPr>
      </w:pPr>
    </w:p>
    <w:p>
      <w:pPr>
        <w:ind w:left="4941"/>
        <w:spacing w:after="0"/>
        <w:tabs>
          <w:tab w:leader="none" w:pos="7440" w:val="left"/>
        </w:tabs>
        <w:rPr>
          <w:sz w:val="20"/>
          <w:szCs w:val="20"/>
          <w:color w:val="auto"/>
        </w:rPr>
      </w:pPr>
      <w:r>
        <w:rPr>
          <w:rFonts w:ascii="Courier New" w:cs="Courier New" w:eastAsia="Courier New" w:hAnsi="Courier New"/>
          <w:sz w:val="16"/>
          <w:szCs w:val="16"/>
          <w:color w:val="auto"/>
        </w:rPr>
        <w:t>Share(1)</w:t>
      </w:r>
      <w:r>
        <w:rPr>
          <w:sz w:val="20"/>
          <w:szCs w:val="20"/>
          <w:color w:val="auto"/>
        </w:rPr>
        <w:tab/>
      </w:r>
      <w:r>
        <w:rPr>
          <w:rFonts w:ascii="Courier New" w:cs="Courier New" w:eastAsia="Courier New" w:hAnsi="Courier New"/>
          <w:sz w:val="16"/>
          <w:szCs w:val="16"/>
          <w:color w:val="auto"/>
        </w:rPr>
        <w:t>Price(1)</w:t>
      </w:r>
    </w:p>
    <w:p>
      <w:pPr>
        <w:spacing w:after="0" w:line="5" w:lineRule="exact"/>
        <w:rPr>
          <w:sz w:val="24"/>
          <w:szCs w:val="24"/>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spacing w:after="0" w:line="5" w:lineRule="exact"/>
        <w:rPr>
          <w:sz w:val="24"/>
          <w:szCs w:val="24"/>
          <w:color w:val="auto"/>
        </w:rPr>
      </w:pPr>
    </w:p>
    <w:tbl>
      <w:tblPr>
        <w:tblLayout w:type="fixed"/>
        <w:tblInd w:w="1" w:type="dxa"/>
        <w:tblCellMar>
          <w:top w:w="0" w:type="dxa"/>
          <w:left w:w="0" w:type="dxa"/>
          <w:bottom w:w="0" w:type="dxa"/>
          <w:right w:w="0" w:type="dxa"/>
        </w:tblCellMar>
      </w:tblP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Common Stock, no par</w:t>
            </w:r>
          </w:p>
        </w:tc>
        <w:tc>
          <w:tcPr>
            <w:tcW w:w="2080" w:type="dxa"/>
            <w:vAlign w:val="bottom"/>
          </w:tcPr>
          <w:p>
            <w:pPr>
              <w:ind w:left="580"/>
              <w:spacing w:after="0"/>
              <w:rPr>
                <w:sz w:val="20"/>
                <w:szCs w:val="20"/>
                <w:color w:val="auto"/>
              </w:rPr>
            </w:pPr>
            <w:r>
              <w:rPr>
                <w:rFonts w:ascii="Courier New" w:cs="Courier New" w:eastAsia="Courier New" w:hAnsi="Courier New"/>
                <w:sz w:val="16"/>
                <w:szCs w:val="16"/>
                <w:color w:val="auto"/>
              </w:rPr>
              <w:t>1,800,000</w:t>
            </w:r>
          </w:p>
        </w:tc>
        <w:tc>
          <w:tcPr>
            <w:tcW w:w="21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value(2)</w:t>
            </w:r>
          </w:p>
        </w:tc>
        <w:tc>
          <w:tcPr>
            <w:tcW w:w="2080" w:type="dxa"/>
            <w:vAlign w:val="bottom"/>
          </w:tcPr>
          <w:p>
            <w:pPr>
              <w:ind w:left="580"/>
              <w:spacing w:after="0"/>
              <w:rPr>
                <w:sz w:val="20"/>
                <w:szCs w:val="20"/>
                <w:color w:val="auto"/>
              </w:rPr>
            </w:pPr>
            <w:r>
              <w:rPr>
                <w:rFonts w:ascii="Courier New" w:cs="Courier New" w:eastAsia="Courier New" w:hAnsi="Courier New"/>
                <w:sz w:val="16"/>
                <w:szCs w:val="16"/>
                <w:color w:val="auto"/>
              </w:rPr>
              <w:t>shares (3)</w:t>
            </w:r>
          </w:p>
        </w:tc>
        <w:tc>
          <w:tcPr>
            <w:tcW w:w="21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$ 25.8125</w:t>
            </w:r>
          </w:p>
        </w:tc>
        <w:tc>
          <w:tcPr>
            <w:tcW w:w="25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$ 46,462,500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$ 14,080</w:t>
            </w:r>
          </w:p>
        </w:tc>
      </w:tr>
    </w:tbl>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 -------------- ------------------------ -------------------------- ---------------------</w:t>
      </w:r>
    </w:p>
    <w:p>
      <w:pPr>
        <w:spacing w:after="0" w:line="5" w:lineRule="exact"/>
        <w:rPr>
          <w:sz w:val="24"/>
          <w:szCs w:val="24"/>
          <w:color w:val="auto"/>
        </w:rPr>
      </w:pPr>
    </w:p>
    <w:p>
      <w:pPr>
        <w:ind w:left="881" w:right="3760" w:hanging="881"/>
        <w:spacing w:after="0" w:line="246" w:lineRule="auto"/>
        <w:tabs>
          <w:tab w:leader="none" w:pos="8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pursuant to Rule 457(c) solely for the purpose of calculating the amount of the registration fee. The price per share is estimated to be $25.8125 based on the average of the high ($26.25) and low ($25.375) sales prices for the Common Stock on June 3, 1997, as reported by the Nasdaq National Market.</w:t>
      </w:r>
    </w:p>
    <w:p>
      <w:pPr>
        <w:spacing w:after="0" w:line="2"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Including associated Common Stock Purchase Rights.</w:t>
      </w:r>
    </w:p>
    <w:p>
      <w:pPr>
        <w:spacing w:after="0" w:line="5" w:lineRule="exact"/>
        <w:rPr>
          <w:rFonts w:ascii="Courier New" w:cs="Courier New" w:eastAsia="Courier New" w:hAnsi="Courier New"/>
          <w:sz w:val="16"/>
          <w:szCs w:val="16"/>
          <w:color w:val="auto"/>
        </w:rPr>
      </w:pPr>
    </w:p>
    <w:p>
      <w:pPr>
        <w:jc w:val="both"/>
        <w:ind w:left="881" w:right="3760" w:hanging="881"/>
        <w:spacing w:after="0" w:line="247" w:lineRule="auto"/>
        <w:tabs>
          <w:tab w:leader="none" w:pos="8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Together with an indeterminate number of additional shares which may be necessary to adjust the number of shares reserved for issuance pursuant to the Plan as the result of any future stock split, stock dividend or similar adjustment of the outstanding Common Stock of the Company.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6"/>
          <w:szCs w:val="16"/>
          <w:color w:val="auto"/>
        </w:rPr>
        <w:t>PART II</w:t>
      </w:r>
    </w:p>
    <w:p>
      <w:pPr>
        <w:spacing w:after="0" w:line="191" w:lineRule="exact"/>
        <w:rPr>
          <w:sz w:val="24"/>
          <w:szCs w:val="24"/>
          <w:color w:val="auto"/>
        </w:rPr>
      </w:pPr>
    </w:p>
    <w:p>
      <w:pPr>
        <w:ind w:left="1641"/>
        <w:spacing w:after="0"/>
        <w:rPr>
          <w:sz w:val="20"/>
          <w:szCs w:val="20"/>
          <w:color w:val="auto"/>
        </w:rPr>
      </w:pPr>
      <w:r>
        <w:rPr>
          <w:rFonts w:ascii="Courier New" w:cs="Courier New" w:eastAsia="Courier New" w:hAnsi="Courier New"/>
          <w:sz w:val="16"/>
          <w:szCs w:val="16"/>
          <w:color w:val="auto"/>
        </w:rPr>
        <w:t>INFORMATION REQUIRED IN REGISTRATION STATEMENT</w:t>
      </w:r>
    </w:p>
    <w:p>
      <w:pPr>
        <w:spacing w:after="0" w:line="191" w:lineRule="exact"/>
        <w:rPr>
          <w:sz w:val="24"/>
          <w:szCs w:val="24"/>
          <w:color w:val="auto"/>
        </w:rPr>
      </w:pPr>
    </w:p>
    <w:p>
      <w:pPr>
        <w:ind w:left="1"/>
        <w:spacing w:after="0"/>
        <w:tabs>
          <w:tab w:leader="none" w:pos="860" w:val="left"/>
        </w:tabs>
        <w:rPr>
          <w:sz w:val="20"/>
          <w:szCs w:val="20"/>
          <w:color w:val="auto"/>
        </w:rPr>
      </w:pPr>
      <w:r>
        <w:rPr>
          <w:rFonts w:ascii="Courier New" w:cs="Courier New" w:eastAsia="Courier New" w:hAnsi="Courier New"/>
          <w:sz w:val="16"/>
          <w:szCs w:val="16"/>
          <w:color w:val="auto"/>
        </w:rPr>
        <w:t>Item 3.</w:t>
        <w:tab/>
        <w:t>INCORPORATION OF DOCUMENTS BY REFERENCE</w:t>
      </w:r>
    </w:p>
    <w:p>
      <w:pPr>
        <w:sectPr>
          <w:pgSz w:w="11900" w:h="16838" w:orient="portrait"/>
          <w:cols w:equalWidth="0" w:num="1">
            <w:col w:w="11521"/>
          </w:cols>
          <w:pgMar w:left="239" w:top="427" w:right="139" w:bottom="0" w:gutter="0" w:footer="0" w:header="0"/>
          <w:type w:val="continuous"/>
        </w:sectPr>
      </w:pPr>
    </w:p>
    <w:bookmarkStart w:id="1" w:name="page2"/>
    <w:bookmarkEnd w:id="1"/>
    <w:p>
      <w:pPr>
        <w:ind w:left="880"/>
        <w:spacing w:after="0"/>
        <w:tabs>
          <w:tab w:leader="none" w:pos="2300" w:val="left"/>
          <w:tab w:leader="none" w:pos="4440" w:val="left"/>
          <w:tab w:leader="none" w:pos="5800" w:val="left"/>
        </w:tabs>
        <w:rPr>
          <w:sz w:val="20"/>
          <w:szCs w:val="20"/>
          <w:color w:val="auto"/>
        </w:rPr>
      </w:pPr>
      <w:r>
        <w:rPr>
          <w:rFonts w:ascii="Courier New" w:cs="Courier New" w:eastAsia="Courier New" w:hAnsi="Courier New"/>
          <w:sz w:val="16"/>
          <w:szCs w:val="16"/>
          <w:color w:val="auto"/>
        </w:rPr>
        <w:t>The following</w:t>
        <w:tab/>
        <w:t>documents are hereby</w:t>
        <w:tab/>
        <w:t>incorporated</w:t>
        <w:tab/>
        <w:t>by reference in this</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Registration Statement:</w:t>
      </w:r>
    </w:p>
    <w:p>
      <w:pPr>
        <w:spacing w:after="0" w:line="191" w:lineRule="exact"/>
        <w:rPr>
          <w:sz w:val="20"/>
          <w:szCs w:val="20"/>
          <w:color w:val="auto"/>
        </w:rPr>
      </w:pPr>
    </w:p>
    <w:p>
      <w:pPr>
        <w:jc w:val="both"/>
        <w:ind w:left="1740" w:right="2459" w:hanging="869"/>
        <w:spacing w:after="0" w:line="247" w:lineRule="auto"/>
        <w:tabs>
          <w:tab w:leader="none" w:pos="17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Annual Report on Form 10-K for the year ended December 31, 1996 filed with the Securities and Exchange Commission (the "Commission"), which contains audited financial statements for the most recent year for which such statements have been filed;</w:t>
      </w:r>
    </w:p>
    <w:p>
      <w:pPr>
        <w:spacing w:after="0" w:line="185" w:lineRule="exact"/>
        <w:rPr>
          <w:rFonts w:ascii="Courier New" w:cs="Courier New" w:eastAsia="Courier New" w:hAnsi="Courier New"/>
          <w:sz w:val="16"/>
          <w:szCs w:val="16"/>
          <w:color w:val="auto"/>
        </w:rPr>
      </w:pPr>
    </w:p>
    <w:p>
      <w:pPr>
        <w:ind w:left="1740" w:right="2659" w:hanging="869"/>
        <w:spacing w:after="0" w:line="248" w:lineRule="auto"/>
        <w:tabs>
          <w:tab w:leader="none" w:pos="17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 on Form 10-Q for the quarter ended March 31, 1997;</w:t>
      </w:r>
    </w:p>
    <w:p>
      <w:pPr>
        <w:spacing w:after="0" w:line="184" w:lineRule="exact"/>
        <w:rPr>
          <w:rFonts w:ascii="Courier New" w:cs="Courier New" w:eastAsia="Courier New" w:hAnsi="Courier New"/>
          <w:sz w:val="16"/>
          <w:szCs w:val="16"/>
          <w:color w:val="auto"/>
        </w:rPr>
      </w:pPr>
    </w:p>
    <w:p>
      <w:pPr>
        <w:ind w:left="1740" w:right="2459" w:hanging="869"/>
        <w:spacing w:after="0" w:line="248" w:lineRule="auto"/>
        <w:tabs>
          <w:tab w:leader="none" w:pos="17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Current Reports on Form 8-K dated March 18, 1997 and May 2, 1997; and</w:t>
      </w:r>
    </w:p>
    <w:p>
      <w:pPr>
        <w:spacing w:after="0" w:line="184" w:lineRule="exact"/>
        <w:rPr>
          <w:rFonts w:ascii="Courier New" w:cs="Courier New" w:eastAsia="Courier New" w:hAnsi="Courier New"/>
          <w:sz w:val="16"/>
          <w:szCs w:val="16"/>
          <w:color w:val="auto"/>
        </w:rPr>
      </w:pPr>
    </w:p>
    <w:p>
      <w:pPr>
        <w:jc w:val="both"/>
        <w:ind w:left="1740" w:right="2459" w:hanging="869"/>
        <w:spacing w:after="0" w:line="247" w:lineRule="auto"/>
        <w:tabs>
          <w:tab w:leader="none" w:pos="17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Company's Common Stock contained in the Company's Registration Statement on Form 8-A filed with the Commission on September 18, 1993, including any amendments or reports filed for the purpose of updating such description.</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All documents filed by the Registrant pursuant to Sections 13(a), 13(c), 14 and 15(d) of the Securities Exchange Act of 1934, as amended, after the date hereof and prior to the filing of a post-effective amendment which indicates that all securities offered hereby have been sold or which deregisters the securities covered hereby then remaining unsold shall also be deemed to be incorporated by reference into this Registration Statement and to be a part hereof commencing on the respective dates on which such documents are filed.</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INDEMNIFICATION OF DIRECTORS AND OFFICERS</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Sections 23B.08.500 through 23B.08.600 of the Washington Business Corporation Act authorize a court to award, or a corporation's board of directors to grant, indemnification to directors and officers on terms sufficiently broad to permit indemnification under certain circumstances for liabilities arising under the Securities Act of 1933, as amended (the "Securities Act"). Section 10 of the Registrant's Restated Bylaws provides for indemnification of the Registrant's directors, officers, employees and agents to the maximum extent permitted by Washington law. Certain of the directors of the Registrant, who are affiliated with principal shareholders of the Registrant, also may be indemnified by such shareholders against liability they may incur in their capacity as a director of the Registrant, including pursuant to a liability insurance policy for such purpose.</w:t>
      </w:r>
    </w:p>
    <w:p>
      <w:pPr>
        <w:spacing w:after="0" w:line="193"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23B.08.320 of the Washington Business Corporation Act authorizes a corporation to limit a director's liability to the corporation or its shareholders for monetary damages for acts or omissions as a director, except in certain circumstances involving intentional misconduct, self-dealing or illegal corporate loans or distributions, or any transaction from which the director personally receives a benefit in money, property or services to which the director is not legally entitled. Article 9 of the Registrant's Restated Articles of Incorporation contains provisions implementing, to the fullest extent permitted by Washington law, such limitations on a director's liability to the Registrant and its shareholders.</w:t>
      </w:r>
    </w:p>
    <w:p>
      <w:pPr>
        <w:spacing w:after="0" w:line="192"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The Registrant has entered into an Indemnification Agreement with each of its executive officers and directors in which the Registrant agrees to hold harmless and indemnify the officer or director to the full extent permitted by Washington law. In addition, the Registrant agrees to indemnify the officer or director against any and all losses, claims, damages, liabilities or expenses incurred in connection with any actual, pending or threatened action, suit, claim or proceeding, whether civil, criminal, administrative or investigative and whether formal or informal, in which the officer or director is, was or becomes involved by reason of the fact that the officer or director is or was a director, officer, employee or agent of the Registrant, or that being or having been such a director, officer, employee or agent, such director is or was serving at the request of the Registrant as a director, officer, employee, trustee or agent of another corporation or of a partnership, joint venture, trust or other enterprise, including service with respect to an employee benefit plan, whether the basis of such proceeding is alleged action (or inaction) by the officer or director in an official capacity as a director, officer, employee, trustee or agent or in any other capacity while serving as a director, officer, employee, trustee or agent. The officer or director is not indemnified for any action, suit, claim or proceeding instituted by or at the direction of the officer or director unless such action, suit, claim or proceeding is or was authorized by the Registrant's Board of Directors or unless the action is to enforce the provisions of the Indemnification Agreement.</w:t>
      </w:r>
    </w:p>
    <w:p>
      <w:pPr>
        <w:spacing w:after="0" w:line="199"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No indemnity pursuant to the Indemnification Agreements may be provided by the Registrant on account of any suit in which a final, unappealable judgment is rendered against an officer or director for an accounting of profits made from the purchase or sale by the officer or director of securities of the Registrant in violation of the provisions of Section 16(b) of the Exchange Act, or for damages that have been paid directly to the officer or director by an insurance carrier under a policy of directors' and officers' liability insurance maintained by the Registrant.</w:t>
      </w:r>
    </w:p>
    <w:p>
      <w:pPr>
        <w:spacing w:after="0" w:line="191" w:lineRule="exact"/>
        <w:rPr>
          <w:sz w:val="20"/>
          <w:szCs w:val="20"/>
          <w:color w:val="auto"/>
        </w:rPr>
      </w:pPr>
    </w:p>
    <w:p>
      <w:pPr>
        <w:ind w:left="480"/>
        <w:spacing w:after="0"/>
        <w:tabs>
          <w:tab w:leader="none" w:pos="1440" w:val="left"/>
          <w:tab w:leader="none" w:pos="1920" w:val="left"/>
          <w:tab w:leader="none" w:pos="3280" w:val="left"/>
          <w:tab w:leader="none" w:pos="5220" w:val="left"/>
        </w:tabs>
        <w:rPr>
          <w:sz w:val="20"/>
          <w:szCs w:val="20"/>
          <w:color w:val="auto"/>
        </w:rPr>
      </w:pPr>
      <w:r>
        <w:rPr>
          <w:rFonts w:ascii="Courier New" w:cs="Courier New" w:eastAsia="Courier New" w:hAnsi="Courier New"/>
          <w:sz w:val="16"/>
          <w:szCs w:val="16"/>
          <w:color w:val="auto"/>
        </w:rPr>
        <w:t>Officers</w:t>
        <w:tab/>
        <w:t>and</w:t>
        <w:tab/>
        <w:t>directors of</w:t>
        <w:tab/>
        <w:t>the Registrant are</w:t>
        <w:tab/>
        <w:t>covered by insurance (with</w:t>
      </w:r>
    </w:p>
    <w:p>
      <w:pPr>
        <w:sectPr>
          <w:pgSz w:w="11900" w:h="16838" w:orient="portrait"/>
          <w:cols w:equalWidth="0" w:num="1">
            <w:col w:w="10219"/>
          </w:cols>
          <w:pgMar w:left="240" w:top="328" w:right="1440" w:bottom="0" w:gutter="0" w:footer="0" w:header="0"/>
        </w:sectPr>
      </w:pPr>
    </w:p>
    <w:bookmarkStart w:id="2" w:name="page3"/>
    <w:bookmarkEnd w:id="2"/>
    <w:p>
      <w:pPr>
        <w:jc w:val="both"/>
        <w:ind w:left="1" w:right="3180"/>
        <w:spacing w:after="0" w:line="247" w:lineRule="auto"/>
        <w:rPr>
          <w:sz w:val="20"/>
          <w:szCs w:val="20"/>
          <w:color w:val="auto"/>
        </w:rPr>
      </w:pPr>
      <w:r>
        <w:rPr>
          <w:rFonts w:ascii="Courier New" w:cs="Courier New" w:eastAsia="Courier New" w:hAnsi="Courier New"/>
          <w:sz w:val="16"/>
          <w:szCs w:val="16"/>
          <w:color w:val="auto"/>
        </w:rPr>
        <w:t>certain exceptions and certain limitations) that indemnifies them against losses and liabilities arising from certain alleged "wrongful acts," including alleged errors or misstatements, or certain other alleged wrongful acts or omissions constituting neglect or breach of duty.</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Item 8. EXHIBITS</w:t>
            </w:r>
          </w:p>
        </w:tc>
        <w:tc>
          <w:tcPr>
            <w:tcW w:w="6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5020" w:type="dxa"/>
            <w:vAlign w:val="bottom"/>
          </w:tcPr>
          <w:p>
            <w:pPr>
              <w:spacing w:after="0"/>
              <w:rPr>
                <w:sz w:val="15"/>
                <w:szCs w:val="15"/>
                <w:color w:val="auto"/>
              </w:rPr>
            </w:pPr>
          </w:p>
        </w:tc>
      </w:tr>
      <w:tr>
        <w:trPr>
          <w:trHeight w:val="3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Exhibit Number</w:t>
            </w:r>
          </w:p>
        </w:tc>
        <w:tc>
          <w:tcPr>
            <w:tcW w:w="620" w:type="dxa"/>
            <w:vAlign w:val="bottom"/>
          </w:tcPr>
          <w:p>
            <w:pPr>
              <w:spacing w:after="0"/>
              <w:rPr>
                <w:sz w:val="24"/>
                <w:szCs w:val="24"/>
                <w:color w:val="auto"/>
              </w:rPr>
            </w:pPr>
          </w:p>
        </w:tc>
        <w:tc>
          <w:tcPr>
            <w:tcW w:w="7940" w:type="dxa"/>
            <w:vAlign w:val="bottom"/>
            <w:gridSpan w:val="2"/>
          </w:tcPr>
          <w:p>
            <w:pPr>
              <w:ind w:left="2820"/>
              <w:spacing w:after="0"/>
              <w:rPr>
                <w:sz w:val="20"/>
                <w:szCs w:val="20"/>
                <w:color w:val="auto"/>
              </w:rPr>
            </w:pPr>
            <w:r>
              <w:rPr>
                <w:rFonts w:ascii="Courier New" w:cs="Courier New" w:eastAsia="Courier New" w:hAnsi="Courier New"/>
                <w:sz w:val="16"/>
                <w:szCs w:val="16"/>
                <w:color w:val="auto"/>
              </w:rPr>
              <w:t>Description</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856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w:t>
            </w:r>
          </w:p>
        </w:tc>
      </w:tr>
      <w:tr>
        <w:trPr>
          <w:trHeight w:val="373"/>
        </w:trPr>
        <w:tc>
          <w:tcPr>
            <w:tcW w:w="23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5.1</w:t>
            </w:r>
          </w:p>
        </w:tc>
        <w:tc>
          <w:tcPr>
            <w:tcW w:w="856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Opinion of Perkins Coie regarding legality of the Common Stock being registered</w:t>
            </w:r>
          </w:p>
        </w:tc>
      </w:tr>
      <w:tr>
        <w:trPr>
          <w:trHeight w:val="373"/>
        </w:trPr>
        <w:tc>
          <w:tcPr>
            <w:tcW w:w="23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23.1</w:t>
            </w:r>
          </w:p>
        </w:tc>
        <w:tc>
          <w:tcPr>
            <w:tcW w:w="35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Consent of Deloitte &amp; Touche LLP</w:t>
            </w:r>
          </w:p>
        </w:tc>
        <w:tc>
          <w:tcPr>
            <w:tcW w:w="5020" w:type="dxa"/>
            <w:vAlign w:val="bottom"/>
          </w:tcPr>
          <w:p>
            <w:pPr>
              <w:spacing w:after="0"/>
              <w:rPr>
                <w:sz w:val="24"/>
                <w:szCs w:val="24"/>
                <w:color w:val="auto"/>
              </w:rPr>
            </w:pPr>
          </w:p>
        </w:tc>
      </w:tr>
      <w:tr>
        <w:trPr>
          <w:trHeight w:val="373"/>
        </w:trPr>
        <w:tc>
          <w:tcPr>
            <w:tcW w:w="23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23.2</w:t>
            </w:r>
          </w:p>
        </w:tc>
        <w:tc>
          <w:tcPr>
            <w:tcW w:w="856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Consent of Perkins Coie (included in opinion filed as Exhibit 5.1)</w:t>
            </w:r>
          </w:p>
        </w:tc>
      </w:tr>
      <w:tr>
        <w:trPr>
          <w:trHeight w:val="373"/>
        </w:trPr>
        <w:tc>
          <w:tcPr>
            <w:tcW w:w="23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24.1</w:t>
            </w:r>
          </w:p>
        </w:tc>
        <w:tc>
          <w:tcPr>
            <w:tcW w:w="620" w:type="dxa"/>
            <w:vAlign w:val="bottom"/>
          </w:tcPr>
          <w:p>
            <w:pPr>
              <w:ind w:left="140"/>
              <w:spacing w:after="0"/>
              <w:rPr>
                <w:sz w:val="20"/>
                <w:szCs w:val="20"/>
                <w:color w:val="auto"/>
              </w:rPr>
            </w:pPr>
            <w:r>
              <w:rPr>
                <w:rFonts w:ascii="Courier New" w:cs="Courier New" w:eastAsia="Courier New" w:hAnsi="Courier New"/>
                <w:sz w:val="16"/>
                <w:szCs w:val="16"/>
                <w:color w:val="auto"/>
                <w:w w:val="95"/>
              </w:rPr>
              <w:t>Power</w:t>
            </w:r>
          </w:p>
        </w:tc>
        <w:tc>
          <w:tcPr>
            <w:tcW w:w="2920" w:type="dxa"/>
            <w:vAlign w:val="bottom"/>
          </w:tcPr>
          <w:p>
            <w:pPr>
              <w:ind w:left="100"/>
              <w:spacing w:after="0"/>
              <w:rPr>
                <w:sz w:val="20"/>
                <w:szCs w:val="20"/>
                <w:color w:val="auto"/>
              </w:rPr>
            </w:pPr>
            <w:r>
              <w:rPr>
                <w:rFonts w:ascii="Courier New" w:cs="Courier New" w:eastAsia="Courier New" w:hAnsi="Courier New"/>
                <w:sz w:val="16"/>
                <w:szCs w:val="16"/>
                <w:color w:val="auto"/>
              </w:rPr>
              <w:t>of Attorney</w:t>
            </w:r>
          </w:p>
        </w:tc>
        <w:tc>
          <w:tcPr>
            <w:tcW w:w="5020" w:type="dxa"/>
            <w:vAlign w:val="bottom"/>
          </w:tcPr>
          <w:p>
            <w:pPr>
              <w:spacing w:after="0"/>
              <w:rPr>
                <w:sz w:val="24"/>
                <w:szCs w:val="24"/>
                <w:color w:val="auto"/>
              </w:rPr>
            </w:pPr>
          </w:p>
        </w:tc>
      </w:tr>
      <w:tr>
        <w:trPr>
          <w:trHeight w:val="373"/>
        </w:trPr>
        <w:tc>
          <w:tcPr>
            <w:tcW w:w="23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99.1</w:t>
            </w:r>
          </w:p>
        </w:tc>
        <w:tc>
          <w:tcPr>
            <w:tcW w:w="620" w:type="dxa"/>
            <w:vAlign w:val="bottom"/>
          </w:tcPr>
          <w:p>
            <w:pPr>
              <w:ind w:left="140"/>
              <w:spacing w:after="0"/>
              <w:rPr>
                <w:sz w:val="20"/>
                <w:szCs w:val="20"/>
                <w:color w:val="auto"/>
              </w:rPr>
            </w:pPr>
            <w:r>
              <w:rPr>
                <w:rFonts w:ascii="Courier New" w:cs="Courier New" w:eastAsia="Courier New" w:hAnsi="Courier New"/>
                <w:sz w:val="16"/>
                <w:szCs w:val="16"/>
                <w:color w:val="auto"/>
              </w:rPr>
              <w:t>1989</w:t>
            </w:r>
          </w:p>
        </w:tc>
        <w:tc>
          <w:tcPr>
            <w:tcW w:w="2920" w:type="dxa"/>
            <w:vAlign w:val="bottom"/>
          </w:tcPr>
          <w:p>
            <w:pPr>
              <w:ind w:left="100"/>
              <w:spacing w:after="0"/>
              <w:rPr>
                <w:sz w:val="20"/>
                <w:szCs w:val="20"/>
                <w:color w:val="auto"/>
              </w:rPr>
            </w:pPr>
            <w:r>
              <w:rPr>
                <w:rFonts w:ascii="Courier New" w:cs="Courier New" w:eastAsia="Courier New" w:hAnsi="Courier New"/>
                <w:sz w:val="16"/>
                <w:szCs w:val="16"/>
                <w:color w:val="auto"/>
              </w:rPr>
              <w:t>Restated  Stock Option Plan</w:t>
            </w:r>
          </w:p>
        </w:tc>
        <w:tc>
          <w:tcPr>
            <w:tcW w:w="50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(incorporated  by reference to Appendix A to</w:t>
            </w:r>
          </w:p>
        </w:tc>
      </w:tr>
      <w:tr>
        <w:trPr>
          <w:trHeight w:val="186"/>
        </w:trPr>
        <w:tc>
          <w:tcPr>
            <w:tcW w:w="238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Courier New" w:cs="Courier New" w:eastAsia="Courier New" w:hAnsi="Courier New"/>
                <w:sz w:val="16"/>
                <w:szCs w:val="16"/>
                <w:color w:val="auto"/>
              </w:rPr>
              <w:t>the</w:t>
            </w:r>
          </w:p>
        </w:tc>
        <w:tc>
          <w:tcPr>
            <w:tcW w:w="2920" w:type="dxa"/>
            <w:vAlign w:val="bottom"/>
          </w:tcPr>
          <w:p>
            <w:pPr>
              <w:spacing w:after="0"/>
              <w:rPr>
                <w:sz w:val="20"/>
                <w:szCs w:val="20"/>
                <w:color w:val="auto"/>
              </w:rPr>
            </w:pPr>
            <w:r>
              <w:rPr>
                <w:rFonts w:ascii="Courier New" w:cs="Courier New" w:eastAsia="Courier New" w:hAnsi="Courier New"/>
                <w:sz w:val="16"/>
                <w:szCs w:val="16"/>
                <w:color w:val="auto"/>
              </w:rPr>
              <w:t>Registrant's  Proxy  Statement</w:t>
            </w:r>
          </w:p>
        </w:tc>
        <w:tc>
          <w:tcPr>
            <w:tcW w:w="50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dated  April 4,  1997 relating to its 1997</w:t>
            </w:r>
          </w:p>
        </w:tc>
      </w:tr>
    </w:tbl>
    <w:p>
      <w:pPr>
        <w:spacing w:after="0" w:line="4" w:lineRule="exact"/>
        <w:rPr>
          <w:sz w:val="20"/>
          <w:szCs w:val="20"/>
          <w:color w:val="auto"/>
        </w:rPr>
      </w:pPr>
    </w:p>
    <w:p>
      <w:pPr>
        <w:ind w:left="2521"/>
        <w:spacing w:after="0"/>
        <w:rPr>
          <w:sz w:val="20"/>
          <w:szCs w:val="20"/>
          <w:color w:val="auto"/>
        </w:rPr>
      </w:pPr>
      <w:r>
        <w:rPr>
          <w:rFonts w:ascii="Courier New" w:cs="Courier New" w:eastAsia="Courier New" w:hAnsi="Courier New"/>
          <w:sz w:val="16"/>
          <w:szCs w:val="16"/>
          <w:color w:val="auto"/>
        </w:rPr>
        <w:t>annual shareholders meeting)</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9. UNDERTAKINGS</w:t>
      </w:r>
    </w:p>
    <w:p>
      <w:pPr>
        <w:spacing w:after="0" w:line="191" w:lineRule="exact"/>
        <w:rPr>
          <w:sz w:val="20"/>
          <w:szCs w:val="20"/>
          <w:color w:val="auto"/>
        </w:rPr>
      </w:pPr>
    </w:p>
    <w:p>
      <w:pPr>
        <w:ind w:left="781" w:hanging="781"/>
        <w:spacing w:after="0"/>
        <w:tabs>
          <w:tab w:leader="none" w:pos="7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91" w:lineRule="exact"/>
        <w:rPr>
          <w:rFonts w:ascii="Courier New" w:cs="Courier New" w:eastAsia="Courier New" w:hAnsi="Courier New"/>
          <w:sz w:val="16"/>
          <w:szCs w:val="16"/>
          <w:color w:val="auto"/>
        </w:rPr>
      </w:pPr>
    </w:p>
    <w:p>
      <w:pPr>
        <w:ind w:left="1" w:right="3180" w:firstLine="484"/>
        <w:spacing w:after="0" w:line="248" w:lineRule="auto"/>
        <w:tabs>
          <w:tab w:leader="none" w:pos="87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4" w:lineRule="exact"/>
        <w:rPr>
          <w:rFonts w:ascii="Courier New" w:cs="Courier New" w:eastAsia="Courier New" w:hAnsi="Courier New"/>
          <w:sz w:val="16"/>
          <w:szCs w:val="16"/>
          <w:color w:val="auto"/>
        </w:rPr>
      </w:pPr>
    </w:p>
    <w:p>
      <w:pPr>
        <w:ind w:left="1" w:right="3180" w:firstLine="1937"/>
        <w:spacing w:after="0" w:line="248" w:lineRule="auto"/>
        <w:tabs>
          <w:tab w:leader="none" w:pos="2326"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of the Securities Act.</w:t>
      </w:r>
    </w:p>
    <w:p>
      <w:pPr>
        <w:spacing w:after="0" w:line="184" w:lineRule="exact"/>
        <w:rPr>
          <w:rFonts w:ascii="Courier New" w:cs="Courier New" w:eastAsia="Courier New" w:hAnsi="Courier New"/>
          <w:sz w:val="16"/>
          <w:szCs w:val="16"/>
          <w:color w:val="auto"/>
        </w:rPr>
      </w:pPr>
    </w:p>
    <w:p>
      <w:pPr>
        <w:ind w:left="1" w:right="3180" w:firstLine="1937"/>
        <w:spacing w:after="0" w:line="246" w:lineRule="auto"/>
        <w:tabs>
          <w:tab w:leader="none" w:pos="2423"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the securities offered would not exceed that which was registered) and any deviation from the low or high and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93" w:lineRule="exact"/>
        <w:rPr>
          <w:sz w:val="20"/>
          <w:szCs w:val="20"/>
          <w:color w:val="auto"/>
        </w:rPr>
      </w:pPr>
    </w:p>
    <w:p>
      <w:pPr>
        <w:jc w:val="both"/>
        <w:ind w:left="1" w:right="3180" w:firstLine="1938"/>
        <w:spacing w:after="0" w:line="247" w:lineRule="auto"/>
        <w:rPr>
          <w:sz w:val="20"/>
          <w:szCs w:val="20"/>
          <w:color w:val="auto"/>
        </w:rPr>
      </w:pPr>
      <w:r>
        <w:rPr>
          <w:rFonts w:ascii="Courier New" w:cs="Courier New" w:eastAsia="Courier New" w:hAnsi="Courier New"/>
          <w:sz w:val="16"/>
          <w:szCs w:val="16"/>
          <w:color w:val="auto"/>
        </w:rPr>
        <w:t>(iii)To include any material information with respect to the plan of distribution not previously disclosed in this Registration Statement or any material change to such information in this Registration Statement.</w:t>
      </w:r>
    </w:p>
    <w:p>
      <w:pPr>
        <w:spacing w:after="0" w:line="186" w:lineRule="exact"/>
        <w:rPr>
          <w:sz w:val="20"/>
          <w:szCs w:val="20"/>
          <w:color w:val="auto"/>
        </w:rPr>
      </w:pPr>
    </w:p>
    <w:p>
      <w:pPr>
        <w:jc w:val="both"/>
        <w:ind w:left="1" w:right="3180" w:firstLine="484"/>
        <w:spacing w:after="0" w:line="247" w:lineRule="auto"/>
        <w:tabs>
          <w:tab w:leader="none" w:pos="873"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jc w:val="both"/>
        <w:ind w:left="1" w:right="3180" w:firstLine="484"/>
        <w:spacing w:after="0" w:line="247" w:lineRule="auto"/>
        <w:tabs>
          <w:tab w:leader="none" w:pos="873"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5" w:lineRule="exact"/>
        <w:rPr>
          <w:rFonts w:ascii="Courier New" w:cs="Courier New" w:eastAsia="Courier New" w:hAnsi="Courier New"/>
          <w:sz w:val="16"/>
          <w:szCs w:val="16"/>
          <w:color w:val="auto"/>
        </w:rPr>
      </w:pPr>
    </w:p>
    <w:p>
      <w:pPr>
        <w:jc w:val="both"/>
        <w:ind w:left="1" w:right="3180" w:hanging="1"/>
        <w:spacing w:after="0" w:line="246" w:lineRule="auto"/>
        <w:tabs>
          <w:tab w:leader="none" w:pos="77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 of.</w:t>
      </w:r>
    </w:p>
    <w:p>
      <w:pPr>
        <w:spacing w:after="0" w:line="191" w:lineRule="exact"/>
        <w:rPr>
          <w:rFonts w:ascii="Courier New" w:cs="Courier New" w:eastAsia="Courier New" w:hAnsi="Courier New"/>
          <w:sz w:val="16"/>
          <w:szCs w:val="16"/>
          <w:color w:val="auto"/>
        </w:rPr>
      </w:pPr>
    </w:p>
    <w:p>
      <w:pPr>
        <w:jc w:val="both"/>
        <w:ind w:left="1" w:right="3180" w:hanging="1"/>
        <w:spacing w:after="0" w:line="246" w:lineRule="auto"/>
        <w:tabs>
          <w:tab w:leader="none" w:pos="77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of controlling person of the Registrant in the successful defense of any action, suit or proceeding) is asserted by such director, officer of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41"/>
          </w:cols>
          <w:pgMar w:left="239" w:top="142" w:right="719" w:bottom="0" w:gutter="0" w:footer="0" w:header="0"/>
        </w:sectPr>
      </w:pPr>
    </w:p>
    <w:bookmarkStart w:id="3" w:name="page4"/>
    <w:bookmarkEnd w:id="3"/>
    <w:p>
      <w:pPr>
        <w:spacing w:after="0" w:line="59" w:lineRule="exact"/>
        <w:rPr>
          <w:sz w:val="20"/>
          <w:szCs w:val="20"/>
          <w:color w:val="auto"/>
        </w:rPr>
      </w:pPr>
    </w:p>
    <w:p>
      <w:pPr>
        <w:ind w:left="3401"/>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jc w:val="both"/>
        <w:ind w:left="1" w:right="3760" w:firstLine="872"/>
        <w:spacing w:after="0" w:line="24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Spokane, State of Washington, on the 6th day of June, 1977.</w:t>
      </w:r>
    </w:p>
    <w:p>
      <w:pPr>
        <w:spacing w:after="0" w:line="185" w:lineRule="exact"/>
        <w:rPr>
          <w:sz w:val="20"/>
          <w:szCs w:val="20"/>
          <w:color w:val="auto"/>
        </w:rPr>
      </w:pPr>
    </w:p>
    <w:p>
      <w:pPr>
        <w:ind w:left="3401"/>
        <w:spacing w:after="0"/>
        <w:rPr>
          <w:sz w:val="20"/>
          <w:szCs w:val="20"/>
          <w:color w:val="auto"/>
        </w:rPr>
      </w:pPr>
      <w:r>
        <w:rPr>
          <w:rFonts w:ascii="Courier New" w:cs="Courier New" w:eastAsia="Courier New" w:hAnsi="Courier New"/>
          <w:sz w:val="16"/>
          <w:szCs w:val="16"/>
          <w:color w:val="auto"/>
        </w:rPr>
        <w:t>ITRON, INC.</w:t>
      </w:r>
    </w:p>
    <w:p>
      <w:pPr>
        <w:spacing w:after="0" w:line="378" w:lineRule="exact"/>
        <w:rPr>
          <w:sz w:val="20"/>
          <w:szCs w:val="20"/>
          <w:color w:val="auto"/>
        </w:rPr>
      </w:pPr>
    </w:p>
    <w:p>
      <w:pPr>
        <w:ind w:left="3401"/>
        <w:spacing w:after="0"/>
        <w:rPr>
          <w:sz w:val="20"/>
          <w:szCs w:val="20"/>
          <w:color w:val="auto"/>
        </w:rPr>
      </w:pPr>
      <w:r>
        <w:rPr>
          <w:rFonts w:ascii="Courier New" w:cs="Courier New" w:eastAsia="Courier New" w:hAnsi="Courier New"/>
          <w:sz w:val="16"/>
          <w:szCs w:val="16"/>
          <w:color w:val="auto"/>
        </w:rPr>
        <w:t>/s/ David G. Remington</w:t>
      </w:r>
    </w:p>
    <w:p>
      <w:pPr>
        <w:spacing w:after="0" w:line="5" w:lineRule="exact"/>
        <w:rPr>
          <w:sz w:val="20"/>
          <w:szCs w:val="20"/>
          <w:color w:val="auto"/>
        </w:rPr>
      </w:pPr>
    </w:p>
    <w:p>
      <w:pPr>
        <w:ind w:left="3401"/>
        <w:spacing w:after="0"/>
        <w:tabs>
          <w:tab w:leader="none" w:pos="3860" w:val="left"/>
        </w:tabs>
        <w:rPr>
          <w:sz w:val="20"/>
          <w:szCs w:val="20"/>
          <w:color w:val="auto"/>
        </w:rPr>
      </w:pPr>
      <w:r>
        <w:rPr>
          <w:rFonts w:ascii="Courier New" w:cs="Courier New" w:eastAsia="Courier New" w:hAnsi="Courier New"/>
          <w:sz w:val="16"/>
          <w:szCs w:val="16"/>
          <w:color w:val="auto"/>
        </w:rPr>
        <w:t>By:</w:t>
        <w:tab/>
        <w:t>DAVID G. REMINGTONl Officer</w:t>
      </w:r>
    </w:p>
    <w:p>
      <w:pPr>
        <w:spacing w:after="0" w:line="5" w:lineRule="exact"/>
        <w:rPr>
          <w:sz w:val="20"/>
          <w:szCs w:val="20"/>
          <w:color w:val="auto"/>
        </w:rPr>
      </w:pPr>
    </w:p>
    <w:p>
      <w:pPr>
        <w:ind w:left="3401"/>
        <w:spacing w:after="0"/>
        <w:rPr>
          <w:sz w:val="20"/>
          <w:szCs w:val="20"/>
          <w:color w:val="auto"/>
        </w:rPr>
      </w:pPr>
      <w:r>
        <w:rPr>
          <w:rFonts w:ascii="Courier New" w:cs="Courier New" w:eastAsia="Courier New" w:hAnsi="Courier New"/>
          <w:sz w:val="16"/>
          <w:szCs w:val="16"/>
          <w:color w:val="auto"/>
        </w:rPr>
        <w:t>Chief Financial Officer</w:t>
      </w:r>
    </w:p>
    <w:p>
      <w:pPr>
        <w:spacing w:after="0" w:line="200" w:lineRule="exact"/>
        <w:rPr>
          <w:sz w:val="20"/>
          <w:szCs w:val="20"/>
          <w:color w:val="auto"/>
        </w:rPr>
      </w:pPr>
    </w:p>
    <w:p>
      <w:pPr>
        <w:spacing w:after="0" w:line="364" w:lineRule="exact"/>
        <w:rPr>
          <w:sz w:val="20"/>
          <w:szCs w:val="20"/>
          <w:color w:val="auto"/>
        </w:rPr>
      </w:pPr>
    </w:p>
    <w:p>
      <w:pPr>
        <w:ind w:left="3101"/>
        <w:spacing w:after="0"/>
        <w:rPr>
          <w:sz w:val="20"/>
          <w:szCs w:val="20"/>
          <w:color w:val="auto"/>
        </w:rPr>
      </w:pPr>
      <w:r>
        <w:rPr>
          <w:rFonts w:ascii="Courier New" w:cs="Courier New" w:eastAsia="Courier New" w:hAnsi="Courier New"/>
          <w:sz w:val="16"/>
          <w:szCs w:val="16"/>
          <w:color w:val="auto"/>
        </w:rPr>
        <w:t>POWER OF ATTORNEY</w:t>
      </w:r>
    </w:p>
    <w:p>
      <w:pPr>
        <w:spacing w:after="0" w:line="191" w:lineRule="exact"/>
        <w:rPr>
          <w:sz w:val="20"/>
          <w:szCs w:val="20"/>
          <w:color w:val="auto"/>
        </w:rPr>
      </w:pPr>
    </w:p>
    <w:p>
      <w:pPr>
        <w:jc w:val="both"/>
        <w:ind w:left="1" w:right="3760" w:firstLine="872"/>
        <w:spacing w:after="0" w:line="247" w:lineRule="auto"/>
        <w:rPr>
          <w:sz w:val="20"/>
          <w:szCs w:val="20"/>
          <w:color w:val="auto"/>
        </w:rPr>
      </w:pPr>
      <w:r>
        <w:rPr>
          <w:rFonts w:ascii="Courier New" w:cs="Courier New" w:eastAsia="Courier New" w:hAnsi="Courier New"/>
          <w:sz w:val="16"/>
          <w:szCs w:val="16"/>
          <w:color w:val="auto"/>
        </w:rPr>
        <w:t>Each person whose individual signature appears below hereby authorizes Johnny M. Humphreys and David G. Remington, or either of them, as attorneys-in-fact with full power of substitution, to execute in the name and on the behalf of each person, individually and in each capacity stated below, and to file, any and all amendments to this Registration Statement, including any and all post-effective amendments, and any amendment thereto.</w:t>
      </w:r>
    </w:p>
    <w:p>
      <w:pPr>
        <w:spacing w:after="0" w:line="185" w:lineRule="exact"/>
        <w:rPr>
          <w:sz w:val="20"/>
          <w:szCs w:val="20"/>
          <w:color w:val="auto"/>
        </w:rPr>
      </w:pPr>
    </w:p>
    <w:p>
      <w:pPr>
        <w:jc w:val="both"/>
        <w:ind w:left="1" w:right="3760" w:firstLine="872"/>
        <w:spacing w:after="0" w:line="24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indicated below on the 6th day of June, 1997</w:t>
      </w:r>
    </w:p>
    <w:p>
      <w:pPr>
        <w:sectPr>
          <w:pgSz w:w="11900" w:h="16897" w:orient="portrait"/>
          <w:cols w:equalWidth="0" w:num="1">
            <w:col w:w="11521"/>
          </w:cols>
          <w:pgMar w:left="239" w:top="1235"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421"/>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ectPr>
          <w:pgSz w:w="11900" w:h="16897" w:orient="portrait"/>
          <w:cols w:equalWidth="0" w:num="2">
            <w:col w:w="7221" w:space="720"/>
            <w:col w:w="3580"/>
          </w:cols>
          <w:pgMar w:left="239" w:top="1235" w:right="139" w:bottom="0" w:gutter="0" w:footer="0" w:header="0"/>
          <w:type w:val="continuous"/>
        </w:sectPr>
      </w:pPr>
    </w:p>
    <w:p>
      <w:pPr>
        <w:spacing w:after="0" w:line="364" w:lineRule="exact"/>
        <w:rPr>
          <w:sz w:val="20"/>
          <w:szCs w:val="20"/>
          <w:color w:val="auto"/>
        </w:rPr>
      </w:pPr>
    </w:p>
    <w:p>
      <w:pPr>
        <w:ind w:left="301"/>
        <w:spacing w:after="0"/>
        <w:rPr>
          <w:sz w:val="20"/>
          <w:szCs w:val="20"/>
          <w:color w:val="auto"/>
        </w:rPr>
      </w:pPr>
      <w:r>
        <w:rPr>
          <w:rFonts w:ascii="Courier New" w:cs="Courier New" w:eastAsia="Courier New" w:hAnsi="Courier New"/>
          <w:sz w:val="16"/>
          <w:szCs w:val="16"/>
          <w:color w:val="auto"/>
        </w:rPr>
        <w:t>/s/ Paul A. Redmond</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5" w:lineRule="exact"/>
        <w:rPr>
          <w:sz w:val="20"/>
          <w:szCs w:val="20"/>
          <w:color w:val="auto"/>
        </w:rPr>
      </w:pPr>
    </w:p>
    <w:p>
      <w:pPr>
        <w:sectPr>
          <w:pgSz w:w="11900" w:h="16897" w:orient="portrait"/>
          <w:cols w:equalWidth="0" w:num="2">
            <w:col w:w="6261" w:space="720"/>
            <w:col w:w="4540"/>
          </w:cols>
          <w:pgMar w:left="239" w:top="1235" w:right="139" w:bottom="0" w:gutter="0" w:footer="0" w:header="0"/>
          <w:type w:val="continuous"/>
        </w:sectPr>
      </w:pPr>
    </w:p>
    <w:p>
      <w:pPr>
        <w:ind w:left="201" w:hanging="201"/>
        <w:spacing w:after="0"/>
        <w:tabs>
          <w:tab w:leader="none" w:pos="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Paul A. Redmond</w:t>
      </w:r>
    </w:p>
    <w:p>
      <w:pPr>
        <w:sectPr>
          <w:pgSz w:w="11900" w:h="16897" w:orient="portrait"/>
          <w:cols w:equalWidth="0" w:num="1">
            <w:col w:w="11521"/>
          </w:cols>
          <w:pgMar w:left="239" w:top="1235" w:right="139" w:bottom="0" w:gutter="0" w:footer="0" w:header="0"/>
          <w:type w:val="continuous"/>
        </w:sectPr>
      </w:pPr>
    </w:p>
    <w:p>
      <w:pPr>
        <w:spacing w:after="0" w:line="378" w:lineRule="exact"/>
        <w:rPr>
          <w:sz w:val="20"/>
          <w:szCs w:val="20"/>
          <w:color w:val="auto"/>
        </w:rPr>
      </w:pPr>
    </w:p>
    <w:p>
      <w:pPr>
        <w:ind w:left="301"/>
        <w:spacing w:after="0"/>
        <w:rPr>
          <w:sz w:val="20"/>
          <w:szCs w:val="20"/>
          <w:color w:val="auto"/>
        </w:rPr>
      </w:pPr>
      <w:r>
        <w:rPr>
          <w:rFonts w:ascii="Courier New" w:cs="Courier New" w:eastAsia="Courier New" w:hAnsi="Courier New"/>
          <w:sz w:val="16"/>
          <w:szCs w:val="16"/>
          <w:color w:val="auto"/>
        </w:rPr>
        <w:t>/s/ Johnny M. Humphreys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01"/>
        <w:spacing w:after="0"/>
        <w:rPr>
          <w:sz w:val="20"/>
          <w:szCs w:val="20"/>
          <w:color w:val="auto"/>
        </w:rPr>
      </w:pPr>
      <w:r>
        <w:rPr>
          <w:rFonts w:ascii="Courier New" w:cs="Courier New" w:eastAsia="Courier New" w:hAnsi="Courier New"/>
          <w:sz w:val="16"/>
          <w:szCs w:val="16"/>
          <w:color w:val="auto"/>
        </w:rPr>
        <w:t>Johnny M. Humphreys</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Chief Executive Officer and Director</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(Principal Executive Officer)</w:t>
      </w:r>
    </w:p>
    <w:p>
      <w:pPr>
        <w:spacing w:after="0" w:line="386" w:lineRule="exact"/>
        <w:rPr>
          <w:sz w:val="20"/>
          <w:szCs w:val="20"/>
          <w:color w:val="auto"/>
        </w:rPr>
      </w:pPr>
    </w:p>
    <w:p>
      <w:pPr>
        <w:sectPr>
          <w:pgSz w:w="11900" w:h="16897" w:orient="portrait"/>
          <w:cols w:equalWidth="0" w:num="2">
            <w:col w:w="6261" w:space="720"/>
            <w:col w:w="4540"/>
          </w:cols>
          <w:pgMar w:left="239" w:top="1235" w:right="139" w:bottom="0" w:gutter="0" w:footer="0" w:header="0"/>
          <w:type w:val="continuous"/>
        </w:sectPr>
      </w:pPr>
    </w:p>
    <w:p>
      <w:pPr>
        <w:spacing w:after="0" w:line="178" w:lineRule="exact"/>
        <w:rPr>
          <w:sz w:val="20"/>
          <w:szCs w:val="20"/>
          <w:color w:val="auto"/>
        </w:rPr>
      </w:pPr>
    </w:p>
    <w:p>
      <w:pPr>
        <w:ind w:left="301"/>
        <w:spacing w:after="0"/>
        <w:rPr>
          <w:sz w:val="20"/>
          <w:szCs w:val="20"/>
          <w:color w:val="auto"/>
        </w:rPr>
      </w:pPr>
      <w:r>
        <w:rPr>
          <w:rFonts w:ascii="Courier New" w:cs="Courier New" w:eastAsia="Courier New" w:hAnsi="Courier New"/>
          <w:sz w:val="16"/>
          <w:szCs w:val="16"/>
          <w:color w:val="auto"/>
        </w:rPr>
        <w:t>/s/ David G. Remington</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01"/>
        <w:spacing w:after="0"/>
        <w:rPr>
          <w:sz w:val="20"/>
          <w:szCs w:val="20"/>
          <w:color w:val="auto"/>
        </w:rPr>
      </w:pPr>
      <w:r>
        <w:rPr>
          <w:rFonts w:ascii="Courier New" w:cs="Courier New" w:eastAsia="Courier New" w:hAnsi="Courier New"/>
          <w:sz w:val="16"/>
          <w:szCs w:val="16"/>
          <w:color w:val="auto"/>
        </w:rPr>
        <w:t>David G. Remington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 (Principal Financial</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and Accounting Officer)</w:t>
      </w:r>
    </w:p>
    <w:p>
      <w:pPr>
        <w:spacing w:after="0" w:line="386" w:lineRule="exact"/>
        <w:rPr>
          <w:sz w:val="20"/>
          <w:szCs w:val="20"/>
          <w:color w:val="auto"/>
        </w:rPr>
      </w:pPr>
    </w:p>
    <w:p>
      <w:pPr>
        <w:sectPr>
          <w:pgSz w:w="11900" w:h="16897" w:orient="portrait"/>
          <w:cols w:equalWidth="0" w:num="2">
            <w:col w:w="6261" w:space="720"/>
            <w:col w:w="4540"/>
          </w:cols>
          <w:pgMar w:left="239" w:top="1235" w:right="139" w:bottom="0" w:gutter="0" w:footer="0" w:header="0"/>
          <w:type w:val="continuous"/>
        </w:sectPr>
      </w:pPr>
    </w:p>
    <w:p>
      <w:pPr>
        <w:spacing w:after="0" w:line="178" w:lineRule="exact"/>
        <w:rPr>
          <w:sz w:val="20"/>
          <w:szCs w:val="20"/>
          <w:color w:val="auto"/>
        </w:rPr>
      </w:pPr>
    </w:p>
    <w:p>
      <w:pPr>
        <w:ind w:left="301"/>
        <w:spacing w:after="0"/>
        <w:rPr>
          <w:sz w:val="20"/>
          <w:szCs w:val="20"/>
          <w:color w:val="auto"/>
        </w:rPr>
      </w:pPr>
      <w:r>
        <w:rPr>
          <w:rFonts w:ascii="Courier New" w:cs="Courier New" w:eastAsia="Courier New" w:hAnsi="Courier New"/>
          <w:sz w:val="15"/>
          <w:szCs w:val="15"/>
          <w:color w:val="auto"/>
        </w:rPr>
        <w:t>/s/ Michael B. Bracy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5" w:lineRule="exact"/>
        <w:rPr>
          <w:sz w:val="20"/>
          <w:szCs w:val="20"/>
          <w:color w:val="auto"/>
        </w:rPr>
      </w:pPr>
    </w:p>
    <w:p>
      <w:pPr>
        <w:sectPr>
          <w:pgSz w:w="11900" w:h="16897" w:orient="portrait"/>
          <w:cols w:equalWidth="0" w:num="2">
            <w:col w:w="6261" w:space="720"/>
            <w:col w:w="4540"/>
          </w:cols>
          <w:pgMar w:left="239" w:top="1235" w:right="139" w:bottom="0" w:gutter="0" w:footer="0" w:header="0"/>
          <w:type w:val="continuous"/>
        </w:sectPr>
      </w:pPr>
    </w:p>
    <w:p>
      <w:pPr>
        <w:ind w:left="201" w:hanging="201"/>
        <w:spacing w:after="0"/>
        <w:tabs>
          <w:tab w:leader="none" w:pos="20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Michael B. Bracy</w:t>
      </w:r>
    </w:p>
    <w:p>
      <w:pPr>
        <w:spacing w:after="0" w:line="378" w:lineRule="exact"/>
        <w:rPr>
          <w:sz w:val="20"/>
          <w:szCs w:val="20"/>
          <w:color w:val="auto"/>
        </w:rPr>
      </w:pPr>
    </w:p>
    <w:p>
      <w:pPr>
        <w:ind w:left="301"/>
        <w:spacing w:after="0"/>
        <w:tabs>
          <w:tab w:leader="none" w:pos="6960" w:val="left"/>
        </w:tabs>
        <w:rPr>
          <w:sz w:val="20"/>
          <w:szCs w:val="20"/>
          <w:color w:val="auto"/>
        </w:rPr>
      </w:pPr>
      <w:r>
        <w:rPr>
          <w:rFonts w:ascii="Courier New" w:cs="Courier New" w:eastAsia="Courier New" w:hAnsi="Courier New"/>
          <w:sz w:val="16"/>
          <w:szCs w:val="16"/>
          <w:color w:val="auto"/>
        </w:rPr>
        <w:t>/s/ Ted C. DeMerritt</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Ted C. DeMerritt</w:t>
      </w:r>
    </w:p>
    <w:p>
      <w:pPr>
        <w:spacing w:after="0" w:line="378" w:lineRule="exact"/>
        <w:rPr>
          <w:sz w:val="20"/>
          <w:szCs w:val="20"/>
          <w:color w:val="auto"/>
        </w:rPr>
      </w:pPr>
    </w:p>
    <w:p>
      <w:pPr>
        <w:ind w:left="301"/>
        <w:spacing w:after="0"/>
        <w:tabs>
          <w:tab w:leader="none" w:pos="6960" w:val="left"/>
        </w:tabs>
        <w:rPr>
          <w:sz w:val="20"/>
          <w:szCs w:val="20"/>
          <w:color w:val="auto"/>
        </w:rPr>
      </w:pPr>
      <w:r>
        <w:rPr>
          <w:rFonts w:ascii="Courier New" w:cs="Courier New" w:eastAsia="Courier New" w:hAnsi="Courier New"/>
          <w:sz w:val="16"/>
          <w:szCs w:val="16"/>
          <w:color w:val="auto"/>
        </w:rPr>
        <w:t>/s/ Jon E. Eliassen</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Jon E. Eliassen</w:t>
      </w:r>
    </w:p>
    <w:p>
      <w:pPr>
        <w:spacing w:after="0" w:line="378" w:lineRule="exact"/>
        <w:rPr>
          <w:sz w:val="20"/>
          <w:szCs w:val="20"/>
          <w:color w:val="auto"/>
        </w:rPr>
      </w:pPr>
    </w:p>
    <w:p>
      <w:pPr>
        <w:ind w:left="301"/>
        <w:spacing w:after="0"/>
        <w:tabs>
          <w:tab w:leader="none" w:pos="6960" w:val="left"/>
        </w:tabs>
        <w:rPr>
          <w:sz w:val="20"/>
          <w:szCs w:val="20"/>
          <w:color w:val="auto"/>
        </w:rPr>
      </w:pPr>
      <w:r>
        <w:rPr>
          <w:rFonts w:ascii="Courier New" w:cs="Courier New" w:eastAsia="Courier New" w:hAnsi="Courier New"/>
          <w:sz w:val="16"/>
          <w:szCs w:val="16"/>
          <w:color w:val="auto"/>
        </w:rPr>
        <w:t>/s/ Mary Ann Peters</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Mary Ann Peters</w:t>
      </w:r>
    </w:p>
    <w:p>
      <w:pPr>
        <w:spacing w:after="0" w:line="378" w:lineRule="exact"/>
        <w:rPr>
          <w:sz w:val="20"/>
          <w:szCs w:val="20"/>
          <w:color w:val="auto"/>
        </w:rPr>
      </w:pPr>
    </w:p>
    <w:p>
      <w:pPr>
        <w:ind w:left="301"/>
        <w:spacing w:after="0"/>
        <w:tabs>
          <w:tab w:leader="none" w:pos="6960" w:val="left"/>
        </w:tabs>
        <w:rPr>
          <w:sz w:val="20"/>
          <w:szCs w:val="20"/>
          <w:color w:val="auto"/>
        </w:rPr>
      </w:pPr>
      <w:r>
        <w:rPr>
          <w:rFonts w:ascii="Courier New" w:cs="Courier New" w:eastAsia="Courier New" w:hAnsi="Courier New"/>
          <w:sz w:val="16"/>
          <w:szCs w:val="16"/>
          <w:color w:val="auto"/>
        </w:rPr>
        <w:t>/s/ Stuart Edward White</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Stuart Edward White</w:t>
      </w:r>
    </w:p>
    <w:p>
      <w:pPr>
        <w:spacing w:after="0" w:line="378" w:lineRule="exact"/>
        <w:rPr>
          <w:sz w:val="20"/>
          <w:szCs w:val="20"/>
          <w:color w:val="auto"/>
        </w:rPr>
      </w:pPr>
    </w:p>
    <w:p>
      <w:pPr>
        <w:ind w:left="301"/>
        <w:spacing w:after="0"/>
        <w:tabs>
          <w:tab w:leader="none" w:pos="6960" w:val="left"/>
        </w:tabs>
        <w:rPr>
          <w:sz w:val="20"/>
          <w:szCs w:val="20"/>
          <w:color w:val="auto"/>
        </w:rPr>
      </w:pPr>
      <w:r>
        <w:rPr>
          <w:rFonts w:ascii="Courier New" w:cs="Courier New" w:eastAsia="Courier New" w:hAnsi="Courier New"/>
          <w:sz w:val="16"/>
          <w:szCs w:val="16"/>
          <w:color w:val="auto"/>
        </w:rPr>
        <w:t>/s/ Graham M. Wilson</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Graham M. Wilson</w:t>
      </w:r>
    </w:p>
    <w:p>
      <w:pPr>
        <w:sectPr>
          <w:pgSz w:w="11900" w:h="16897" w:orient="portrait"/>
          <w:cols w:equalWidth="0" w:num="1">
            <w:col w:w="11521"/>
          </w:cols>
          <w:pgMar w:left="239" w:top="1235" w:right="139" w:bottom="0" w:gutter="0" w:footer="0" w:header="0"/>
          <w:type w:val="continuous"/>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3"/>
        </w:trPr>
        <w:tc>
          <w:tcPr>
            <w:tcW w:w="2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0" w:type="dxa"/>
            <w:vAlign w:val="bottom"/>
          </w:tcPr>
          <w:p>
            <w:pPr>
              <w:ind w:left="40"/>
              <w:spacing w:after="0"/>
              <w:rPr>
                <w:sz w:val="20"/>
                <w:szCs w:val="20"/>
                <w:color w:val="auto"/>
              </w:rPr>
            </w:pPr>
            <w:r>
              <w:rPr>
                <w:rFonts w:ascii="Courier New" w:cs="Courier New" w:eastAsia="Courier New" w:hAnsi="Courier New"/>
                <w:sz w:val="16"/>
                <w:szCs w:val="16"/>
                <w:color w:val="auto"/>
              </w:rPr>
              <w:t>INDEX TO EXHIBITS</w:t>
            </w:r>
          </w:p>
        </w:tc>
        <w:tc>
          <w:tcPr>
            <w:tcW w:w="156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559"/>
        </w:trPr>
        <w:tc>
          <w:tcPr>
            <w:tcW w:w="238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Exhibit Number</w:t>
            </w:r>
          </w:p>
        </w:tc>
        <w:tc>
          <w:tcPr>
            <w:tcW w:w="680" w:type="dxa"/>
            <w:vAlign w:val="bottom"/>
          </w:tcPr>
          <w:p>
            <w:pPr>
              <w:spacing w:after="0"/>
              <w:rPr>
                <w:sz w:val="24"/>
                <w:szCs w:val="24"/>
                <w:color w:val="auto"/>
              </w:rPr>
            </w:pPr>
          </w:p>
        </w:tc>
        <w:tc>
          <w:tcPr>
            <w:tcW w:w="4200" w:type="dxa"/>
            <w:vAlign w:val="bottom"/>
          </w:tcPr>
          <w:p>
            <w:pPr>
              <w:ind w:left="2940"/>
              <w:spacing w:after="0"/>
              <w:rPr>
                <w:sz w:val="20"/>
                <w:szCs w:val="20"/>
                <w:color w:val="auto"/>
              </w:rPr>
            </w:pPr>
            <w:r>
              <w:rPr>
                <w:rFonts w:ascii="Courier New" w:cs="Courier New" w:eastAsia="Courier New" w:hAnsi="Courier New"/>
                <w:sz w:val="16"/>
                <w:szCs w:val="16"/>
                <w:color w:val="auto"/>
              </w:rPr>
              <w:t>Description</w:t>
            </w:r>
          </w:p>
        </w:tc>
        <w:tc>
          <w:tcPr>
            <w:tcW w:w="15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86"/>
        </w:trPr>
        <w:tc>
          <w:tcPr>
            <w:tcW w:w="238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9"/>
              </w:rPr>
              <w:t>- ---------------------</w:t>
            </w:r>
          </w:p>
        </w:tc>
        <w:tc>
          <w:tcPr>
            <w:tcW w:w="8560" w:type="dxa"/>
            <w:vAlign w:val="bottom"/>
            <w:gridSpan w:val="4"/>
          </w:tcPr>
          <w:p>
            <w:pPr>
              <w:ind w:left="340"/>
              <w:spacing w:after="0"/>
              <w:rPr>
                <w:sz w:val="20"/>
                <w:szCs w:val="20"/>
                <w:color w:val="auto"/>
              </w:rPr>
            </w:pPr>
            <w:r>
              <w:rPr>
                <w:rFonts w:ascii="Courier New" w:cs="Courier New" w:eastAsia="Courier New" w:hAnsi="Courier New"/>
                <w:sz w:val="16"/>
                <w:szCs w:val="16"/>
                <w:color w:val="auto"/>
              </w:rPr>
              <w:t>-------------------------------------------------------------------------------------</w:t>
            </w:r>
          </w:p>
        </w:tc>
      </w:tr>
      <w:tr>
        <w:trPr>
          <w:trHeight w:val="373"/>
        </w:trPr>
        <w:tc>
          <w:tcPr>
            <w:tcW w:w="23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5.1</w:t>
            </w:r>
          </w:p>
        </w:tc>
        <w:tc>
          <w:tcPr>
            <w:tcW w:w="856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Opinion of Perkins Coie regarding legality of the Common Stock being registered</w:t>
            </w:r>
          </w:p>
        </w:tc>
      </w:tr>
      <w:tr>
        <w:trPr>
          <w:trHeight w:val="373"/>
        </w:trPr>
        <w:tc>
          <w:tcPr>
            <w:tcW w:w="23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23.1</w:t>
            </w:r>
          </w:p>
        </w:tc>
        <w:tc>
          <w:tcPr>
            <w:tcW w:w="4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Consent of Deloitte &amp; Touche LLP</w:t>
            </w:r>
          </w:p>
        </w:tc>
        <w:tc>
          <w:tcPr>
            <w:tcW w:w="15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73"/>
        </w:trPr>
        <w:tc>
          <w:tcPr>
            <w:tcW w:w="23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23.2</w:t>
            </w:r>
          </w:p>
        </w:tc>
        <w:tc>
          <w:tcPr>
            <w:tcW w:w="4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Consent of Perkins Coie (included in Exhibit 5.1)</w:t>
            </w:r>
          </w:p>
        </w:tc>
        <w:tc>
          <w:tcPr>
            <w:tcW w:w="15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73"/>
        </w:trPr>
        <w:tc>
          <w:tcPr>
            <w:tcW w:w="23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24.1</w:t>
            </w:r>
          </w:p>
        </w:tc>
        <w:tc>
          <w:tcPr>
            <w:tcW w:w="680" w:type="dxa"/>
            <w:vAlign w:val="bottom"/>
          </w:tcPr>
          <w:p>
            <w:pPr>
              <w:ind w:left="140"/>
              <w:spacing w:after="0"/>
              <w:rPr>
                <w:sz w:val="20"/>
                <w:szCs w:val="20"/>
                <w:color w:val="auto"/>
              </w:rPr>
            </w:pPr>
            <w:r>
              <w:rPr>
                <w:rFonts w:ascii="Courier New" w:cs="Courier New" w:eastAsia="Courier New" w:hAnsi="Courier New"/>
                <w:sz w:val="16"/>
                <w:szCs w:val="16"/>
                <w:color w:val="auto"/>
              </w:rPr>
              <w:t>Power</w:t>
            </w:r>
          </w:p>
        </w:tc>
        <w:tc>
          <w:tcPr>
            <w:tcW w:w="4200" w:type="dxa"/>
            <w:vAlign w:val="bottom"/>
          </w:tcPr>
          <w:p>
            <w:pPr>
              <w:ind w:left="40"/>
              <w:spacing w:after="0"/>
              <w:rPr>
                <w:sz w:val="20"/>
                <w:szCs w:val="20"/>
                <w:color w:val="auto"/>
              </w:rPr>
            </w:pPr>
            <w:r>
              <w:rPr>
                <w:rFonts w:ascii="Courier New" w:cs="Courier New" w:eastAsia="Courier New" w:hAnsi="Courier New"/>
                <w:sz w:val="16"/>
                <w:szCs w:val="16"/>
                <w:color w:val="auto"/>
              </w:rPr>
              <w:t>of Attorney (see Signature Page)</w:t>
            </w:r>
          </w:p>
        </w:tc>
        <w:tc>
          <w:tcPr>
            <w:tcW w:w="15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73"/>
        </w:trPr>
        <w:tc>
          <w:tcPr>
            <w:tcW w:w="23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99.1</w:t>
            </w:r>
          </w:p>
        </w:tc>
        <w:tc>
          <w:tcPr>
            <w:tcW w:w="680" w:type="dxa"/>
            <w:vAlign w:val="bottom"/>
          </w:tcPr>
          <w:p>
            <w:pPr>
              <w:ind w:left="140"/>
              <w:spacing w:after="0"/>
              <w:rPr>
                <w:sz w:val="20"/>
                <w:szCs w:val="20"/>
                <w:color w:val="auto"/>
              </w:rPr>
            </w:pPr>
            <w:r>
              <w:rPr>
                <w:rFonts w:ascii="Courier New" w:cs="Courier New" w:eastAsia="Courier New" w:hAnsi="Courier New"/>
                <w:sz w:val="16"/>
                <w:szCs w:val="16"/>
                <w:color w:val="auto"/>
              </w:rPr>
              <w:t>1989</w:t>
            </w:r>
          </w:p>
        </w:tc>
        <w:tc>
          <w:tcPr>
            <w:tcW w:w="4200" w:type="dxa"/>
            <w:vAlign w:val="bottom"/>
          </w:tcPr>
          <w:p>
            <w:pPr>
              <w:ind w:left="40"/>
              <w:spacing w:after="0"/>
              <w:rPr>
                <w:sz w:val="20"/>
                <w:szCs w:val="20"/>
                <w:color w:val="auto"/>
              </w:rPr>
            </w:pPr>
            <w:r>
              <w:rPr>
                <w:rFonts w:ascii="Courier New" w:cs="Courier New" w:eastAsia="Courier New" w:hAnsi="Courier New"/>
                <w:sz w:val="16"/>
                <w:szCs w:val="16"/>
                <w:color w:val="auto"/>
              </w:rPr>
              <w:t>Restated  Stock Option Plan  (incorporated</w:t>
            </w:r>
          </w:p>
        </w:tc>
        <w:tc>
          <w:tcPr>
            <w:tcW w:w="1560" w:type="dxa"/>
            <w:vAlign w:val="bottom"/>
          </w:tcPr>
          <w:p>
            <w:pPr>
              <w:ind w:left="100"/>
              <w:spacing w:after="0"/>
              <w:rPr>
                <w:sz w:val="20"/>
                <w:szCs w:val="20"/>
                <w:color w:val="auto"/>
              </w:rPr>
            </w:pPr>
            <w:r>
              <w:rPr>
                <w:rFonts w:ascii="Courier New" w:cs="Courier New" w:eastAsia="Courier New" w:hAnsi="Courier New"/>
                <w:sz w:val="16"/>
                <w:szCs w:val="16"/>
                <w:color w:val="auto"/>
                <w:w w:val="99"/>
              </w:rPr>
              <w:t>by reference to</w:t>
            </w:r>
          </w:p>
        </w:tc>
        <w:tc>
          <w:tcPr>
            <w:tcW w:w="21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Appendix A to the</w:t>
            </w:r>
          </w:p>
        </w:tc>
      </w:tr>
      <w:tr>
        <w:trPr>
          <w:trHeight w:val="186"/>
        </w:trPr>
        <w:tc>
          <w:tcPr>
            <w:tcW w:w="2380" w:type="dxa"/>
            <w:vAlign w:val="bottom"/>
          </w:tcPr>
          <w:p>
            <w:pPr>
              <w:spacing w:after="0"/>
              <w:rPr>
                <w:sz w:val="16"/>
                <w:szCs w:val="16"/>
                <w:color w:val="auto"/>
              </w:rPr>
            </w:pPr>
          </w:p>
        </w:tc>
        <w:tc>
          <w:tcPr>
            <w:tcW w:w="4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Registrant's  Proxy  Statement  dated  April 4,</w:t>
            </w:r>
          </w:p>
        </w:tc>
        <w:tc>
          <w:tcPr>
            <w:tcW w:w="1560" w:type="dxa"/>
            <w:vAlign w:val="bottom"/>
          </w:tcPr>
          <w:p>
            <w:pPr>
              <w:spacing w:after="0"/>
              <w:rPr>
                <w:sz w:val="20"/>
                <w:szCs w:val="20"/>
                <w:color w:val="auto"/>
              </w:rPr>
            </w:pPr>
            <w:r>
              <w:rPr>
                <w:rFonts w:ascii="Courier New" w:cs="Courier New" w:eastAsia="Courier New" w:hAnsi="Courier New"/>
                <w:sz w:val="16"/>
                <w:szCs w:val="16"/>
                <w:color w:val="auto"/>
              </w:rPr>
              <w:t>1997  relating</w:t>
            </w:r>
          </w:p>
        </w:tc>
        <w:tc>
          <w:tcPr>
            <w:tcW w:w="212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9"/>
              </w:rPr>
              <w:t>to its 1997  annual</w:t>
            </w:r>
          </w:p>
        </w:tc>
      </w:tr>
      <w:tr>
        <w:trPr>
          <w:trHeight w:val="186"/>
        </w:trPr>
        <w:tc>
          <w:tcPr>
            <w:tcW w:w="2380" w:type="dxa"/>
            <w:vAlign w:val="bottom"/>
          </w:tcPr>
          <w:p>
            <w:pPr>
              <w:spacing w:after="0"/>
              <w:rPr>
                <w:sz w:val="16"/>
                <w:szCs w:val="16"/>
                <w:color w:val="auto"/>
              </w:rPr>
            </w:pPr>
          </w:p>
        </w:tc>
        <w:tc>
          <w:tcPr>
            <w:tcW w:w="48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shareholders meeting)</w:t>
            </w:r>
          </w:p>
        </w:tc>
        <w:tc>
          <w:tcPr>
            <w:tcW w:w="1560" w:type="dxa"/>
            <w:vAlign w:val="bottom"/>
          </w:tcPr>
          <w:p>
            <w:pPr>
              <w:spacing w:after="0"/>
              <w:rPr>
                <w:sz w:val="16"/>
                <w:szCs w:val="16"/>
                <w:color w:val="auto"/>
              </w:rPr>
            </w:pPr>
          </w:p>
        </w:tc>
        <w:tc>
          <w:tcPr>
            <w:tcW w:w="2120" w:type="dxa"/>
            <w:vAlign w:val="bottom"/>
          </w:tcPr>
          <w:p>
            <w:pPr>
              <w:spacing w:after="0"/>
              <w:rPr>
                <w:sz w:val="16"/>
                <w:szCs w:val="16"/>
                <w:color w:val="auto"/>
              </w:rPr>
            </w:pPr>
          </w:p>
        </w:tc>
      </w:tr>
    </w:tbl>
    <w:p>
      <w:pPr>
        <w:sectPr>
          <w:pgSz w:w="11900" w:h="16838" w:orient="portrait"/>
          <w:cols w:equalWidth="0" w:num="1">
            <w:col w:w="10940"/>
          </w:cols>
          <w:pgMar w:left="240" w:top="1049" w:right="719" w:bottom="1440" w:gutter="0" w:footer="0" w:header="0"/>
        </w:sectPr>
      </w:pPr>
    </w:p>
    <w:bookmarkStart w:id="6" w:name="page7"/>
    <w:bookmarkEnd w:id="6"/>
    <w:p>
      <w:pPr>
        <w:jc w:val="right"/>
        <w:ind w:right="2459"/>
        <w:spacing w:after="0"/>
        <w:rPr>
          <w:sz w:val="20"/>
          <w:szCs w:val="20"/>
          <w:color w:val="auto"/>
        </w:rPr>
      </w:pPr>
      <w:r>
        <w:rPr>
          <w:rFonts w:ascii="Courier New" w:cs="Courier New" w:eastAsia="Courier New" w:hAnsi="Courier New"/>
          <w:sz w:val="16"/>
          <w:szCs w:val="16"/>
          <w:color w:val="auto"/>
        </w:rPr>
        <w:t>Exhibit 5.1</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[Perkins Coie Letterhead]</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June 6, 1997</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Itron,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 Box 15288</w:t>
      </w:r>
    </w:p>
    <w:p>
      <w:pPr>
        <w:spacing w:after="0" w:line="5"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6"/>
          <w:szCs w:val="16"/>
          <w:color w:val="auto"/>
        </w:rPr>
        <w:t>Spokane, Washington</w:t>
        <w:tab/>
        <w:t>99215</w:t>
      </w:r>
    </w:p>
    <w:p>
      <w:pPr>
        <w:spacing w:after="0" w:line="191" w:lineRule="exact"/>
        <w:rPr>
          <w:sz w:val="20"/>
          <w:szCs w:val="20"/>
          <w:color w:val="auto"/>
        </w:rPr>
      </w:pPr>
    </w:p>
    <w:p>
      <w:pPr>
        <w:ind w:left="880"/>
        <w:spacing w:after="0"/>
        <w:tabs>
          <w:tab w:leader="none" w:pos="1720" w:val="left"/>
        </w:tabs>
        <w:rPr>
          <w:sz w:val="20"/>
          <w:szCs w:val="20"/>
          <w:color w:val="auto"/>
        </w:rPr>
      </w:pPr>
      <w:r>
        <w:rPr>
          <w:rFonts w:ascii="Courier New" w:cs="Courier New" w:eastAsia="Courier New" w:hAnsi="Courier New"/>
          <w:sz w:val="16"/>
          <w:szCs w:val="16"/>
          <w:color w:val="auto"/>
        </w:rPr>
        <w:t>Re:</w:t>
      </w:r>
      <w:r>
        <w:rPr>
          <w:sz w:val="20"/>
          <w:szCs w:val="20"/>
          <w:color w:val="auto"/>
        </w:rPr>
        <w:tab/>
      </w:r>
      <w:r>
        <w:rPr>
          <w:rFonts w:ascii="Courier New" w:cs="Courier New" w:eastAsia="Courier New" w:hAnsi="Courier New"/>
          <w:sz w:val="16"/>
          <w:szCs w:val="16"/>
          <w:color w:val="auto"/>
        </w:rPr>
        <w:t>Registration Statement On Form S-8</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Gentlemen and Ladies:</w:t>
      </w:r>
    </w:p>
    <w:p>
      <w:pPr>
        <w:spacing w:after="0" w:line="191" w:lineRule="exact"/>
        <w:rPr>
          <w:sz w:val="20"/>
          <w:szCs w:val="20"/>
          <w:color w:val="auto"/>
        </w:rPr>
      </w:pPr>
    </w:p>
    <w:p>
      <w:pPr>
        <w:jc w:val="both"/>
        <w:ind w:right="2459" w:firstLine="872"/>
        <w:spacing w:after="0" w:line="246" w:lineRule="auto"/>
        <w:rPr>
          <w:sz w:val="20"/>
          <w:szCs w:val="20"/>
          <w:color w:val="auto"/>
        </w:rPr>
      </w:pPr>
      <w:r>
        <w:rPr>
          <w:rFonts w:ascii="Courier New" w:cs="Courier New" w:eastAsia="Courier New" w:hAnsi="Courier New"/>
          <w:sz w:val="16"/>
          <w:szCs w:val="16"/>
          <w:color w:val="auto"/>
        </w:rPr>
        <w:t>We have acted as counsel to you in connection with the preparation of a Registration Statement on Form S-8 (the "Registration Statement") under the Securities Act of 1933, as amended (the "Act"), which you are filing with the Securities and Exchange Commission with respect to an additional 1,800,000 shares of Common Stock, no par value per share (the "Additional Shares"), which may be issued under the Itron, Inc. 1989 Restated Stock Option Plan (the "Plan"). We have examined the Registration Statement and such documents and records of the Company and other documents as we have deemed necessary for the purpose of this opinion.</w:t>
      </w:r>
    </w:p>
    <w:p>
      <w:pPr>
        <w:spacing w:after="0" w:line="191" w:lineRule="exact"/>
        <w:rPr>
          <w:sz w:val="20"/>
          <w:szCs w:val="20"/>
          <w:color w:val="auto"/>
        </w:rPr>
      </w:pPr>
    </w:p>
    <w:p>
      <w:pPr>
        <w:jc w:val="both"/>
        <w:ind w:right="2459" w:firstLine="872"/>
        <w:spacing w:after="0" w:line="246" w:lineRule="auto"/>
        <w:rPr>
          <w:sz w:val="20"/>
          <w:szCs w:val="20"/>
          <w:color w:val="auto"/>
        </w:rPr>
      </w:pPr>
      <w:r>
        <w:rPr>
          <w:rFonts w:ascii="Courier New" w:cs="Courier New" w:eastAsia="Courier New" w:hAnsi="Courier New"/>
          <w:sz w:val="16"/>
          <w:szCs w:val="16"/>
          <w:color w:val="auto"/>
        </w:rPr>
        <w:t>Based upon and subject to the foregoing, we are of the opinion that the Additional Shares that may be issued upon the exercise of stock options granted or to be granted pursuant to the Plan have been duly authorized and that, upon the due execution by the Company and the registration by its registrars of the Additional Shares and the sale thereof by the Company in accordance with the terms of the Plan, and the receipt of the consideration therefor in accordance with the terms of the Plan, the Additional Shares will be validly issued, fully paid and nonassessable.</w:t>
      </w:r>
    </w:p>
    <w:p>
      <w:pPr>
        <w:spacing w:after="0" w:line="191" w:lineRule="exact"/>
        <w:rPr>
          <w:sz w:val="20"/>
          <w:szCs w:val="20"/>
          <w:color w:val="auto"/>
        </w:rPr>
      </w:pPr>
    </w:p>
    <w:p>
      <w:pPr>
        <w:jc w:val="both"/>
        <w:ind w:right="2459" w:firstLine="872"/>
        <w:spacing w:after="0" w:line="247" w:lineRule="auto"/>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 In giving such consent, we do not admit that we are in the category of persons whose consent is required under Section 7 of the Act.</w:t>
      </w:r>
    </w:p>
    <w:p>
      <w:pPr>
        <w:spacing w:after="0" w:line="186"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Very truly yours,</w:t>
      </w:r>
    </w:p>
    <w:p>
      <w:pPr>
        <w:spacing w:after="0" w:line="191"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PERKINS COIE</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:syh</w:t>
      </w:r>
    </w:p>
    <w:p>
      <w:pPr>
        <w:sectPr>
          <w:pgSz w:w="11900" w:h="16838" w:orient="portrait"/>
          <w:cols w:equalWidth="0" w:num="1">
            <w:col w:w="10219"/>
          </w:cols>
          <w:pgMar w:left="240" w:top="142" w:right="1440" w:bottom="1440" w:gutter="0" w:footer="0" w:header="0"/>
        </w:sectPr>
      </w:pPr>
    </w:p>
    <w:bookmarkStart w:id="7" w:name="page8"/>
    <w:bookmarkEnd w:id="7"/>
    <w:p>
      <w:pPr>
        <w:jc w:val="right"/>
        <w:ind w:right="2459"/>
        <w:spacing w:after="0"/>
        <w:rPr>
          <w:sz w:val="20"/>
          <w:szCs w:val="20"/>
          <w:color w:val="auto"/>
        </w:rPr>
      </w:pPr>
      <w:r>
        <w:rPr>
          <w:rFonts w:ascii="Courier New" w:cs="Courier New" w:eastAsia="Courier New" w:hAnsi="Courier New"/>
          <w:sz w:val="16"/>
          <w:szCs w:val="16"/>
          <w:color w:val="auto"/>
        </w:rPr>
        <w:t>Exhibit 23.1</w:t>
      </w:r>
    </w:p>
    <w:p>
      <w:pPr>
        <w:spacing w:after="0" w:line="378"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INDEPENDENT AUDITORS' CONSENT</w:t>
      </w:r>
    </w:p>
    <w:p>
      <w:pPr>
        <w:spacing w:after="0" w:line="191" w:lineRule="exact"/>
        <w:rPr>
          <w:sz w:val="20"/>
          <w:szCs w:val="20"/>
          <w:color w:val="auto"/>
        </w:rPr>
      </w:pPr>
    </w:p>
    <w:p>
      <w:pPr>
        <w:jc w:val="both"/>
        <w:ind w:right="2459" w:firstLine="969"/>
        <w:spacing w:after="0" w:line="247" w:lineRule="auto"/>
        <w:rPr>
          <w:sz w:val="20"/>
          <w:szCs w:val="20"/>
          <w:color w:val="auto"/>
        </w:rPr>
      </w:pPr>
      <w:r>
        <w:rPr>
          <w:rFonts w:ascii="Courier New" w:cs="Courier New" w:eastAsia="Courier New" w:hAnsi="Courier New"/>
          <w:sz w:val="16"/>
          <w:szCs w:val="16"/>
          <w:color w:val="auto"/>
        </w:rPr>
        <w:t>We consent to the incorporation by reference in Itron, Inc.'s Registration Statement on Form S-8 of our report dated February 7, 1997, appearing in the Annual Report on Form 10-K of Itron, Inc. for the year ended December 31, 1996.</w:t>
      </w:r>
    </w:p>
    <w:p>
      <w:pPr>
        <w:spacing w:after="0" w:line="18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DELOITTE &amp; TOUCHE LLP</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Seattle, Washington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1997</w:t>
      </w:r>
    </w:p>
    <w:sectPr>
      <w:pgSz w:w="11900" w:h="16838" w:orient="portrait"/>
      <w:cols w:equalWidth="0" w:num="1">
        <w:col w:w="10219"/>
      </w:cols>
      <w:pgMar w:left="240" w:top="3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206"/>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5">
    <w:nsid w:val="4DB127F8"/>
    <w:multiLevelType w:val="hybridMultilevel"/>
    <w:lvl w:ilvl="0">
      <w:lvlJc w:val="left"/>
      <w:lvlText w:val="%1"/>
      <w:numFmt w:val="upperLetter"/>
      <w:start w:val="1"/>
    </w:lvl>
    <w:lvl w:ilvl="1">
      <w:lvlJc w:val="left"/>
      <w:lvlText w:val="(%2)"/>
      <w:numFmt w:val="decimal"/>
      <w:start w:val="2"/>
    </w:lvl>
  </w:abstractNum>
  <w:abstractNum w:abstractNumId="6">
    <w:nsid w:val="216231B"/>
    <w:multiLevelType w:val="hybridMultilevel"/>
    <w:lvl w:ilvl="0">
      <w:lvlJc w:val="left"/>
      <w:lvlText w:val="%1."/>
      <w:numFmt w:val="upperLetter"/>
      <w:start w:val="2"/>
    </w:lvl>
    <w:lvl w:ilvl="1">
      <w:lvlJc w:val="left"/>
      <w:lvlText w:val="%2"/>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2019-12-13T15:42:41Z</dcterms:created>
  <dcterms:modified xsi:type="dcterms:W3CDTF">2019-12-13T15:42:41Z</dcterms:modified>
</cp:coreProperties>
</file>