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23,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333-166601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333-181685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333-193970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333-143048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333-195633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333-218086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333-226020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 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line="230" w:lineRule="auto"/>
        <w:rPr>
          <w:sz w:val="20"/>
          <w:szCs w:val="20"/>
          <w:color w:val="auto"/>
        </w:rPr>
      </w:pPr>
      <w:r>
        <w:rPr>
          <w:rFonts w:ascii="Arial" w:cs="Arial" w:eastAsia="Arial" w:hAnsi="Arial"/>
          <w:sz w:val="22"/>
          <w:szCs w:val="22"/>
          <w:b w:val="1"/>
          <w:bCs w:val="1"/>
          <w:i w:val="1"/>
          <w:iCs w:val="1"/>
          <w:color w:val="auto"/>
        </w:rPr>
        <w:t>REGISTRATION STATEMENT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89"/>
              </w:rPr>
              <w:t>Washington</w:t>
            </w:r>
          </w:p>
        </w:tc>
        <w:tc>
          <w:tcPr>
            <w:tcW w:w="316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91-1011792</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 SECOND AMENDED AND RESTATED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2010 STOCK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 2012 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0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00" w:type="dxa"/>
            <w:vAlign w:val="bottom"/>
          </w:tcPr>
          <w:p>
            <w:pPr>
              <w:ind w:left="310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Post-Effective Amendment No. 1 (the “Amendment”) incorporates by reference the contents of the Registration Statements on Form S-8 filed by Itron, Inc. (“Itron” or the “Registrant”) with the U.S. Securities and Exchange Commission on the following dates:</w:t>
      </w:r>
    </w:p>
    <w:p>
      <w:pPr>
        <w:spacing w:after="0" w:line="76" w:lineRule="exact"/>
        <w:rPr>
          <w:sz w:val="20"/>
          <w:szCs w:val="20"/>
          <w:color w:val="auto"/>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May 6, 2010 (File No. 333-166601)</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May 24, 2012 (File No. 333-181685)</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February 14, 2014 (File No. 333-193970)</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February 14, 2014 (File No. 333-143048)</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May 1, 2014 (File No. 333-195633)</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May 18, 2017 (File No. 333-218086)</w:t>
        </w:r>
      </w:hyperlink>
    </w:p>
    <w:p>
      <w:pPr>
        <w:spacing w:after="0" w:line="130" w:lineRule="exact"/>
        <w:rPr>
          <w:rFonts w:ascii="Arial" w:cs="Arial" w:eastAsia="Arial" w:hAnsi="Arial"/>
          <w:sz w:val="18"/>
          <w:szCs w:val="18"/>
          <w:u w:val="single" w:color="auto"/>
          <w:color w:val="0000EE"/>
        </w:rPr>
      </w:pPr>
    </w:p>
    <w:p>
      <w:pPr>
        <w:ind w:left="980" w:hanging="433"/>
        <w:spacing w:after="0"/>
        <w:tabs>
          <w:tab w:leader="none" w:pos="980" w:val="left"/>
        </w:tabs>
        <w:numPr>
          <w:ilvl w:val="0"/>
          <w:numId w:val="1"/>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June 29, 2018 (File No. 333-226020)</w:t>
        </w:r>
      </w:hyperlink>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each as amended from time to time (the “Registration Statements”).</w:t>
      </w:r>
    </w:p>
    <w:p>
      <w:pPr>
        <w:spacing w:after="0" w:line="225" w:lineRule="exact"/>
        <w:rPr>
          <w:rFonts w:ascii="Arial" w:cs="Arial" w:eastAsia="Arial" w:hAnsi="Arial"/>
          <w:sz w:val="18"/>
          <w:szCs w:val="18"/>
          <w:color w:val="auto"/>
        </w:rPr>
      </w:pPr>
    </w:p>
    <w:p>
      <w:pPr>
        <w:ind w:right="80" w:firstLine="440"/>
        <w:spacing w:after="0" w:line="311" w:lineRule="auto"/>
        <w:rPr>
          <w:sz w:val="20"/>
          <w:szCs w:val="20"/>
          <w:color w:val="auto"/>
        </w:rPr>
      </w:pPr>
      <w:r>
        <w:rPr>
          <w:rFonts w:ascii="Arial" w:cs="Arial" w:eastAsia="Arial" w:hAnsi="Arial"/>
          <w:sz w:val="16"/>
          <w:szCs w:val="16"/>
          <w:color w:val="auto"/>
        </w:rPr>
        <w:t>This Amendment incorporates by reference the contents of the Registration Statements and is being filed for the purpose of reallocating 500,000 shares of the Registrant’s common stock, no par value (the “Common Stock”) that were originally registered for issuance under the Registrant’s Second Amended and Restated 2010 Stock Incentive Plan (the “2010 Stock Incentive Plan”) to the 2012 Employee Stock Purchase Plan (“2012 ESPP”).</w:t>
      </w:r>
    </w:p>
    <w:p>
      <w:pPr>
        <w:spacing w:after="0" w:line="149" w:lineRule="exact"/>
        <w:rPr>
          <w:rFonts w:ascii="Arial" w:cs="Arial" w:eastAsia="Arial" w:hAnsi="Arial"/>
          <w:sz w:val="18"/>
          <w:szCs w:val="18"/>
          <w:color w:val="auto"/>
        </w:rPr>
      </w:pPr>
    </w:p>
    <w:p>
      <w:pPr>
        <w:ind w:right="40" w:firstLine="440"/>
        <w:spacing w:after="0" w:line="273" w:lineRule="auto"/>
        <w:rPr>
          <w:sz w:val="20"/>
          <w:szCs w:val="20"/>
          <w:color w:val="auto"/>
        </w:rPr>
      </w:pPr>
      <w:r>
        <w:rPr>
          <w:rFonts w:ascii="Arial" w:cs="Arial" w:eastAsia="Arial" w:hAnsi="Arial"/>
          <w:sz w:val="17"/>
          <w:szCs w:val="17"/>
          <w:color w:val="auto"/>
        </w:rPr>
        <w:t>On May 11, 2023, the shareholders of the Registrant approved the amendment of the 2012 ESPP to increase the number of shares available for issuance under the 2012 ESPP by 500,000 additional shares without seeking an increase to newly authorized shares. As of December 31, 2022, the Registrant had 58,633 shares available for purchase under the 2012 ESPP. The Registrant estimates the remaining shares will be insufficient to allow the Registrant to continue to offer the 2012 ESPP beyond the next offering period commencing on July 1, 2023. With this filing, the aggregate amount of shares of the Registrant’s Common Stock originally registered on the Registration Statements is hereby reallocated to the 2012 ESPP as shown, including shares previously issued or subject to existing awards:</w:t>
      </w:r>
    </w:p>
    <w:p>
      <w:pPr>
        <w:spacing w:after="0" w:line="197" w:lineRule="exact"/>
        <w:rPr>
          <w:rFonts w:ascii="Arial" w:cs="Arial" w:eastAsia="Arial" w:hAnsi="Arial"/>
          <w:sz w:val="18"/>
          <w:szCs w:val="18"/>
          <w:color w:val="auto"/>
        </w:rPr>
      </w:pPr>
    </w:p>
    <w:tbl>
      <w:tblPr>
        <w:tblLayout w:type="fixed"/>
        <w:tblInd w:w="1760" w:type="dxa"/>
        <w:tblCellMar>
          <w:top w:w="0" w:type="dxa"/>
          <w:left w:w="0" w:type="dxa"/>
          <w:bottom w:w="0" w:type="dxa"/>
          <w:right w:w="0" w:type="dxa"/>
        </w:tblCellMar>
      </w:tblPr>
      <w:tr>
        <w:trPr>
          <w:trHeight w:val="191"/>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Plan Name</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r>
      <w:tr>
        <w:trPr>
          <w:trHeight w:val="203"/>
        </w:trPr>
        <w:tc>
          <w:tcPr>
            <w:tcW w:w="6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Itron, Inc.</w:t>
            </w:r>
          </w:p>
        </w:tc>
        <w:tc>
          <w:tcPr>
            <w:tcW w:w="5920" w:type="dxa"/>
            <w:vAlign w:val="bottom"/>
            <w:tcBorders>
              <w:top w:val="single" w:sz="8" w:color="CCEEFF"/>
            </w:tcBorders>
            <w:shd w:val="clear" w:color="auto" w:fill="CCEEFF"/>
          </w:tcPr>
          <w:p>
            <w:pPr>
              <w:ind w:left="80"/>
              <w:spacing w:after="0" w:line="203" w:lineRule="exact"/>
              <w:rPr>
                <w:sz w:val="20"/>
                <w:szCs w:val="20"/>
                <w:color w:val="auto"/>
              </w:rPr>
            </w:pPr>
            <w:r>
              <w:rPr>
                <w:rFonts w:ascii="Arial" w:cs="Arial" w:eastAsia="Arial" w:hAnsi="Arial"/>
                <w:sz w:val="18"/>
                <w:szCs w:val="18"/>
                <w:color w:val="auto"/>
              </w:rPr>
              <w:t>Second Amended and Restated 2010 Stock Incentive Plan</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10,375,000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Itron, Inc. 2012 Employee Stock Purchase Plan</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1,125,000</w:t>
            </w:r>
          </w:p>
        </w:tc>
      </w:tr>
    </w:tbl>
    <w:p>
      <w:pPr>
        <w:spacing w:after="0" w:line="39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74"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7"/>
          <w:szCs w:val="17"/>
          <w:color w:val="auto"/>
        </w:rPr>
        <w:t>The following documents filed with the Commission by the Registrant are hereby incorporated by reference in this Registration Statement:</w:t>
      </w:r>
    </w:p>
    <w:p>
      <w:pPr>
        <w:spacing w:after="0" w:line="142" w:lineRule="exact"/>
        <w:rPr>
          <w:rFonts w:ascii="Arial" w:cs="Arial" w:eastAsia="Arial" w:hAnsi="Arial"/>
          <w:sz w:val="18"/>
          <w:szCs w:val="18"/>
          <w:color w:val="auto"/>
        </w:rPr>
      </w:pPr>
    </w:p>
    <w:p>
      <w:pPr>
        <w:ind w:left="980" w:right="80" w:hanging="433"/>
        <w:spacing w:after="0" w:line="286" w:lineRule="auto"/>
        <w:tabs>
          <w:tab w:leader="none" w:pos="980" w:val="left"/>
        </w:tabs>
        <w:numPr>
          <w:ilvl w:val="0"/>
          <w:numId w:val="2"/>
        </w:numPr>
        <w:rPr>
          <w:rFonts w:ascii="Arial" w:cs="Arial" w:eastAsia="Arial" w:hAnsi="Arial"/>
          <w:sz w:val="17"/>
          <w:szCs w:val="17"/>
          <w:color w:val="0000EE"/>
        </w:rPr>
      </w:pPr>
      <w:r>
        <w:rPr>
          <w:rFonts w:ascii="Arial" w:cs="Arial" w:eastAsia="Arial" w:hAnsi="Arial"/>
          <w:sz w:val="17"/>
          <w:szCs w:val="17"/>
          <w:color w:val="auto"/>
        </w:rPr>
        <w:t xml:space="preserve">The Registrant’s Annual Report on </w:t>
      </w:r>
      <w:hyperlink r:id="rId25">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2022, filed on February 27, 2023, which contains audited </w:t>
      </w:r>
      <w:hyperlink r:id="rId26">
        <w:r>
          <w:rPr>
            <w:rFonts w:ascii="Arial" w:cs="Arial" w:eastAsia="Arial" w:hAnsi="Arial"/>
            <w:sz w:val="17"/>
            <w:szCs w:val="17"/>
            <w:color w:val="auto"/>
          </w:rPr>
          <w:t xml:space="preserve">financial statements for the most recent fiscal year for which such statements have been filed (including those portions of our </w:t>
        </w:r>
        <w:r>
          <w:rPr>
            <w:rFonts w:ascii="Arial" w:cs="Arial" w:eastAsia="Arial" w:hAnsi="Arial"/>
            <w:sz w:val="17"/>
            <w:szCs w:val="17"/>
            <w:u w:val="single" w:color="auto"/>
            <w:color w:val="0000EE"/>
          </w:rPr>
          <w:t>Definitive</w:t>
        </w:r>
      </w:hyperlink>
      <w:r>
        <w:rPr>
          <w:rFonts w:ascii="Arial" w:cs="Arial" w:eastAsia="Arial" w:hAnsi="Arial"/>
          <w:sz w:val="17"/>
          <w:szCs w:val="17"/>
          <w:color w:val="auto"/>
        </w:rPr>
        <w:t xml:space="preserve"> </w:t>
      </w:r>
      <w:hyperlink r:id="rId26">
        <w:r>
          <w:rPr>
            <w:rFonts w:ascii="Arial" w:cs="Arial" w:eastAsia="Arial" w:hAnsi="Arial"/>
            <w:sz w:val="17"/>
            <w:szCs w:val="17"/>
            <w:u w:val="single" w:color="auto"/>
            <w:color w:val="0000EE"/>
          </w:rPr>
          <w:t>Proxy Statement</w:t>
        </w:r>
        <w:r>
          <w:rPr>
            <w:rFonts w:ascii="Arial" w:cs="Arial" w:eastAsia="Arial" w:hAnsi="Arial"/>
            <w:sz w:val="17"/>
            <w:szCs w:val="17"/>
            <w:color w:val="0000EE"/>
          </w:rPr>
          <w:t xml:space="preserve"> </w:t>
        </w:r>
        <w:r>
          <w:rPr>
            <w:rFonts w:ascii="Arial" w:cs="Arial" w:eastAsia="Arial" w:hAnsi="Arial"/>
            <w:sz w:val="17"/>
            <w:szCs w:val="17"/>
            <w:color w:val="000000"/>
          </w:rPr>
          <w:t>for the 2023 Annual Meeting of Shareholder that are incorporated by reference in our Form 10-K);</w:t>
        </w:r>
      </w:hyperlink>
    </w:p>
    <w:p>
      <w:pPr>
        <w:spacing w:after="0" w:line="70" w:lineRule="exact"/>
        <w:rPr>
          <w:rFonts w:ascii="Arial" w:cs="Arial" w:eastAsia="Arial" w:hAnsi="Arial"/>
          <w:sz w:val="17"/>
          <w:szCs w:val="17"/>
          <w:color w:val="0000EE"/>
        </w:rPr>
      </w:pPr>
    </w:p>
    <w:p>
      <w:pPr>
        <w:ind w:left="980" w:right="28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27">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2023, filed on May 4, 2023, which contain unaudited interim financial statements;</w:t>
      </w:r>
    </w:p>
    <w:p>
      <w:pPr>
        <w:sectPr>
          <w:pgSz w:w="11900" w:h="16838" w:orient="portrait"/>
          <w:cols w:equalWidth="0" w:num="1">
            <w:col w:w="11000"/>
          </w:cols>
          <w:pgMar w:left="440" w:top="486" w:right="459" w:bottom="1440" w:gutter="0" w:footer="0" w:header="0"/>
        </w:sectPr>
      </w:pPr>
    </w:p>
    <w:bookmarkStart w:id="2" w:name="page3"/>
    <w:bookmarkEnd w:id="2"/>
    <w:p>
      <w:pPr>
        <w:jc w:val="both"/>
        <w:ind w:left="980" w:right="160" w:hanging="433"/>
        <w:spacing w:after="0" w:line="26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The Registrant’s Current Reports on Form 8-K filed on </w:t>
      </w:r>
      <w:hyperlink r:id="rId29">
        <w:r>
          <w:rPr>
            <w:rFonts w:ascii="Arial" w:cs="Arial" w:eastAsia="Arial" w:hAnsi="Arial"/>
            <w:sz w:val="18"/>
            <w:szCs w:val="18"/>
            <w:u w:val="single" w:color="auto"/>
            <w:color w:val="0000EE"/>
          </w:rPr>
          <w:t>February 27, 2023</w:t>
        </w:r>
      </w:hyperlink>
      <w:r>
        <w:rPr>
          <w:rFonts w:ascii="Arial" w:cs="Arial" w:eastAsia="Arial" w:hAnsi="Arial"/>
          <w:sz w:val="18"/>
          <w:szCs w:val="18"/>
          <w:color w:val="auto"/>
        </w:rPr>
        <w:t xml:space="preserve">, and </w:t>
      </w:r>
      <w:hyperlink r:id="rId30">
        <w:r>
          <w:rPr>
            <w:rFonts w:ascii="Arial" w:cs="Arial" w:eastAsia="Arial" w:hAnsi="Arial"/>
            <w:sz w:val="18"/>
            <w:szCs w:val="18"/>
            <w:u w:val="single" w:color="auto"/>
            <w:color w:val="0000EE"/>
          </w:rPr>
          <w:t>April 17, 2023</w:t>
        </w:r>
      </w:hyperlink>
      <w:r>
        <w:rPr>
          <w:rFonts w:ascii="Arial" w:cs="Arial" w:eastAsia="Arial" w:hAnsi="Arial"/>
          <w:sz w:val="18"/>
          <w:szCs w:val="18"/>
          <w:color w:val="auto"/>
        </w:rPr>
        <w:t>, provided that any portions of such reports that are deemed furnished and not filed pursuant to instructions to Form 8-K shall not be incorporated by reference into this Registration Statement; and</w:t>
      </w:r>
    </w:p>
    <w:p>
      <w:pPr>
        <w:spacing w:after="0" w:line="89" w:lineRule="exact"/>
        <w:rPr>
          <w:rFonts w:ascii="Arial" w:cs="Arial" w:eastAsia="Arial" w:hAnsi="Arial"/>
          <w:sz w:val="18"/>
          <w:szCs w:val="18"/>
          <w:color w:val="auto"/>
        </w:rPr>
      </w:pPr>
    </w:p>
    <w:p>
      <w:pPr>
        <w:ind w:left="98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as set forth as </w:t>
      </w:r>
      <w:hyperlink r:id="rId31">
        <w:r>
          <w:rPr>
            <w:rFonts w:ascii="Arial" w:cs="Arial" w:eastAsia="Arial" w:hAnsi="Arial"/>
            <w:sz w:val="18"/>
            <w:szCs w:val="18"/>
            <w:u w:val="single" w:color="auto"/>
            <w:color w:val="0000EE"/>
          </w:rPr>
          <w:t>Exhibit 4.12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Registrant’s Annual Report on Form 10-K for the year ended December 31, 2022, filed on February 27, 2023.</w:t>
      </w:r>
    </w:p>
    <w:p>
      <w:pPr>
        <w:spacing w:after="0" w:line="75" w:lineRule="exact"/>
        <w:rPr>
          <w:rFonts w:ascii="Arial" w:cs="Arial" w:eastAsia="Arial" w:hAnsi="Arial"/>
          <w:sz w:val="18"/>
          <w:szCs w:val="18"/>
          <w:color w:val="auto"/>
        </w:rPr>
      </w:pPr>
    </w:p>
    <w:p>
      <w:pPr>
        <w:ind w:left="980" w:right="12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 filed </w:t>
      </w:r>
      <w:hyperlink r:id="rId32">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on May 11, 2023 for its 2023 Annual Meeting of Shareholders, whereby five proposals were voted upon at the Annual Meeting, including the approval of the amendment of Itron, Inc. 2012 ESPP.</w:t>
      </w:r>
    </w:p>
    <w:p>
      <w:pPr>
        <w:spacing w:after="0" w:line="170" w:lineRule="exact"/>
        <w:rPr>
          <w:rFonts w:ascii="Arial" w:cs="Arial" w:eastAsia="Arial" w:hAnsi="Arial"/>
          <w:sz w:val="18"/>
          <w:szCs w:val="18"/>
          <w:color w:val="auto"/>
        </w:rPr>
      </w:pPr>
    </w:p>
    <w:p>
      <w:pPr>
        <w:ind w:right="80" w:firstLine="440"/>
        <w:spacing w:after="0" w:line="296" w:lineRule="auto"/>
        <w:rPr>
          <w:sz w:val="20"/>
          <w:szCs w:val="20"/>
          <w:color w:val="auto"/>
        </w:rPr>
      </w:pPr>
      <w:r>
        <w:rPr>
          <w:rFonts w:ascii="Arial" w:cs="Arial" w:eastAsia="Arial" w:hAnsi="Arial"/>
          <w:sz w:val="16"/>
          <w:szCs w:val="16"/>
          <w:color w:val="auto"/>
        </w:rPr>
        <w:t>All documents filed by the Registrant pursuant to Sections 13(a), 13(c), 14 or 15(d) of the Securities Exchange Act of 1934, as amended (the “Exchange Act”) after the date hereof (other than those Current Reports on Form 8-K which “furnish” information pursuant to Item 2.02 or Item 7.01 of such report and exhibits furnished in connection therewith),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161" w:lineRule="exact"/>
        <w:rPr>
          <w:rFonts w:ascii="Arial" w:cs="Arial" w:eastAsia="Arial" w:hAnsi="Arial"/>
          <w:sz w:val="18"/>
          <w:szCs w:val="18"/>
          <w:color w:val="auto"/>
        </w:rPr>
      </w:pPr>
    </w:p>
    <w:p>
      <w:pPr>
        <w:ind w:right="20" w:firstLine="440"/>
        <w:spacing w:after="0" w:line="301"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157" w:lineRule="exact"/>
        <w:rPr>
          <w:rFonts w:ascii="Arial" w:cs="Arial" w:eastAsia="Arial" w:hAnsi="Arial"/>
          <w:sz w:val="18"/>
          <w:szCs w:val="18"/>
          <w:color w:val="auto"/>
        </w:rPr>
      </w:pPr>
    </w:p>
    <w:p>
      <w:pPr>
        <w:ind w:right="180" w:firstLine="440"/>
        <w:spacing w:after="0" w:line="263" w:lineRule="auto"/>
        <w:rPr>
          <w:sz w:val="20"/>
          <w:szCs w:val="20"/>
          <w:color w:val="auto"/>
        </w:rPr>
      </w:pPr>
      <w:r>
        <w:rPr>
          <w:rFonts w:ascii="Arial" w:cs="Arial" w:eastAsia="Arial" w:hAnsi="Arial"/>
          <w:sz w:val="18"/>
          <w:szCs w:val="18"/>
          <w:color w:val="auto"/>
        </w:rPr>
        <w:t>The Company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18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Itron,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2111 N. Molter Road</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Liberty Lake, Washington 99019</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(509) 924-9900</w:t>
      </w:r>
    </w:p>
    <w:p>
      <w:pPr>
        <w:spacing w:after="0" w:line="355"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20"/>
          </w:cols>
          <w:pgMar w:left="440" w:top="490" w:right="439" w:bottom="1440" w:gutter="0" w:footer="0" w:header="0"/>
        </w:sectPr>
      </w:pPr>
    </w:p>
    <w:bookmarkStart w:id="3" w:name="page4"/>
    <w:bookmarkEnd w:id="3"/>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71" w:lineRule="exact"/>
        <w:rPr>
          <w:sz w:val="20"/>
          <w:szCs w:val="20"/>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or omissions finally adjudged to be intentional misconduct or a knowing violation of the law;</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130" w:lineRule="exact"/>
        <w:rPr>
          <w:rFonts w:ascii="Arial" w:cs="Arial" w:eastAsia="Arial" w:hAnsi="Arial"/>
          <w:sz w:val="18"/>
          <w:szCs w:val="18"/>
          <w:color w:val="auto"/>
        </w:rPr>
      </w:pPr>
    </w:p>
    <w:p>
      <w:pPr>
        <w:ind w:left="980" w:right="200" w:hanging="433"/>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70"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Section 10 of Itron’s amended and restated bylaws provide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92"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84" w:lineRule="exact"/>
        <w:rPr>
          <w:sz w:val="20"/>
          <w:szCs w:val="20"/>
          <w:color w:val="auto"/>
        </w:rPr>
      </w:pPr>
    </w:p>
    <w:p>
      <w:pPr>
        <w:ind w:right="520" w:firstLine="440"/>
        <w:spacing w:after="0" w:line="301" w:lineRule="auto"/>
        <w:rPr>
          <w:sz w:val="20"/>
          <w:szCs w:val="20"/>
          <w:color w:val="auto"/>
        </w:rPr>
      </w:pPr>
      <w:r>
        <w:rPr>
          <w:rFonts w:ascii="Arial" w:cs="Arial" w:eastAsia="Arial" w:hAnsi="Arial"/>
          <w:sz w:val="16"/>
          <w:szCs w:val="16"/>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30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Item 8.</w:t>
            </w:r>
          </w:p>
        </w:tc>
        <w:tc>
          <w:tcPr>
            <w:tcW w:w="998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40" w:type="dxa"/>
            <w:vAlign w:val="bottom"/>
            <w:gridSpan w:val="5"/>
            <w:vMerge w:val="restart"/>
          </w:tcPr>
          <w:p>
            <w:pPr>
              <w:ind w:left="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6160" w:type="dxa"/>
            <w:vAlign w:val="bottom"/>
            <w:tcBorders>
              <w:top w:val="single" w:sz="8" w:color="auto"/>
              <w:bottom w:val="single" w:sz="8" w:color="0000EE"/>
            </w:tcBorders>
            <w:gridSpan w:val="6"/>
          </w:tcPr>
          <w:p>
            <w:pPr>
              <w:spacing w:after="0"/>
              <w:rPr>
                <w:sz w:val="20"/>
                <w:szCs w:val="20"/>
                <w:color w:val="auto"/>
              </w:rPr>
            </w:pPr>
            <w:r>
              <w:rPr>
                <w:rFonts w:ascii="Arial" w:cs="Arial" w:eastAsia="Arial" w:hAnsi="Arial"/>
                <w:sz w:val="18"/>
                <w:szCs w:val="18"/>
                <w:color w:val="0000EE"/>
                <w:w w:val="91"/>
              </w:rPr>
              <w:t>Opinion of Perkins Coie LP regarding legality of the Common Stock being registered</w:t>
            </w:r>
          </w:p>
        </w:tc>
        <w:tc>
          <w:tcPr>
            <w:tcW w:w="382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10.1</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EE"/>
              </w:rPr>
              <w:t>Itron, Inc. Second Amended and Restated 2010 Stock Incentive Plan</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10.2</w:t>
            </w:r>
          </w:p>
        </w:tc>
        <w:tc>
          <w:tcPr>
            <w:tcW w:w="540" w:type="dxa"/>
            <w:vAlign w:val="bottom"/>
          </w:tcPr>
          <w:p>
            <w:pPr>
              <w:spacing w:after="0"/>
              <w:rPr>
                <w:sz w:val="24"/>
                <w:szCs w:val="24"/>
                <w:color w:val="auto"/>
              </w:rPr>
            </w:pPr>
          </w:p>
        </w:tc>
        <w:tc>
          <w:tcPr>
            <w:tcW w:w="9980" w:type="dxa"/>
            <w:vAlign w:val="bottom"/>
            <w:gridSpan w:val="8"/>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Itron, Inc. 2012 Employee Stock Purchase Plan (incorporated by reference to Appendix A to the Definitive Proxy Statement on Schedule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14A filed with the Commission on March 21, 2023)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254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2"/>
              </w:rPr>
              <w:t>Consent of Deloitte &amp; Touche LLP</w:t>
            </w:r>
          </w:p>
        </w:tc>
        <w:tc>
          <w:tcPr>
            <w:tcW w:w="1200" w:type="dxa"/>
            <w:vAlign w:val="bottom"/>
            <w:tcBorders>
              <w:top w:val="single" w:sz="8" w:color="0000EE"/>
            </w:tcBorders>
            <w:gridSpan w:val="2"/>
          </w:tcPr>
          <w:p>
            <w:pPr>
              <w:spacing w:after="0"/>
              <w:rPr>
                <w:sz w:val="24"/>
                <w:szCs w:val="24"/>
                <w:color w:val="auto"/>
              </w:rPr>
            </w:pPr>
          </w:p>
        </w:tc>
        <w:tc>
          <w:tcPr>
            <w:tcW w:w="6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23.2</w:t>
            </w:r>
          </w:p>
        </w:tc>
        <w:tc>
          <w:tcPr>
            <w:tcW w:w="54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Arial" w:cs="Arial" w:eastAsia="Arial" w:hAnsi="Arial"/>
                <w:sz w:val="18"/>
                <w:szCs w:val="18"/>
                <w:color w:val="0000EE"/>
              </w:rPr>
              <w:t>Consent of Perkins Coie LLP (included in opinion filed as Exhibit 5.1)</w:t>
            </w:r>
          </w:p>
        </w:tc>
        <w:tc>
          <w:tcPr>
            <w:tcW w:w="0" w:type="dxa"/>
            <w:vAlign w:val="bottom"/>
          </w:tcPr>
          <w:p>
            <w:pPr>
              <w:spacing w:after="0"/>
              <w:rPr>
                <w:sz w:val="1"/>
                <w:szCs w:val="1"/>
                <w:color w:val="auto"/>
              </w:rPr>
            </w:pPr>
          </w:p>
        </w:tc>
      </w:tr>
      <w:tr>
        <w:trPr>
          <w:trHeight w:val="304"/>
        </w:trPr>
        <w:tc>
          <w:tcPr>
            <w:tcW w:w="500" w:type="dxa"/>
            <w:vAlign w:val="bottom"/>
          </w:tcPr>
          <w:p>
            <w:pPr>
              <w:jc w:val="right"/>
              <w:ind w:right="94"/>
              <w:spacing w:after="0"/>
              <w:rPr>
                <w:sz w:val="20"/>
                <w:szCs w:val="20"/>
                <w:color w:val="auto"/>
              </w:rPr>
            </w:pPr>
            <w:r>
              <w:rPr>
                <w:rFonts w:ascii="Arial" w:cs="Arial" w:eastAsia="Arial" w:hAnsi="Arial"/>
                <w:sz w:val="18"/>
                <w:szCs w:val="18"/>
                <w:color w:val="auto"/>
                <w:w w:val="85"/>
              </w:rPr>
              <w:t>24.1</w:t>
            </w:r>
          </w:p>
        </w:tc>
        <w:tc>
          <w:tcPr>
            <w:tcW w:w="540" w:type="dxa"/>
            <w:vAlign w:val="bottom"/>
          </w:tcPr>
          <w:p>
            <w:pPr>
              <w:spacing w:after="0"/>
              <w:rPr>
                <w:sz w:val="24"/>
                <w:szCs w:val="24"/>
                <w:color w:val="auto"/>
              </w:rPr>
            </w:pPr>
          </w:p>
        </w:tc>
        <w:tc>
          <w:tcPr>
            <w:tcW w:w="51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Power of Attorney (see signature page)</w:t>
            </w:r>
          </w:p>
        </w:tc>
        <w:tc>
          <w:tcPr>
            <w:tcW w:w="48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10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Item 9.</w:t>
            </w:r>
          </w:p>
        </w:tc>
        <w:tc>
          <w:tcPr>
            <w:tcW w:w="2820" w:type="dxa"/>
            <w:vAlign w:val="bottom"/>
            <w:tcBorders>
              <w:top w:val="single" w:sz="8" w:color="0000EE"/>
            </w:tcBorders>
            <w:gridSpan w:val="2"/>
          </w:tcPr>
          <w:p>
            <w:pPr>
              <w:ind w:left="60"/>
              <w:spacing w:after="0"/>
              <w:rPr>
                <w:sz w:val="20"/>
                <w:szCs w:val="20"/>
                <w:color w:val="auto"/>
              </w:rPr>
            </w:pPr>
            <w:r>
              <w:rPr>
                <w:rFonts w:ascii="Arial" w:cs="Arial" w:eastAsia="Arial" w:hAnsi="Arial"/>
                <w:sz w:val="18"/>
                <w:szCs w:val="18"/>
                <w:b w:val="1"/>
                <w:bCs w:val="1"/>
                <w:color w:val="auto"/>
              </w:rPr>
              <w:t>Undertakings.</w:t>
            </w:r>
          </w:p>
        </w:tc>
        <w:tc>
          <w:tcPr>
            <w:tcW w:w="7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Registration Statements.</w:t>
      </w:r>
    </w:p>
    <w:p>
      <w:pPr>
        <w:sectPr>
          <w:pgSz w:w="11900" w:h="16838" w:orient="portrait"/>
          <w:cols w:equalWidth="0" w:num="1">
            <w:col w:w="11020"/>
          </w:cols>
          <w:pgMar w:left="440" w:top="486" w:right="4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323"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Liberty Lake, State of Washington, on the 22</w:t>
      </w:r>
      <w:r>
        <w:rPr>
          <w:rFonts w:ascii="Arial" w:cs="Arial" w:eastAsia="Arial" w:hAnsi="Arial"/>
          <w:sz w:val="23"/>
          <w:szCs w:val="23"/>
          <w:color w:val="auto"/>
          <w:vertAlign w:val="superscript"/>
        </w:rPr>
        <w:t>nd</w:t>
      </w:r>
      <w:r>
        <w:rPr>
          <w:rFonts w:ascii="Arial" w:cs="Arial" w:eastAsia="Arial" w:hAnsi="Arial"/>
          <w:sz w:val="16"/>
          <w:szCs w:val="16"/>
          <w:color w:val="auto"/>
        </w:rPr>
        <w:t xml:space="preserve"> day of May 2023.</w:t>
      </w:r>
    </w:p>
    <w:p>
      <w:pPr>
        <w:spacing w:after="0" w:line="4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Joan S. Hooper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7"/>
          <w:szCs w:val="17"/>
          <w:b w:val="1"/>
          <w:bCs w:val="1"/>
          <w:color w:val="auto"/>
        </w:rPr>
        <w:t>Senior Vice President and Chief Financial Officer</w:t>
      </w:r>
    </w:p>
    <w:p>
      <w:pPr>
        <w:sectPr>
          <w:pgSz w:w="11900" w:h="16838" w:orient="portrait"/>
          <w:cols w:equalWidth="0" w:num="1">
            <w:col w:w="10860"/>
          </w:cols>
          <w:pgMar w:left="440" w:top="486" w:right="5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POWER OF ATTORNEY</w:t>
      </w:r>
    </w:p>
    <w:p>
      <w:pPr>
        <w:spacing w:after="0" w:line="229"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Each person whose individual signature appears below hereby authorizes Thomas L. Deitrich and Joan S. Hooper, or either of them, as attorneys-in-fact, with full power of substitution, to execute in the name and on the behalf of each person, individually and in each capacity stated below, and to file, any and all amendments to the Registration Statement or this Post-Effective Amendment No. 1 to the Registration Statement.</w:t>
      </w:r>
    </w:p>
    <w:p>
      <w:pPr>
        <w:spacing w:after="0" w:line="165" w:lineRule="exact"/>
        <w:rPr>
          <w:sz w:val="20"/>
          <w:szCs w:val="20"/>
          <w:color w:val="auto"/>
        </w:rPr>
      </w:pPr>
    </w:p>
    <w:p>
      <w:pPr>
        <w:ind w:right="80" w:firstLine="440"/>
        <w:spacing w:after="0" w:line="293"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indicated below on the 22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of May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6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26"/>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THOMAS L. DEITRICH</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Thomas L. Deitrich</w:t>
            </w:r>
          </w:p>
        </w:tc>
        <w:tc>
          <w:tcPr>
            <w:tcW w:w="120" w:type="dxa"/>
            <w:vAlign w:val="bottom"/>
          </w:tcPr>
          <w:p>
            <w:pPr>
              <w:spacing w:after="0"/>
              <w:rPr>
                <w:sz w:val="19"/>
                <w:szCs w:val="19"/>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 JOAN S. HOOPER</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c>
          <w:tcPr>
            <w:tcW w:w="120" w:type="dxa"/>
            <w:vAlign w:val="bottom"/>
          </w:tcPr>
          <w:p>
            <w:pPr>
              <w:spacing w:after="0"/>
              <w:rPr>
                <w:sz w:val="19"/>
                <w:szCs w:val="19"/>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4"/>
                <w:szCs w:val="14"/>
                <w:color w:val="auto"/>
                <w:w w:val="98"/>
              </w:rPr>
              <w:t>S</w:t>
            </w:r>
            <w:r>
              <w:rPr>
                <w:rFonts w:ascii="Arial" w:cs="Arial" w:eastAsia="Arial" w:hAnsi="Arial"/>
                <w:sz w:val="18"/>
                <w:szCs w:val="18"/>
                <w:color w:val="auto"/>
                <w:w w:val="98"/>
              </w:rPr>
              <w:t>/ DIANA D. TREMBLAY</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3"/>
              </w:rPr>
              <w:t>Chair of the Board, 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Diana D. Tremblay</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MARY C. HEMMINGSEN</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2"/>
              </w:rPr>
              <w:t>Mary C. Hemmingsen</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FRANK M. JAEHNERT</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Frank M. Jaehnert</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4"/>
                <w:szCs w:val="14"/>
                <w:color w:val="auto"/>
                <w:w w:val="94"/>
              </w:rPr>
              <w:t>S</w:t>
            </w:r>
            <w:r>
              <w:rPr>
                <w:rFonts w:ascii="Arial" w:cs="Arial" w:eastAsia="Arial" w:hAnsi="Arial"/>
                <w:sz w:val="18"/>
                <w:szCs w:val="18"/>
                <w:color w:val="auto"/>
                <w:w w:val="94"/>
              </w:rPr>
              <w:t>/ JEROME J. LANDE</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0"/>
              </w:rPr>
              <w:t>Jerome J. Lande</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41"/>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4"/>
                <w:szCs w:val="14"/>
                <w:color w:val="auto"/>
                <w:w w:val="99"/>
              </w:rPr>
              <w:t>S</w:t>
            </w:r>
            <w:r>
              <w:rPr>
                <w:rFonts w:ascii="Arial" w:cs="Arial" w:eastAsia="Arial" w:hAnsi="Arial"/>
                <w:sz w:val="18"/>
                <w:szCs w:val="18"/>
                <w:color w:val="auto"/>
                <w:w w:val="99"/>
              </w:rPr>
              <w:t>/ TIMOTHY M. LEYDEN</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Timothy M. Leyden</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SANTIAGO PEREZ</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Santiago Perez</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4"/>
                <w:szCs w:val="14"/>
                <w:color w:val="auto"/>
                <w:w w:val="97"/>
              </w:rPr>
              <w:t>S</w:t>
            </w:r>
            <w:r>
              <w:rPr>
                <w:rFonts w:ascii="Arial" w:cs="Arial" w:eastAsia="Arial" w:hAnsi="Arial"/>
                <w:sz w:val="18"/>
                <w:szCs w:val="18"/>
                <w:color w:val="auto"/>
                <w:w w:val="97"/>
              </w:rPr>
              <w:t>/ LYNDA L. ZIEGLER</w:t>
            </w:r>
          </w:p>
        </w:tc>
        <w:tc>
          <w:tcPr>
            <w:tcW w:w="120" w:type="dxa"/>
            <w:vAlign w:val="bottom"/>
          </w:tcPr>
          <w:p>
            <w:pPr>
              <w:spacing w:after="0"/>
              <w:rPr>
                <w:sz w:val="24"/>
                <w:szCs w:val="24"/>
                <w:color w:val="auto"/>
              </w:rPr>
            </w:pPr>
          </w:p>
        </w:tc>
        <w:tc>
          <w:tcPr>
            <w:tcW w:w="664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94"/>
              </w:rPr>
              <w:t>Lynda L. Ziegler</w:t>
            </w:r>
          </w:p>
        </w:tc>
        <w:tc>
          <w:tcPr>
            <w:tcW w:w="120" w:type="dxa"/>
            <w:vAlign w:val="bottom"/>
          </w:tcPr>
          <w:p>
            <w:pPr>
              <w:spacing w:after="0"/>
              <w:rPr>
                <w:sz w:val="19"/>
                <w:szCs w:val="19"/>
                <w:color w:val="auto"/>
              </w:rPr>
            </w:pPr>
          </w:p>
        </w:tc>
        <w:tc>
          <w:tcPr>
            <w:tcW w:w="6640" w:type="dxa"/>
            <w:vAlign w:val="bottom"/>
          </w:tcPr>
          <w:p>
            <w:pPr>
              <w:spacing w:after="0"/>
              <w:rPr>
                <w:sz w:val="19"/>
                <w:szCs w:val="19"/>
                <w:color w:val="auto"/>
              </w:rPr>
            </w:pPr>
          </w:p>
        </w:tc>
      </w:tr>
    </w:tbl>
    <w:p>
      <w:pPr>
        <w:sectPr>
          <w:pgSz w:w="11900" w:h="16838" w:orient="portrait"/>
          <w:cols w:equalWidth="0" w:num="1">
            <w:col w:w="11020"/>
          </w:cols>
          <w:pgMar w:left="440" w:top="486"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171450</wp:posOffset>
            </wp:positionV>
            <wp:extent cx="6360795" cy="668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63607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 Post-Effective Amendment No. 1 to Registration Statement on Form S-8 of Shares of Common Stock, no par value per share, of Itron,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acted as special counsel to you to render this opinion in connection with the Post-Effective Amendment No. 1 to Registration Statement on Form S-8 (the “Post-Effective Amendment”) under the Securities Act of 1933, as amended (the “Act”), which you are filing with the Securities and Exchange Commission (the “Commission”) with respect to 500,000 shares of Itron, Inc. common stock, no par value (the “Shares”), that were originally reserved for issuance under the Itron, Inc. Second Amended and Restated 2010 Stock Incentive Plan (the “Stock Plan”) and are being reallocated for issuance pursuant to the Itron, Inc. 2012 Employee Stock Purchase Plan (the “Plan”).</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May 11, 2023, the shareholders of Itron, Inc. approved the amendment of the Plan to increase the number of shares available for issuance under the Plan by 500,000 shares without seeking an increase to newly authorized shares. The Stock Plan was also amended to correspondingly decrease the number of shares available for issuance under the Stock Plan by 500,000 shares.</w:t>
      </w:r>
    </w:p>
    <w:p>
      <w:pPr>
        <w:spacing w:after="0" w:line="18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examined the Post-Effective Amendment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84"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Based upon and subject to the foregoing, we are of the opinion that any original issuance Shares that may be issued pursuant to the Plan, upon the registration by the registrar of such Shares and the issuance thereof by Itron, Inc. in accordance with the terms of the Plan, and the receipt of consideration therefor in accordance with the terms of the Plan, will be legally issued, fully paid and nonassessable.</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hereby consent to the filing of this opinion as an exhibit to the Post-Effective Amendment. In giving such consent, we do not admit that we are in the category of persons whose consent is required under Section 7 of the Act or the rules and regulations of the Commission thereunder.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258000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580005" cy="43751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2010 STOCK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and Restated, February 23,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 EFFECTIVE DATE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name of this Plan is the Itron, Inc. Second Amended and Restated 2010 Stock Incentive Plan (the “Plan”). The purpose of the Plan is to enhance the long-term shareholder value of Itron, Inc., a Washington corporation (the “Company”),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Plan is hereby amended and restated, effective as of the date of approval by the shareholders of the Company at the annual shareholders meeting held in 2017 (the “Restatement Effective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“Award” means any Option, Stock Appreciation Right, Stock Award or Performance Award granted pursuant to the provisions of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“Cause,” unless otherwise defined in the instrument evidencing the Award or in a written employment or services agreement between the Participant and the Company or a Related Corporation in connection with an Award, means dishonesty, fraud, misconduct, unauthorized use or disclosure of confidential information or trade secrets (except in certain circumstances involving government agencies), or conviction or confession of a crime punishable by law (except minor violations), in each case as determined by the Plan Administrator, and its determination shall be conclusive and binding.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U.S. Internal Revenue Code of 1986,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“Common Stock” means the common stock, no par value per share,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Transaction” has the meaning set forth in Section 16.2.1.</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“Covered Employee” means a “covered employee” as that term is defined in Section 162(m) of the Code or any successor provision and any related U.S. Department of Treasury guidance.</w:t>
      </w:r>
    </w:p>
    <w:p>
      <w:pPr>
        <w:spacing w:after="0" w:line="17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“Disability,” unless otherwise defined by the Plan Administrator, means a mental or physical impairment of the Participant that is expected to result in death or that has lasted or is expected to last for a continuous period of 12 months or more and that causes the Participant to be unable, in the opinion of the Company, to perform his or her duties for the Company or a Related Corporation and to be engaged in any substantial gainful activity.</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“Dividend Equivalent” has the meaning set forth in Section 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Date” shall mean the date upon which the Plan is approved by the Itron Board of Directors. The Effective Date of a subsequent amendment to the Plan shall be the date on which said amendment is approved by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U.S. Securities Exchange Act of 1934, as amended.</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“Fair Market Value” shall be as established by the Plan Administrator acting in good faith to be reasonable and in compliance with Section 409A of the Code or (a) if the Common Stock is listed on The NASDAQ Global Select Market, the closing sales price for the Common Stock as reported by The NASDAQ Global Select Market for a single trading day or (b) if the Common Stock is listed on the New York Stock Exchange or the American Stock Exchange, the closing sales price for the Common Stock as such price is officially quoted in the composite tape of transactions on such exchange for a single trading day. If there is no such reported price for the Common Stock for the date in question, then such price on the last preceding date for which such price exists shall be determinative of Fair Market Value. Notwithstanding the foregoing, for income tax reporting and withholding purposes under U.S. federal, state, local or non-U.S. law and for such other purposes as the Plan Administrator deems appropriate, including, without limitation, where Fair Market Value is used in reference to exercise, vesting, settlement or payout of an Award, the Fair Market Value shall be determined by the Plan Administrator in accordance with applicable law and uniform and nondiscriminatory standards adopted by it from time to time.</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“Grant Date” means the date on which the Plan Administrator completes the corporate action authorizing the grant of an Award or such later date specified by the Plan Administrator, and on which all conditions precedent to the grant have been satisfied, provided that conditions to the exercisability or vesting of Awards shall not defer the Grant Date.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“Incentive Stock Option” means an Option to purchase Common Stock granted under Section 7 with the intention that it qualify as an “incentive stock option” as that term is defined in Section 422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 means an Option to purchase Common Stock granted under Section 7 other than an Incentive Stock 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means the right to purchase Common Stock granted under Section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“Option Term” has the meaning set forth in Section 7.3.</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“Parent,” except as otherwise provided in Section 8.8 in connection with Incentive Stock Options, means any entity, whether now or hereafter existing, that directly or indirectly controls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“Participant” means the person to whom an Award is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 means any Award of Performance Shares or Performance Units granted pursuant to Section 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 has the meaning set forth in Section 12.1.</w:t>
      </w:r>
    </w:p>
    <w:p>
      <w:pPr>
        <w:sectPr>
          <w:pgSz w:w="11900" w:h="16838" w:orient="portrait"/>
          <w:cols w:equalWidth="0" w:num="1">
            <w:col w:w="10980"/>
          </w:cols>
          <w:pgMar w:left="440" w:top="490" w:right="47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“Performance Unit” has the meaning set forth in Section 12.2.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 Administrator” has the meaning set forth in Section 3.1.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“Related Corporation” means any Parent or Subsidiary of 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“Restricted Stock” has the meaning set forth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Act” means the U.S. Securities Act of 1933, as amended.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Appreciation Right” or “SAR” has the meaning set forth in Section 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Award” means Unrestricted Stock, Restricted Stock or Stock Units granted under Section 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“Stock Unit” has the meaning set forth in Section 11.2.</w:t>
      </w:r>
    </w:p>
    <w:p>
      <w:pPr>
        <w:spacing w:after="0" w:line="22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“Subsidiary,” except as otherwise provided in Section 8.8 in connection with Incentive Stock Options, means any entity that is directly or indirectly controlled by the Company.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“Successor Corporation” has the meaning set forth in Section 16.2.2.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“Termination Date” has the meaning set forth in Section 7.6.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“Unrestricted Stock” has the meaning set forth in Section 11.1.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“Vesting Base Date” means the Grant Date or such other date selected by the Plan Administrator as the date from which an Award begins to vest.</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ADMINISTRATION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 Plan Administrator</w:t>
      </w:r>
    </w:p>
    <w:p>
      <w:pPr>
        <w:spacing w:after="0" w:line="12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The Plan shall be administered by the Board and/or a committee or committees (which term includes subcommittees) appointed by, and consisting of, two or more members of the Board who meet the independence standards set forth by the NASDAQ Global Select Market (the “Plan Administrator”). If and so long as the Common Stock is registered under Section 12(b) or 12(g) of the Exchange Act, the Board shall consider in selecting the members of any committee acting as Plan Administrator, with respect to any persons subject or likely to become subject to Section 16 of the Exchange Act, the provisions regarding</w:t>
      </w:r>
    </w:p>
    <w:p>
      <w:pPr>
        <w:spacing w:after="0" w:line="188" w:lineRule="exact"/>
        <w:rPr>
          <w:sz w:val="20"/>
          <w:szCs w:val="20"/>
          <w:color w:val="auto"/>
        </w:rPr>
      </w:pPr>
    </w:p>
    <w:p>
      <w:pPr>
        <w:ind w:left="4" w:hanging="4"/>
        <w:spacing w:after="0" w:line="255" w:lineRule="auto"/>
        <w:tabs>
          <w:tab w:leader="none" w:pos="2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“outside directors” as contemplated by Section 162(m) of the Code and (b)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ectPr>
          <w:pgSz w:w="11900" w:h="16838" w:orient="portrait"/>
          <w:cols w:equalWidth="0" w:num="1">
            <w:col w:w="10964"/>
          </w:cols>
          <w:pgMar w:left="436" w:top="490" w:right="49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3.2 Administration and Interpretation by Plan Administrator</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Except for the terms and conditions explicitly set forth in the Plan, the Plan Administrator shall have exclusive authority, in its discretion, to determine all matters relating to Awards under the Plan, including the 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w:t>
      </w:r>
    </w:p>
    <w:p>
      <w:pPr>
        <w:spacing w:after="0" w:line="195"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In any event, however, (a) no Option or SAR may be amended to reduce the exercise price of such Option or SAR below the per share Fair Market Value of the Common Stock as of the date the Option or SAR was granted, and (b) except as provided in Section 16.1 and Section 16.3 hereof, and at any time when the then-current fair market value of a share of Common Stock is less than the Fair Market Value of a share of Common Stock on the date that an outstanding Option or SAR was granted, such outstanding Option or SAR may not be cancelled or surrendered in exchange for (i) cash, (ii) an Option or SAR having an exercise price that is less than the Fair Market Value of a share of Common Stock on the date that the original Option or SAR was granted, or (ii) any other Award.</w:t>
      </w:r>
    </w:p>
    <w:p>
      <w:pPr>
        <w:spacing w:after="0" w:line="192"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The Plan Administrator may delegate ministerial duties to such of the Company’s officers as it so determines. The Plan Administrator, for purposes of determining the effect on an Award of a Company-approved leave of absence or a Participant’s working less than full-time, shall be the chief executive officer of the Company or his designee.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STOCK SUBJECT TO THE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4.1 Number of Shares</w:t>
      </w:r>
    </w:p>
    <w:p>
      <w:pPr>
        <w:spacing w:after="0" w:line="121" w:lineRule="exact"/>
        <w:rPr>
          <w:sz w:val="20"/>
          <w:szCs w:val="20"/>
          <w:color w:val="auto"/>
        </w:rPr>
      </w:pPr>
    </w:p>
    <w:p>
      <w:pPr>
        <w:jc w:val="both"/>
        <w:ind w:left="4" w:right="80" w:hanging="4"/>
        <w:spacing w:after="0" w:line="286" w:lineRule="auto"/>
        <w:tabs>
          <w:tab w:leader="none" w:pos="249"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Subject to adjustment from time to time as provided in Section 16.1, the number of shares of Common Stock that shall be authorized for grant under the Plan shall be 10,375,000 shares (which reflects a decrease of 500,000 shares from 10,875,000, the number of shares that were previously authorized for issuance under the Plan) all of which may be issued pursuant to the exercise of Incentive Stock Options.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shares of Common Stock that are subject to Options or SARs shall be counted against this limit as one (1) share of Common Stock for every</w:t>
      </w:r>
    </w:p>
    <w:p>
      <w:pPr>
        <w:spacing w:after="0" w:line="35" w:lineRule="exact"/>
        <w:rPr>
          <w:sz w:val="20"/>
          <w:szCs w:val="20"/>
          <w:color w:val="auto"/>
        </w:rPr>
      </w:pPr>
    </w:p>
    <w:p>
      <w:pPr>
        <w:ind w:left="4" w:right="100"/>
        <w:spacing w:after="0" w:line="255" w:lineRule="auto"/>
        <w:rPr>
          <w:sz w:val="20"/>
          <w:szCs w:val="20"/>
          <w:color w:val="auto"/>
        </w:rPr>
      </w:pPr>
      <w:r>
        <w:rPr>
          <w:rFonts w:ascii="Arial" w:cs="Arial" w:eastAsia="Arial" w:hAnsi="Arial"/>
          <w:sz w:val="18"/>
          <w:szCs w:val="18"/>
          <w:color w:val="auto"/>
        </w:rPr>
        <w:t>one (1) share of Common Stock granted, and any shares that are subject to Awards other than Options or SARs shall be counted against this limit as 1.7 shares of Common Stock for every one (1) share of Common Stock granted. No awards may be granted under the Itron, Inc. Amended and Restated 2000 Stock Incentive Plan (the “Prior Plan”).</w:t>
      </w:r>
    </w:p>
    <w:p>
      <w:pPr>
        <w:sectPr>
          <w:pgSz w:w="11900" w:h="16838" w:orient="portrait"/>
          <w:cols w:equalWidth="0" w:num="1">
            <w:col w:w="11004"/>
          </w:cols>
          <w:pgMar w:left="436" w:top="486" w:right="459" w:bottom="1440" w:gutter="0" w:footer="0" w:header="0"/>
        </w:sectPr>
      </w:pPr>
    </w:p>
    <w:bookmarkStart w:id="11" w:name="page12"/>
    <w:bookmarkEnd w:id="11"/>
    <w:p>
      <w:pPr>
        <w:ind w:left="4" w:hanging="4"/>
        <w:spacing w:after="0" w:line="279" w:lineRule="auto"/>
        <w:tabs>
          <w:tab w:leader="none" w:pos="259"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If (i) any shares of Common Stock subject to an Award are forfeited, an Award expires or an Award is settled for cash (in whole or in part), or (ii) any shares of Common Stock subject to an award under the Prior Plan are forfeited, or an award under the Prior Plan expires or is settled for cash (in whole or in part), the shares of Common Stock subject to such Award or award under the Prior Plan shall, to the extent of such forfeiture, expiration or cash settlement, again be available for Awards under the Plan, in accordance with Section 4.1(d) below.</w:t>
      </w:r>
    </w:p>
    <w:p>
      <w:pPr>
        <w:spacing w:after="0" w:line="171"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In the event that withholding tax liabilities arising from an Award other than an Option or Stock Appreciation Right or an award other than an option or stock appreciation right under any Prior Plan are satisfied by surrendering of shares subject to the Award, the shares so surrendered shall be added to the shares available for Awards under the Plan in accordance with Section 4.1(d) below. Notwithstanding anything to the contrary contained herein, the following shall not be added to the shares of Common Stock authorized for grant under Section 4.1(a) above: (x) shares of Common Stock subject to an Option or an Award surrendered in payment of the Option exercise price or Award purchase price or shares of Common Stock subject to an option or award granted under the Prior Plan surrendered in payment of the option exercise price or award purchase price, or to satisfy any tax withholding obligation with respect to an Option or SAR or an option or stock appreciation right granted under the Prior Plan, (y) shares of Common Stock that are not issued as a result of a net settlement of an Option or SAR or an option or stock appreciation right granted under the Prior Plan, and (z) shares of Common Stock reacquired by the Company on the open market or otherwise using cash proceeds from the exercise of Options or options granted under the Prior Plan. For purposes of this Section 4.1 and for the avoidance of any doubt, “surrendered” includes the tendering of shares held by the Participant or withheld from an Award voluntarily by the Participant or mandatorily by the Company.</w:t>
      </w:r>
    </w:p>
    <w:p>
      <w:pPr>
        <w:spacing w:after="0" w:line="172" w:lineRule="exact"/>
        <w:rPr>
          <w:sz w:val="20"/>
          <w:szCs w:val="20"/>
          <w:color w:val="auto"/>
        </w:rPr>
      </w:pPr>
    </w:p>
    <w:p>
      <w:pPr>
        <w:ind w:left="4" w:right="40" w:hanging="4"/>
        <w:spacing w:after="0" w:line="311"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Substitute Awards granted pursuant to Section 6.3 below shall not reduce the number of shares of Common Stock authorized for grant under the Plan or the applicable limitations applicable to a Participant under Section 11(e), nor shall shares of Common Stock subject to a substitute Award again be available for Awards under the Plan to the extent of any forfeiture, expiration or cash settlement as provided in Section 4.1(b) above.</w:t>
      </w:r>
    </w:p>
    <w:p>
      <w:pPr>
        <w:spacing w:after="0" w:line="149"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Additionally, in the event that a company acquired by the Company or with which the Company combines has shares of stock available under a pre-existing plan approved by such company’s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 Related Corporation prior to such acquisition or combination.</w:t>
      </w:r>
    </w:p>
    <w:p>
      <w:pPr>
        <w:sectPr>
          <w:pgSz w:w="11900" w:h="16838" w:orient="portrait"/>
          <w:cols w:equalWidth="0" w:num="1">
            <w:col w:w="11004"/>
          </w:cols>
          <w:pgMar w:left="436" w:top="490" w:right="459" w:bottom="1440" w:gutter="0" w:footer="0" w:header="0"/>
        </w:sectPr>
      </w:pPr>
    </w:p>
    <w:bookmarkStart w:id="12" w:name="page13"/>
    <w:bookmarkEnd w:id="12"/>
    <w:p>
      <w:pPr>
        <w:ind w:left="4" w:right="80" w:hanging="4"/>
        <w:spacing w:after="0" w:line="291"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Any shares of Common Stock that again become available for grant pursuant to this Section 4.1 shall be added back as (i) one (1) share of Common Stock if such shares were subject to Options or SARs granted under the Plan or options or stock appreciation rights granted under the Prior Plan, and</w:t>
      </w:r>
    </w:p>
    <w:p>
      <w:pPr>
        <w:ind w:left="4" w:right="480" w:hanging="4"/>
        <w:spacing w:after="0" w:line="260"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1.7 shares of Common Stock if such shares were subject to Awards other than Options or SARs granted under the Plan or awards other than options or stock appreciation rights granted under the Prior Plan.</w:t>
      </w:r>
    </w:p>
    <w:p>
      <w:pPr>
        <w:spacing w:after="0" w:line="185" w:lineRule="exact"/>
        <w:rPr>
          <w:rFonts w:ascii="Arial" w:cs="Arial" w:eastAsia="Arial" w:hAnsi="Arial"/>
          <w:sz w:val="18"/>
          <w:szCs w:val="18"/>
          <w:color w:val="auto"/>
        </w:rPr>
      </w:pPr>
    </w:p>
    <w:p>
      <w:pPr>
        <w:ind w:left="4" w:right="140" w:hanging="4"/>
        <w:spacing w:after="0" w:line="275" w:lineRule="auto"/>
        <w:tabs>
          <w:tab w:leader="none" w:pos="249"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Notwithstanding any other provision of the Plan to the contrary, the aggregate grant date fair value (computed as of the date of grant in accordance with applicable financial accounting rules) of all Awards granted to any non-employee director plus the total of all cash paid or payable to such non-employee director for services rendered during any single calendar year shall not exceed $500,000. For the avoidance of doubt, any compensation that is deferred shall be counted towards the foregoing limit for the year in which the compensation is earned (and not counted in the year it is paid/settled), and no interest or other earnings on such compensation shall count towards the limit.</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4.2. Character of Shares</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Any Shares issued hereunder may consist, in whole or in part, of authorized and unissued shares, treasury shares or shares purchased in the open market or otherwise.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5. ELIGIBILITY</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6. AWARDS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6.1 Form and Grant of Awards</w:t>
      </w:r>
    </w:p>
    <w:p>
      <w:pPr>
        <w:spacing w:after="0" w:line="121"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The Plan Administrator shall have the authority, in its sole discretion, to determine the type or types of Awards to be made under the Plan. Such Awards may include, but are not limited to, Incentive Stock Options, Nonqualified Stock Options, SARs, Dividend Equivalents, Stock Awards and Performance Awards. Awards may be granted singly or in combination.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6.2 Settlement of Awards</w:t>
      </w:r>
    </w:p>
    <w:p>
      <w:pPr>
        <w:spacing w:after="0" w:line="121"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The Company may settle Awards through the delivery of shares of Common Stock, the payment of a cash amount equal to the Fair Market Value of the shares of Common Stock on the date of settlement of an Award other than an Option or SAR,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w:t>
      </w:r>
    </w:p>
    <w:p>
      <w:pPr>
        <w:sectPr>
          <w:pgSz w:w="11900" w:h="16838" w:orient="portrait"/>
          <w:cols w:equalWidth="0" w:num="1">
            <w:col w:w="10984"/>
          </w:cols>
          <w:pgMar w:left="436" w:top="490"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6.3 Acquired Company Awards</w:t>
      </w:r>
    </w:p>
    <w:p>
      <w:pPr>
        <w:spacing w:after="0" w:line="12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(“Acquired Entities”) (or the parent of the Acquired Entity) and the new Award is substituted, or the old award is assumed, by reason of a merger, consolidation, acquisition of property or stock, reorganization or liquidation (the “Acquisition Transaction”).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 Minimum Vesting Requirements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Notwithstanding any other provision of the Plan, except in connection with Awards that are substituted pursuant to Section 6.3 hereof, Awards that may be settled only in cash or an adjustment provided for in Section 16, no portion of an Award granted on or after the Restatement Effective Date may vest before the first anniversary of the date of grant, subject to earlier vesting in whole or in part in connection with a Change in Control Transaction or upon a Participant’s death or Disability; provided, however, that the Company may grant Awards with respect to up to five percent (5%) of the number of shares of Common Stock reserved under Section 4.1 as of the Restatement Effective Date without regard to the minimum vesting period set forth in this Section 6.4. The Committee may accelerate the vesting or exercisability of an Award in circumstances other than a Change in Control Transaction or a Participant’s death or Disability, provided that such acceleration does not cause an Award that is subject to the minimum vesting requirements of this Section 6.4 to vest or become exercisable prior to the first anniversary of the date of grant.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Grant of Options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Administrator is authorized under the Plan, in its sole discretion, to issue Options as Incentive Stock Options or as Nonqualified Stock Options, which shall be appropriately designated.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7.2 Option Exercise Price</w:t>
      </w:r>
    </w:p>
    <w:p>
      <w:pPr>
        <w:spacing w:after="0" w:line="121"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exercise price for shares purchased under an Option shall be as determined by the Plan Administrator. Except in the case of a substitute or assumed option pursuant to Section 6.3 above, the exercise price shall not be less than 100% of the Fair Market Value of the Common Stock on the Grant Date. For Incentive Stock Options granted to a more than 10% shareholder, the Option exercise price shall be as specified in Section 8.2.</w:t>
      </w:r>
    </w:p>
    <w:p>
      <w:pPr>
        <w:sectPr>
          <w:pgSz w:w="11900" w:h="16838" w:orient="portrait"/>
          <w:cols w:equalWidth="0" w:num="1">
            <w:col w:w="11000"/>
          </w:cols>
          <w:pgMar w:left="440" w:top="486" w:right="45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7.3 Term of Options</w:t>
      </w:r>
    </w:p>
    <w:p>
      <w:pPr>
        <w:spacing w:after="0" w:line="121"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The term of each Option (the “Option Term”) shall be as established by the Plan Administrator, but shall not exceed ten years from the Grant Date. For Incentive Stock Options, the maximum Option Term shall be as specified in Sections 8.2 and 8.4.</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7.4 Exercise of Options</w:t>
      </w:r>
    </w:p>
    <w:p>
      <w:pPr>
        <w:spacing w:after="0" w:line="121"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The Plan Administrator may adjust the vesting schedule of an Option held by a Participant who works less than “full-time” as that term is defined by the Plan Administrator (taking into consideration definitions under local law) or who takes a Company-approved leave of absence.</w:t>
      </w:r>
    </w:p>
    <w:p>
      <w:pPr>
        <w:spacing w:after="0" w:line="171"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 any, and such representations and agreements as may be required by the Plan Administrator, accompanied by payment in full as described in Section 7.5. Alternatively, the Option may be exercised electronically through a third-party stock plan service provider designated by the Company and according to such procedures established by the Company. An Option may not be exercised for less than a reasonable number of shares at any one time, as determined by the Plan Administrator.</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7.5 Payment of Exercise Price</w:t>
      </w:r>
    </w:p>
    <w:p>
      <w:pPr>
        <w:spacing w:after="0" w:line="121" w:lineRule="exact"/>
        <w:rPr>
          <w:sz w:val="20"/>
          <w:szCs w:val="20"/>
          <w:color w:val="auto"/>
        </w:rPr>
      </w:pPr>
    </w:p>
    <w:p>
      <w:pPr>
        <w:ind w:left="4" w:right="120"/>
        <w:spacing w:after="0" w:line="311" w:lineRule="auto"/>
        <w:rPr>
          <w:sz w:val="20"/>
          <w:szCs w:val="20"/>
          <w:color w:val="auto"/>
        </w:rPr>
      </w:pPr>
      <w:r>
        <w:rPr>
          <w:rFonts w:ascii="Arial" w:cs="Arial" w:eastAsia="Arial" w:hAnsi="Arial"/>
          <w:sz w:val="16"/>
          <w:szCs w:val="16"/>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41" w:lineRule="exact"/>
        <w:rPr>
          <w:sz w:val="20"/>
          <w:szCs w:val="20"/>
          <w:color w:val="auto"/>
        </w:rPr>
      </w:pPr>
    </w:p>
    <w:p>
      <w:pPr>
        <w:ind w:left="244" w:hanging="244"/>
        <w:spacing w:after="0"/>
        <w:tabs>
          <w:tab w:leader="none" w:pos="2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ind w:left="4" w:hanging="4"/>
        <w:spacing w:after="0" w:line="286" w:lineRule="auto"/>
        <w:tabs>
          <w:tab w:leader="none" w:pos="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tendering (either actually or, if and so long as the Common Stock is registered under Section 12(b) or 12(g) of the Exchange Act, by attestation) shares of Common Stock already owned by the Participant (for the period necessary to avoid a charge to the Company’s earnings for financial reporting purposes) having a Fair Market Value on the day prior to the exercise date equal to the aggregate Option exercise price;</w:t>
      </w:r>
    </w:p>
    <w:p>
      <w:pPr>
        <w:spacing w:after="0" w:line="165" w:lineRule="exact"/>
        <w:rPr>
          <w:rFonts w:ascii="Arial" w:cs="Arial" w:eastAsia="Arial" w:hAnsi="Arial"/>
          <w:sz w:val="17"/>
          <w:szCs w:val="17"/>
          <w:color w:val="auto"/>
        </w:rPr>
      </w:pPr>
    </w:p>
    <w:p>
      <w:pPr>
        <w:ind w:left="4" w:hanging="4"/>
        <w:spacing w:after="0" w:line="257"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proceeds to pay the Option exercise price and any withholding tax obligations that may arise in connection with the exercise and (ii) the Company to deliver the certificates for such purchased shares directly to such brokerage firm, all in accordance with the regulations of the Federal Reserve Board; or</w:t>
      </w:r>
    </w:p>
    <w:p>
      <w:pPr>
        <w:sectPr>
          <w:pgSz w:w="11900" w:h="16838" w:orient="portrait"/>
          <w:cols w:equalWidth="0" w:num="1">
            <w:col w:w="10944"/>
          </w:cols>
          <w:pgMar w:left="436" w:top="486" w:right="51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(d) such other consideration as the Plan Administrator may permit.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7.6 Post-Termination Exercises</w:t>
      </w:r>
    </w:p>
    <w:p>
      <w:pPr>
        <w:spacing w:after="0" w:line="121" w:lineRule="exact"/>
        <w:rPr>
          <w:sz w:val="20"/>
          <w:szCs w:val="20"/>
          <w:color w:val="auto"/>
        </w:rPr>
      </w:pPr>
    </w:p>
    <w:p>
      <w:pPr>
        <w:ind w:left="4"/>
        <w:spacing w:after="0" w:line="301" w:lineRule="auto"/>
        <w:rPr>
          <w:sz w:val="20"/>
          <w:szCs w:val="20"/>
          <w:color w:val="auto"/>
        </w:rPr>
      </w:pPr>
      <w:r>
        <w:rPr>
          <w:rFonts w:ascii="Arial" w:cs="Arial" w:eastAsia="Arial" w:hAnsi="Arial"/>
          <w:sz w:val="16"/>
          <w:szCs w:val="16"/>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49" w:lineRule="exact"/>
        <w:rPr>
          <w:sz w:val="20"/>
          <w:szCs w:val="20"/>
          <w:color w:val="auto"/>
        </w:rPr>
      </w:pPr>
    </w:p>
    <w:p>
      <w:pPr>
        <w:ind w:left="4" w:right="280" w:hanging="4"/>
        <w:spacing w:after="0" w:line="277"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portion of an Option that is not vested and exercisable on the date of termination of the Participant’s employment or service relationship (the “Termination Date”) shall expire on such date.</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portion of an Option that is vested and exercisable on the Termination Date shall expire upon the earliest to occur of</w:t>
      </w:r>
    </w:p>
    <w:p>
      <w:pPr>
        <w:spacing w:after="0" w:line="225" w:lineRule="exact"/>
        <w:rPr>
          <w:sz w:val="20"/>
          <w:szCs w:val="20"/>
          <w:color w:val="auto"/>
        </w:rPr>
      </w:pPr>
    </w:p>
    <w:p>
      <w:pPr>
        <w:ind w:left="224" w:hanging="224"/>
        <w:spacing w:after="0"/>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last day of the Option Term;</w:t>
      </w:r>
    </w:p>
    <w:p>
      <w:pPr>
        <w:spacing w:after="0" w:line="225" w:lineRule="exact"/>
        <w:rPr>
          <w:rFonts w:ascii="Arial" w:cs="Arial" w:eastAsia="Arial" w:hAnsi="Arial"/>
          <w:sz w:val="18"/>
          <w:szCs w:val="18"/>
          <w:color w:val="auto"/>
        </w:rPr>
      </w:pPr>
    </w:p>
    <w:p>
      <w:pPr>
        <w:ind w:left="4" w:right="500" w:hanging="4"/>
        <w:spacing w:after="0" w:line="277" w:lineRule="auto"/>
        <w:tabs>
          <w:tab w:leader="none" w:pos="2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Participant’s Termination Date occurs for reasons other than Cause, Retirement, death or Disability, the three-month anniversary of such Termination Date; and</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Participant’s Termination Date occurs by reason of Retirement, Disability or death, the one-year anniversary of such Termination Date.</w:t>
      </w:r>
    </w:p>
    <w:p>
      <w:pPr>
        <w:spacing w:after="0" w:line="23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184"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 If any facts that would constitute termination for Cause are discovered after a Participant’s Termination Date, any Option then held by the Participant may be immediately terminated by the Plan Administrator, in its sole discretion.</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8. INCENTIVE STOCK OPTION LIMITATIONS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To the extent required by Section 422 of the Code, Incentive Stock Options shall be subject to the following additional terms and conditions:</w:t>
      </w:r>
    </w:p>
    <w:p>
      <w:pPr>
        <w:sectPr>
          <w:pgSz w:w="11900" w:h="16838" w:orient="portrait"/>
          <w:cols w:equalWidth="0" w:num="1">
            <w:col w:w="10984"/>
          </w:cols>
          <w:pgMar w:left="436" w:top="490" w:right="47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8.1 Dollar Limitation</w:t>
      </w:r>
    </w:p>
    <w:p>
      <w:pPr>
        <w:spacing w:after="0" w:line="121" w:lineRule="exact"/>
        <w:rPr>
          <w:sz w:val="20"/>
          <w:szCs w:val="20"/>
          <w:color w:val="auto"/>
        </w:rPr>
      </w:pPr>
    </w:p>
    <w:p>
      <w:pPr>
        <w:ind w:left="4" w:right="120"/>
        <w:spacing w:after="0" w:line="301" w:lineRule="auto"/>
        <w:rPr>
          <w:sz w:val="20"/>
          <w:szCs w:val="20"/>
          <w:color w:val="auto"/>
        </w:rPr>
      </w:pPr>
      <w:r>
        <w:rPr>
          <w:rFonts w:ascii="Arial" w:cs="Arial" w:eastAsia="Arial" w:hAnsi="Arial"/>
          <w:sz w:val="16"/>
          <w:szCs w:val="16"/>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8.2 More Than 10% Shareholders</w:t>
      </w:r>
    </w:p>
    <w:p>
      <w:pPr>
        <w:spacing w:after="0" w:line="12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If an individual owns more than 10% of the total combined voting power of all classes of the stock of the Company or of its parent or subsidiary corporations,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8.3 Eligible Employees</w:t>
      </w:r>
    </w:p>
    <w:p>
      <w:pPr>
        <w:spacing w:after="0" w:line="12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Individuals who are not employees of the Company or one of its parent corporations or subsidiary corporations may not be granted Incentive Stock Options.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8.4 Term</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Subject to Section 8.2, the Option Term shall not exceed ten years.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8.5 Exercisability</w:t>
      </w:r>
    </w:p>
    <w:p>
      <w:pPr>
        <w:spacing w:after="0" w:line="121" w:lineRule="exact"/>
        <w:rPr>
          <w:sz w:val="20"/>
          <w:szCs w:val="20"/>
          <w:color w:val="auto"/>
        </w:rPr>
      </w:pPr>
    </w:p>
    <w:p>
      <w:pPr>
        <w:jc w:val="both"/>
        <w:ind w:left="4" w:right="400"/>
        <w:spacing w:after="0" w:line="291" w:lineRule="auto"/>
        <w:rPr>
          <w:sz w:val="20"/>
          <w:szCs w:val="20"/>
          <w:color w:val="auto"/>
        </w:rPr>
      </w:pPr>
      <w:r>
        <w:rPr>
          <w:rFonts w:ascii="Arial" w:cs="Arial" w:eastAsia="Arial" w:hAnsi="Arial"/>
          <w:sz w:val="16"/>
          <w:szCs w:val="16"/>
          <w:color w:val="auto"/>
        </w:rPr>
        <w:t>An Option designated as an Incentive Stock Option shall cease to qualify for favorable tax treatment as an Incentive Stock Option to the extent it is exercised (if permitted by the terms of the Option) (a) more than three months after the Termination Date for reasons other than death or Disability,</w:t>
      </w:r>
    </w:p>
    <w:p>
      <w:pPr>
        <w:ind w:left="4" w:hanging="4"/>
        <w:spacing w:after="0" w:line="260" w:lineRule="auto"/>
        <w:tabs>
          <w:tab w:leader="none" w:pos="2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than one year after the Termination Date by reason of Disability, or (c) after the Participant has been on leave of absence for more than 90 days, unless the Participant’s reemployment rights are guaranteed by statute or contract.</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8.6 Notification of Disqualifying Disposition</w:t>
      </w:r>
    </w:p>
    <w:p>
      <w:pPr>
        <w:spacing w:after="0" w:line="121" w:lineRule="exact"/>
        <w:rPr>
          <w:sz w:val="20"/>
          <w:szCs w:val="20"/>
          <w:color w:val="auto"/>
        </w:rPr>
      </w:pPr>
    </w:p>
    <w:p>
      <w:pPr>
        <w:jc w:val="both"/>
        <w:ind w:left="4" w:right="320"/>
        <w:spacing w:after="0" w:line="263" w:lineRule="auto"/>
        <w:rPr>
          <w:sz w:val="20"/>
          <w:szCs w:val="20"/>
          <w:color w:val="auto"/>
        </w:rPr>
      </w:pPr>
      <w:r>
        <w:rPr>
          <w:rFonts w:ascii="Arial" w:cs="Arial" w:eastAsia="Arial" w:hAnsi="Arial"/>
          <w:sz w:val="18"/>
          <w:szCs w:val="18"/>
          <w:color w:val="auto"/>
        </w:rPr>
        <w:t>The Participant must promptly notify the Company of any disposition of the shares of Common Stock acquired upon exercise of an Incentive Stock Option that occurs prior to the expiration of the holding period required to receive the favorable tax treatment applicable to Incentive Stock Options, which period shall be set forth in the instrument evidencing the Option.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8.7 Code Definitions</w:t>
      </w:r>
    </w:p>
    <w:p>
      <w:pPr>
        <w:spacing w:after="0" w:line="121" w:lineRule="exact"/>
        <w:rPr>
          <w:sz w:val="20"/>
          <w:szCs w:val="20"/>
          <w:color w:val="auto"/>
        </w:rPr>
      </w:pPr>
    </w:p>
    <w:p>
      <w:pPr>
        <w:ind w:left="4" w:right="460"/>
        <w:spacing w:after="0" w:line="277" w:lineRule="auto"/>
        <w:rPr>
          <w:sz w:val="20"/>
          <w:szCs w:val="20"/>
          <w:color w:val="auto"/>
        </w:rPr>
      </w:pPr>
      <w:r>
        <w:rPr>
          <w:rFonts w:ascii="Arial" w:cs="Arial" w:eastAsia="Arial" w:hAnsi="Arial"/>
          <w:sz w:val="18"/>
          <w:szCs w:val="18"/>
          <w:color w:val="auto"/>
        </w:rPr>
        <w:t>For purposes of this Section 8, “parent corporation” and “subsidiary corporation” shall have the meanings attributed to those terms for purposes of Section 422 of the Code.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9. STOCK APPRECIATION RIGHTS</w:t>
      </w:r>
    </w:p>
    <w:p>
      <w:pPr>
        <w:spacing w:after="0" w:line="12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Plan Administrator is authorized to make Awards which shall entitle a Participant to exercise all or a specified portion of the Award (to the extent then exercisable pursuant to its terms) and to receive from the Company the excess of (a) the Fair Market Value of a share of Common Stock on the date of exercise over (b) the exercise price of the SAR which shall not be less than 100% of the Fair Market Value of the Common Stock on the Grant Date (“Stock Appreciation Rights” or “SARs”).</w:t>
      </w:r>
    </w:p>
    <w:p>
      <w:pPr>
        <w:sectPr>
          <w:pgSz w:w="11900" w:h="16838" w:orient="portrait"/>
          <w:cols w:equalWidth="0" w:num="1">
            <w:col w:w="11004"/>
          </w:cols>
          <w:pgMar w:left="436" w:top="486" w:right="459" w:bottom="1440" w:gutter="0" w:footer="0" w:header="0"/>
        </w:sectPr>
      </w:pPr>
    </w:p>
    <w:bookmarkStart w:id="17" w:name="page18"/>
    <w:bookmarkEnd w:id="17"/>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SARs may be granted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exercise of the SAR, whether the SAR shall be payable in cash or in shares of Common Stock, and the circumstances under which forfeiture of the SAR shall occur by reason of termination of the Participant’s employment or service relationship.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term of a SAR shall not exceed ten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DIVIDEND EQUIVALENTS/DIVIDENDS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Plan Administrator is authorized to make Awards which shall entitle a Participant to receive credit based on dividends that would have been paid on shares of Common Stock subject to an Award if such shares had been held by Participant at the time such dividend was declared (“Dividend Equivalents”), provided, however, that Dividend Equivalents shall not be granted in connection with Options or SARs. Dividend Equivalents may be granted on such terms and conditions and subject to such restrictions as the Plan Administrator shall determine, in its sole discretion, which terms, conditions and restrictions shall be set forth in the instrument evidencing the underlying Award. Notwithstanding the provisions of this Section 10, Dividend Equivalents granted with respect to any Award shall either be credited and accumulated and/or reinvested as additional units or shares in a bookkeeping account or otherwise, and in all events shall be subject to restrictions and risk of forfeiture to the same extent as the underlying Award and shall not be paid unless and until the underlying Award vests.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dividends that are distributable with respect to Restricted Stock shall be credited/accumulated, subject to restrictions and risk of forfeiture to the same extent as the underlying Award, and shall not be paid unless and until the underlying Award vests.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11.1 Restricted and Unrestricted Stock</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Plan Administrator is authorized to make Awards of Common Stock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(“Restricted Stock”). The terms, conditions and restrictions that the Plan Administrator shall have the power to determine shall include, without limitation, the manner in which shares of Restricted Stock are held during the periods they are subject to restrictions and the circumstances under which forfeiture of the Restricted Stock shall occur by reason of termination of the Participant’s employment or service relationship, if any.</w:t>
      </w:r>
    </w:p>
    <w:p>
      <w:pPr>
        <w:sectPr>
          <w:pgSz w:w="11900" w:h="16838" w:orient="portrait"/>
          <w:cols w:equalWidth="0" w:num="1">
            <w:col w:w="10960"/>
          </w:cols>
          <w:pgMar w:left="440" w:top="490" w:right="499" w:bottom="1440" w:gutter="0" w:footer="0" w:header="0"/>
        </w:sectPr>
      </w:pPr>
    </w:p>
    <w:bookmarkStart w:id="18" w:name="page19"/>
    <w:bookmarkEnd w:id="18"/>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Plan Administrator is also authorized to make Awards of Common Stock as described above but without imposing any restrictions (whether based on continuous service with the Company and/or a Related Corporation or the achievement of performance goals) on the shares of Common Stock subject to the Award (“Unrestricted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11.2 Stock Units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Plan Administrator is authorized to make Awards denominated in units of Common Stock (“Stock Units”)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issuance of the shares subject to the Stock Units to the Participant and the circumstances under which forfeiture of the Stock Units shall occur by reason of termination of the Participant’s employment or service relationship.</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11.3 Issuance of Shares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11.4 Waiver of Restrictions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Stock Award intended to be exempt under Section 162(m) of the Code for the year in which the Stock Award is settled in such a manner as would increase the amount of compensation otherwise payable to a Participant.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PERFORMANCE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Performance Shares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Plan Administrator may grant Awards of performance shares (“Performance Shares”) and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Shares may be adjusted on the basis of such further consideration as the Plan Administrator shall determine in its sole discretion.</w:t>
      </w:r>
    </w:p>
    <w:p>
      <w:pPr>
        <w:sectPr>
          <w:pgSz w:w="11900" w:h="16838" w:orient="portrait"/>
          <w:cols w:equalWidth="0" w:num="1">
            <w:col w:w="10940"/>
          </w:cols>
          <w:pgMar w:left="440" w:top="490" w:right="51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12.2 Performance Units</w:t>
      </w:r>
    </w:p>
    <w:p>
      <w:pPr>
        <w:spacing w:after="0" w:line="121"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The Plan Administrator may grant Awards of performance units (“Performance Units”) and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Units may be adjusted on the basis of such further consideration as the Plan Administrator shall determine in its sole discretion.</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13. CODE SECTION 162(m) PROVISIONS</w:t>
      </w:r>
    </w:p>
    <w:p>
      <w:pPr>
        <w:spacing w:after="0" w:line="121" w:lineRule="exact"/>
        <w:rPr>
          <w:sz w:val="20"/>
          <w:szCs w:val="20"/>
          <w:color w:val="auto"/>
        </w:rPr>
      </w:pPr>
    </w:p>
    <w:p>
      <w:pPr>
        <w:ind w:left="4" w:right="160" w:hanging="4"/>
        <w:spacing w:after="0" w:line="259"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the Plan Administrator determines at the time a Stock Award or a Performance Award is granted to a Participant who is then an officer that such Participant is, or is likely to be as of the end of the tax year in which the Company would claim a tax deduction in connection with such Award, a Covered Employee, then the Plan Administrator may provide that this Section 13 is applicable to such Award.</w:t>
      </w:r>
    </w:p>
    <w:p>
      <w:pPr>
        <w:spacing w:after="0" w:line="186" w:lineRule="exact"/>
        <w:rPr>
          <w:rFonts w:ascii="Arial" w:cs="Arial" w:eastAsia="Arial" w:hAnsi="Arial"/>
          <w:sz w:val="18"/>
          <w:szCs w:val="18"/>
          <w:color w:val="auto"/>
        </w:rPr>
      </w:pPr>
    </w:p>
    <w:p>
      <w:pPr>
        <w:ind w:left="4" w:right="20" w:hanging="4"/>
        <w:spacing w:after="0" w:line="284" w:lineRule="auto"/>
        <w:tabs>
          <w:tab w:leader="none" w:pos="259"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 Stock Award or a Performance Award is subject to this Section 13, then the lapsing of restrictions thereon and the distribution of cash, shares of Common Stock or other property pursuant thereto, as applicable, shall be subject to the achievement of one or more objective performance goals established by the Plan Administrator, which shall be based on the following business criteria, either individually, alternatively or in any combination, as reported or calculated by the Company: (i) earnings, including one or more of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 (vi) return on assets (gross or net), return on investment, return on capital, or return on equity; (vii) returns on sales or revenues; (viii) operating expenses; (ix) share price or total shareholder return; (x) cash flow, free cash flow, cash flow return on investment (discounted or otherwise), net cash provided by operations, or cash flow in excess of cost of capital; (xi) implementation or completion of critical projects or processes; (xii) cumulative earnings per share growth; (xiii) operating margin or profit margin; (xiv) cost targets, reductions and savings, productivity and efficiencies; (xv) strategic business criteria, consisting of one or more objectives based on meeting specified market penetration, product quality measures, geographic business expansion, customer satisfaction, employee satisfaction, human resources management, supervision of litigation, information technology, and goals relating to acquisitions, divestitures, joint ventures and similar transactions, and budget comparisons; (xvi) personal professional objectives, including any of the foregoing performance goals, the implementation of policies and plans, the negotiation of transactions, the development of long term business goals, formation of joint ventures, research or development collaborations, and the completion of other corporate transactions; (xvii) other measurable business drivers; and (xviii) any combination of, or a specified increase in, any of the foregoing, any of which may be used to measure the performance of the Company as a whole or with respect to any business unit, Subsidiary or business segment of the Company, either individually, alternatively or in any combination, and may be measured either annually or cumulatively over a period of years or other period, on an absolute basis or relative to a pre-established target, to previous period results or to a designated comparison group. Any performance goals that are financial metrics, may be determined in accordance with U.S. Generally Accepted Accounting Principles (“GAAP”), in accordance with accounting principles established by the International Accounting Standards Board (“IASB Principles”), or may be adjusted when established to include or exclude any items otherwise includable or excludable under GAAP or under IASB Principles. The Plan Administrator may provide for exclusion of the impact of an event or occurrence which the Plan Administrator determines should appropriately be excluded, including (a) restructurings, discontinued operations, extraordinary items, and other unusual, infrequently occurring or non-recurring charges or events, (b) asset write-downs, (c) litigation or claim judgments or settlements, (d) acquisitions or divestitures,</w:t>
      </w:r>
    </w:p>
    <w:p>
      <w:pPr>
        <w:sectPr>
          <w:pgSz w:w="11900" w:h="16838" w:orient="portrait"/>
          <w:cols w:equalWidth="0" w:num="1">
            <w:col w:w="11024"/>
          </w:cols>
          <w:pgMar w:left="436" w:top="486" w:right="439" w:bottom="1440" w:gutter="0" w:footer="0" w:header="0"/>
        </w:sectPr>
      </w:pPr>
    </w:p>
    <w:bookmarkStart w:id="20" w:name="page21"/>
    <w:bookmarkEnd w:id="20"/>
    <w:p>
      <w:pPr>
        <w:ind w:left="4" w:right="20" w:hanging="4"/>
        <w:spacing w:after="0" w:line="263"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w:t>
      </w:r>
    </w:p>
    <w:p>
      <w:pPr>
        <w:spacing w:after="0" w:line="184" w:lineRule="exact"/>
        <w:rPr>
          <w:sz w:val="20"/>
          <w:szCs w:val="20"/>
          <w:color w:val="auto"/>
        </w:rPr>
      </w:pPr>
    </w:p>
    <w:p>
      <w:pPr>
        <w:ind w:left="264" w:hanging="264"/>
        <w:spacing w:after="0"/>
        <w:tabs>
          <w:tab w:leader="none" w:pos="2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change in the fiscal year of the Company, (i) the refinancing or repurchase of bank loans or debt securities, (j), unbudgeted capital expenditures,</w:t>
      </w:r>
    </w:p>
    <w:p>
      <w:pPr>
        <w:spacing w:after="0" w:line="46" w:lineRule="exact"/>
        <w:rPr>
          <w:rFonts w:ascii="Arial" w:cs="Arial" w:eastAsia="Arial" w:hAnsi="Arial"/>
          <w:sz w:val="16"/>
          <w:szCs w:val="16"/>
          <w:color w:val="auto"/>
        </w:rPr>
      </w:pPr>
    </w:p>
    <w:p>
      <w:pPr>
        <w:ind w:left="4" w:right="260" w:hanging="4"/>
        <w:spacing w:after="0" w:line="260"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or repurchase of equity securities and other changes in the number of outstanding shares, (l) conversion of some or all of convertible securities to common stock, (m) any business interruption event</w:t>
      </w:r>
    </w:p>
    <w:p>
      <w:pPr>
        <w:spacing w:after="0" w:line="185" w:lineRule="exact"/>
        <w:rPr>
          <w:sz w:val="20"/>
          <w:szCs w:val="20"/>
          <w:color w:val="auto"/>
        </w:rPr>
      </w:pPr>
    </w:p>
    <w:p>
      <w:pPr>
        <w:ind w:left="4" w:hanging="4"/>
        <w:spacing w:after="0" w:line="259"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cumulative effects of tax or accounting changes in accordance with U.S. generally accepted accounting principles, or (o) the effect of changes in other laws or regulatory rules affecting reported results. Such performance goals (and any exclusions) shall be set by the Plan Administrator within the time period prescribed by, and shall otherwise comply with the requirements of, Section 162(m) of the Code, or any successor provision thereto, and the regulations thereunder.</w:t>
      </w:r>
    </w:p>
    <w:p>
      <w:pPr>
        <w:spacing w:after="0" w:line="187" w:lineRule="exact"/>
        <w:rPr>
          <w:sz w:val="20"/>
          <w:szCs w:val="20"/>
          <w:color w:val="auto"/>
        </w:rPr>
      </w:pPr>
    </w:p>
    <w:p>
      <w:pPr>
        <w:ind w:left="4" w:right="280" w:hanging="4"/>
        <w:spacing w:after="0" w:line="301"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Notwithstanding any provision of the Plan other than Section 16, with respect to any Stock Award or Performance Award that is subject to this Section 13, the Plan Administrator may adjust downwards, but not upwards, the amount payable pursuant to such Award, and the Plan Administrator may not waive the achievement of the applicable performance goals except in the case of the death or Disability of the Covered Employee or as otherwise determined by the Plan Administrator in special circumstances subject to any restrictions of Section 162(m) of the Code.</w:t>
      </w:r>
    </w:p>
    <w:p>
      <w:pPr>
        <w:sectPr>
          <w:pgSz w:w="11900" w:h="16838" w:orient="portrait"/>
          <w:cols w:equalWidth="0" w:num="1">
            <w:col w:w="10964"/>
          </w:cols>
          <w:pgMar w:left="436" w:top="490" w:right="499" w:bottom="1440" w:gutter="0" w:footer="0" w:header="0"/>
        </w:sectPr>
      </w:pPr>
    </w:p>
    <w:bookmarkStart w:id="21" w:name="page22"/>
    <w:bookmarkEnd w:id="21"/>
    <w:p>
      <w:pPr>
        <w:ind w:left="244" w:hanging="244"/>
        <w:spacing w:after="0"/>
        <w:tabs>
          <w:tab w:leader="none" w:pos="244"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Plan Administrator shall have the power to impose such other restrictions on Awards subject to this Section 13 as it may deem necessary or</w:t>
      </w:r>
    </w:p>
    <w:p>
      <w:pPr>
        <w:spacing w:after="0" w:line="46" w:lineRule="exact"/>
        <w:rPr>
          <w:rFonts w:ascii="Arial" w:cs="Arial" w:eastAsia="Arial" w:hAnsi="Arial"/>
          <w:sz w:val="16"/>
          <w:szCs w:val="16"/>
          <w:color w:val="auto"/>
        </w:rPr>
      </w:pPr>
    </w:p>
    <w:p>
      <w:pPr>
        <w:ind w:left="4" w:right="180"/>
        <w:spacing w:after="0" w:line="260" w:lineRule="auto"/>
        <w:rPr>
          <w:rFonts w:ascii="Arial" w:cs="Arial" w:eastAsia="Arial" w:hAnsi="Arial"/>
          <w:sz w:val="16"/>
          <w:szCs w:val="16"/>
          <w:color w:val="auto"/>
        </w:rPr>
      </w:pPr>
      <w:r>
        <w:rPr>
          <w:rFonts w:ascii="Arial" w:cs="Arial" w:eastAsia="Arial" w:hAnsi="Arial"/>
          <w:sz w:val="18"/>
          <w:szCs w:val="18"/>
          <w:color w:val="auto"/>
        </w:rPr>
        <w:t>appropriate to ensure that such Awards satisfy all requirements for “performance-based compensation” within the meaning of Section 162(m)(4)(C) of the Code, or any successor provision thereto.</w:t>
      </w:r>
    </w:p>
    <w:p>
      <w:pPr>
        <w:spacing w:after="0" w:line="185" w:lineRule="exact"/>
        <w:rPr>
          <w:rFonts w:ascii="Arial" w:cs="Arial" w:eastAsia="Arial" w:hAnsi="Arial"/>
          <w:sz w:val="16"/>
          <w:szCs w:val="16"/>
          <w:color w:val="auto"/>
        </w:rPr>
      </w:pPr>
    </w:p>
    <w:p>
      <w:pPr>
        <w:ind w:left="4" w:right="60" w:hanging="4"/>
        <w:spacing w:after="0" w:line="255"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adjustment from time to time as provided in Section 16.1, no Participant may be granted Options, SARs, Stock Awards or Performance Shares subject to this Section 13, in each case, to the extent the Awards are intended to constitute “Qualified Performance-Based Compensation,” in any calendar year period with respect to more than 300,000 shares of Common Stock for such Award in the aggregate, except that the Company may make additional one time grants of such Awards for up to 300,000 shares in the aggregate to newly hired individuals (for the applicable year of hire), and the maximum dollar value payable with respect to Performance Units subject to this Section 13 granted to any Participant in any one calendar year is $4,000,000.</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14. WITHHOLDING</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The Company or the Related Corporation, as applicable, shall have the authority and right to deduct or withhold from any payments made to the Participant by the Company or the Related Corporation, or require the Participant to pay to the Company or the Related Corporation, the amount of any withholding taxes that the Company or a Related Corporation determines is required to withhold with respect to the grant, vesting or exercise of any Award. Subject to the Plan and applicable law, the Plan Administrator may, in its sole discretion and in satisfaction of the foregoing requirement, in whole or in part, (a) allow a Participant to pay cash, (b) allow the Company to withhold, or allow a Participant to elect to have the Company withhold, shares of Common Stock having a fair market value equal to the sums required to be withheld, which may be determined using rates of up to the minimum federal, state, local and/or foreign rates applicable in a particular jurisdiction (with the fair market value of the shares to be withheld and the applicable rate of tax withholding determined on the date that the amount of tax to be withheld is to be determined) or as determined by the Plan Administrator, (c) allow the transfer to the Company shares of Common Stock (already owned by the Participant for the period necessary to avoid a charge to the Company’s earnings for financial reporting purposes), in such amounts as are equivalent to the fair market value of the withholding obligation, or (d) may permit any other method set forth in the instrument evidencing the Award. No Common Stock shall be delivered hereunder to any Participant or other person until the Participant or such other person has made arrangements acceptable to the Plan Administrator for the satisfaction of these tax obligations with respect to any taxable event concerning the Participant or such other person arising as a result of Awards made under this Plan.</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15. ASSIGNABILITY</w:t>
      </w:r>
    </w:p>
    <w:p>
      <w:pPr>
        <w:spacing w:after="0" w:line="121"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Except as provided below, Awards granted under the Plan and any interest therein may not be assigned, pledged or transferred by the Participant and may not be made subject to attachment or similar proceedings otherwise than by will or by the applicable laws of descent and distribution, except to the extent the instrument evidencing the Award provides that a Participant may designate a beneficiary on a Company-approved form who may exercise the Award or receive payment under the Award after the Participant’s death, and the Participant has made such a designation. During a Participant’s lifetime, Awards may be exercised only by the Participant. To the extent permitted by Section 422 of the Code and under such terms and conditions as determined by the Plan Administrator and provided such transfer is consistent with securities offerings registered on a Form S-8, a Participant may assign or transfer an Award without consideration (each transferee thereof, a “Permitted Assignee”); provided that such Permitted Assignee shall be bound by and subject to all of the terms and conditions of the Plan and the Award agreement relating to the transferred Award and shall execute an agreement satisfactory to the Company evidencing such obligations; and provided further that such Participant shall remain bound by the terms and conditions of the Plan.</w:t>
      </w:r>
    </w:p>
    <w:p>
      <w:pPr>
        <w:sectPr>
          <w:pgSz w:w="11900" w:h="16838" w:orient="portrait"/>
          <w:cols w:equalWidth="0" w:num="1">
            <w:col w:w="11004"/>
          </w:cols>
          <w:pgMar w:left="436" w:top="490"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SECTION 16. ADJUSTMENTS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16.1 Adjustment of Shares</w:t>
      </w:r>
    </w:p>
    <w:p>
      <w:pPr>
        <w:spacing w:after="0" w:line="121"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In the event that, at any time or from time to time, a stock dividend, stock split, reverse stock split, reorganization, split-up, spin-off, combination, repurchase, or exchange of shares of Common Stock or other securities of the Company, recapitalization, merger, consolidation, distribution to shareholders other than a normal cash dividend (whether in the form of cash, securities of the Company or other property), or other change in the Company’s corporate or capital structure affects the Common Stock or its value or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subject to the Plan and the maximum number and kind of securities that may be made subject to certain Awards as set forth in Section 4.1, (ii) the number and kind of securities that are subject to any outstanding Award and the per share price of such securities, without any change in the aggregate price to be paid therefor, (iii) the number and kind of securities automatically granted pursuant to a formula program established under the Plan, and (iv) the maximum number of securities subject to an Award to which Section 13 applies as set forth in Section 13(e). The determination by the Plan Administrator as to the terms of any of the foregoing adjustments shall be conclusive and binding.</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 Change in Control Transaction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16.2.1 Definitions</w:t>
      </w:r>
    </w:p>
    <w:p>
      <w:pPr>
        <w:spacing w:after="0" w:line="121"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“Change in Control Transaction” shall be deemed to have occurred if any of the events set forth in any one of the following paragraphs shall have occurred:</w:t>
      </w:r>
    </w:p>
    <w:p>
      <w:pPr>
        <w:spacing w:after="0" w:line="62" w:lineRule="exact"/>
        <w:rPr>
          <w:sz w:val="20"/>
          <w:szCs w:val="20"/>
          <w:color w:val="auto"/>
        </w:rPr>
      </w:pPr>
    </w:p>
    <w:p>
      <w:pPr>
        <w:jc w:val="both"/>
        <w:ind w:left="4" w:right="80" w:hanging="4"/>
        <w:spacing w:after="0" w:line="259"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Person is or becomes the Beneficial Owner (as such term is set forth in Rule 13d-3 under the Exchange Act), directly or indirectly, of securities of the Company representing 25% or more of either the then outstanding shares of common stock of the Company or the combined voting power of the Company’s then outstanding securities, excluding any Person who becomes such a Beneficial Owner in connection with a transaction described in Section 16.2.1(c)(i);</w:t>
      </w:r>
    </w:p>
    <w:p>
      <w:pPr>
        <w:sectPr>
          <w:pgSz w:w="11900" w:h="16838" w:orient="portrait"/>
          <w:cols w:equalWidth="0" w:num="1">
            <w:col w:w="10984"/>
          </w:cols>
          <w:pgMar w:left="436" w:top="486" w:right="479" w:bottom="1440" w:gutter="0" w:footer="0" w:header="0"/>
        </w:sectPr>
      </w:pPr>
    </w:p>
    <w:bookmarkStart w:id="23" w:name="page24"/>
    <w:bookmarkEnd w:id="23"/>
    <w:p>
      <w:pPr>
        <w:ind w:left="4" w:hanging="4"/>
        <w:spacing w:after="0" w:line="254"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 change in the composition of the Board during any two-year period such that the individuals who, as of the date of this agreement,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91" w:lineRule="exact"/>
        <w:rPr>
          <w:rFonts w:ascii="Arial" w:cs="Arial" w:eastAsia="Arial" w:hAnsi="Arial"/>
          <w:sz w:val="18"/>
          <w:szCs w:val="18"/>
          <w:color w:val="auto"/>
        </w:rPr>
      </w:pPr>
    </w:p>
    <w:p>
      <w:pPr>
        <w:ind w:left="4" w:right="100" w:hanging="4"/>
        <w:spacing w:after="0" w:line="272" w:lineRule="auto"/>
        <w:tabs>
          <w:tab w:leader="none" w:pos="2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(as such term is set forth in Rule 12b-2 promulgated under Section 12 of the Exchange Act)) representing 25% or more of the combined voting power of the Company’s then outstanding securities; or</w:t>
      </w:r>
    </w:p>
    <w:p>
      <w:pPr>
        <w:spacing w:after="0" w:line="177" w:lineRule="exact"/>
        <w:rPr>
          <w:rFonts w:ascii="Arial" w:cs="Arial" w:eastAsia="Arial" w:hAnsi="Arial"/>
          <w:sz w:val="17"/>
          <w:szCs w:val="17"/>
          <w:color w:val="auto"/>
        </w:rPr>
      </w:pPr>
    </w:p>
    <w:p>
      <w:pPr>
        <w:ind w:left="4" w:right="60" w:hanging="4"/>
        <w:spacing w:after="0" w:line="279" w:lineRule="auto"/>
        <w:tabs>
          <w:tab w:leader="none" w:pos="2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shareholders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shareholders of the Company in substantially the same proportions as their ownership of the Company immediately prior to such sale.</w:t>
      </w:r>
    </w:p>
    <w:p>
      <w:pPr>
        <w:spacing w:after="0" w:line="171"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For purposes of this Section 16.2.1,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188"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For clarity, a Change in Control Transaction shall not be deemed to have occurred in the event of a reorganization of the Company and/or any Related Corporations nor in the event of a reincorporation of the Company or any Related Corporation in another jurisdiction.</w:t>
      </w:r>
    </w:p>
    <w:p>
      <w:pPr>
        <w:sectPr>
          <w:pgSz w:w="11900" w:h="16838" w:orient="portrait"/>
          <w:cols w:equalWidth="0" w:num="1">
            <w:col w:w="10984"/>
          </w:cols>
          <w:pgMar w:left="436" w:top="490"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16.2.2 Assumption of Awards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Notwithstanding Section 16.1 hereof, and except as provided in Section 16.2.3 and as may otherwise be provided in the instrument evidencing the Award or in written employment or services or other agreement between a Participant and the Company or a Related Corporation in connection with an Award, if in the event of a Change in Control Transaction a Participant’s Awards are not assumed, converted, continued, replaced or an equivalent award is not substituted for the Awards by the surviving corporation, the successor corporation or its parent corporation, as applicable, (the “Successor Corporation”), the Participant shall fully vest in and, if applicable, have the right to exercise the Award as to all of the shares of Common Stock subject thereto, including shares as to which the Award would not otherwise be vested or, if applicable, exercisable. If an Award is in the form of an exercisable right that will become fully vested and exercisable in lieu of assumption or substitution in the event of a Change in Control Transaction, the Plan Administrator shall notify the Participant in writing or electronically that the Award shall be fully vested and exercisable for a specified time period after the date of such notice, and the Award shall terminate upon the expiration of such period, in each case conditioned on the consummation of the Change in Control Transaction. For the purposes of this Section 16.2.2, the Award shall be considered assumed if, following the Change in Control Transaction, the assumed right confers the right to purchase or receive, for each share of Common Stock subject to the Award immediately prior to the Change in Control Transaction, the consideration (whether stock, cash, or other securities or property) received in the Change in Control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Transaction is not solely common stock of the Successor Corporation, the Plan Administrator may, with the consent of the Successor Corporation, provide for the consideration to be received upon the settlement or exercise of the Award, for each share of Common Stock subject thereto, to be solely common stock of the Successor Corporation equal in fair market value to the per share consideration received by holders of Common Stock in the Change in Control Transaction. The Plan Administrator may provide that Awards shall terminate and cease to remain outstanding immediately prior to the consummation of the Change in Control Transaction, except to the extent assumed by the Successor Corporation. The portion of any Incentive Stock Option accelerated in connection with a Change in Control Transaction shall remain exercisable as an Incentive Stock Option only to the extent the applicable One Hundred Thousand Dollar ($100,000) limitation is not exceeded. To the extent such dollar limitation is exceeded, the accelerated portion of such Option shall be exercisable as a non-statutory option under the U.S. federal tax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16.2.3 Performance Awards</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the event of a Change in Control Transaction, the vesting and payout of Performance Awards shall be as provided in the instrument evidencing the Award or in a written employment or services agreement between a Participant and the Company or a Related Corporation.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16.3 Further Adjustment of Awards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Subject to Section 16.2, the Plan Administrator shall have the discretion, exercisable at any time before a sale, merger, consolidation, reorganization, liquidation or change in control of the Company, as defined by the Plan Administrator, to take such further action as it determines to be necessary or advisable, and fair and equitable to the Participants, with respect to Awards. The Plan Administrator may take such action before or after granting Awards to which the action relates and before or after any public announcement with respect to such sale, merger, consolidation, reorganization, liquidation or change in control that is the reason for such action. Such authorized action may include (but shall not be limited to) the following, and the Plan Administrator may take such actions with respect to all Participants, to certain categories of Participants or only to individual Participants; provided, however, that any vesting acceleration of outstanding Awards shall in all cases be subject to the consummation of the sale, merger, other similar transaction or change in control:</w:t>
      </w:r>
    </w:p>
    <w:p>
      <w:pPr>
        <w:sectPr>
          <w:pgSz w:w="11900" w:h="16838" w:orient="portrait"/>
          <w:cols w:equalWidth="0" w:num="1">
            <w:col w:w="11000"/>
          </w:cols>
          <w:pgMar w:left="440" w:top="486" w:right="459" w:bottom="1440" w:gutter="0" w:footer="0" w:header="0"/>
        </w:sectPr>
      </w:pPr>
    </w:p>
    <w:bookmarkStart w:id="25" w:name="page26"/>
    <w:bookmarkEnd w:id="25"/>
    <w:p>
      <w:pPr>
        <w:ind w:left="4" w:right="100" w:hanging="4"/>
        <w:spacing w:after="0" w:line="277"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establishing, amending or waiving the type, terms, conditions or duration of, or restrictions on, Awards so as to provide for earlier, later, extended or additional time for exercise, lifting restrictions and other modifications;</w:t>
      </w:r>
    </w:p>
    <w:p>
      <w:pPr>
        <w:spacing w:after="0" w:line="170" w:lineRule="exact"/>
        <w:rPr>
          <w:rFonts w:ascii="Arial" w:cs="Arial" w:eastAsia="Arial" w:hAnsi="Arial"/>
          <w:sz w:val="18"/>
          <w:szCs w:val="18"/>
          <w:color w:val="auto"/>
        </w:rPr>
      </w:pPr>
    </w:p>
    <w:p>
      <w:pPr>
        <w:ind w:left="4" w:right="140" w:hanging="4"/>
        <w:spacing w:after="0" w:line="275" w:lineRule="auto"/>
        <w:tabs>
          <w:tab w:leader="none" w:pos="2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providing for either (i)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16.3 the Plan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Plan Administrator in its sole discretion;</w:t>
      </w:r>
    </w:p>
    <w:p>
      <w:pPr>
        <w:spacing w:after="0" w:line="176" w:lineRule="exact"/>
        <w:rPr>
          <w:rFonts w:ascii="Arial" w:cs="Arial" w:eastAsia="Arial" w:hAnsi="Arial"/>
          <w:sz w:val="17"/>
          <w:szCs w:val="17"/>
          <w:color w:val="auto"/>
        </w:rPr>
      </w:pPr>
    </w:p>
    <w:p>
      <w:pPr>
        <w:ind w:left="4" w:right="60" w:hanging="4"/>
        <w:spacing w:after="0" w:line="277"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adjustments in the number and type of shares of Common Stock (or other securities or property) subject to outstanding Awards, and/or in the terms and conditions of (including the grant or exercise price), and the criteria included in, outstanding Awards;</w:t>
      </w:r>
    </w:p>
    <w:p>
      <w:pPr>
        <w:spacing w:after="0" w:line="170" w:lineRule="exact"/>
        <w:rPr>
          <w:rFonts w:ascii="Arial" w:cs="Arial" w:eastAsia="Arial" w:hAnsi="Arial"/>
          <w:sz w:val="18"/>
          <w:szCs w:val="18"/>
          <w:color w:val="auto"/>
        </w:rPr>
      </w:pPr>
    </w:p>
    <w:p>
      <w:pPr>
        <w:ind w:left="4" w:right="1060" w:hanging="4"/>
        <w:spacing w:after="0" w:line="277"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of Common Stock covered thereby, notwithstanding anything to the contrary in the Plan or the applicable agreement evidencing the Award; and</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16.4 Limitations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16.5 Fractional Shares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In the event of any adjustment in the number of shares covered by any Award, each such Award shall cover only the number of full shares resulting from such adjustment.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17. AMENDMENT AND TERMINATION OF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17.1 Amendment of Plan</w:t>
      </w:r>
    </w:p>
    <w:p>
      <w:pPr>
        <w:spacing w:after="0" w:line="1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Plan may be amended only by the Board in such respects as it shall 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Options, or (c) otherwise require shareholder approval under any applicable law or regulation. Any amendment made to the Plan that would constitute a “modification” to Incentive Stock Options outstanding on the date of such amendment shall not, without the consent of the Participant, be applicable to such outstanding Incentive Stock Options but shall have prospective effect only.</w:t>
      </w:r>
    </w:p>
    <w:p>
      <w:pPr>
        <w:sectPr>
          <w:pgSz w:w="11900" w:h="16838" w:orient="portrait"/>
          <w:cols w:equalWidth="0" w:num="1">
            <w:col w:w="11004"/>
          </w:cols>
          <w:pgMar w:left="436" w:top="490" w:right="45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17.2 Suspension or Termination of Plan</w:t>
      </w:r>
    </w:p>
    <w:p>
      <w:pPr>
        <w:spacing w:after="0" w:line="121"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The Board may suspend or terminate the Plan at any time. The Plan shall have no fixed expiration date; provided, however, that no Incentive Stock Options may be granted more than ten years after the later of (a) the Plan’s adoption by the Board and (b) the adoption by the Board of any amendment to the Plan that constitutes the adoption of a new plan for purposes of Section 422 of the Code.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17.3 Consent of Participant</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The suspension, amendment or termination of the Plan or a portion thereof or the amendment of an outstanding Award shall not, without the Participant’s consent, impair or diminish any rights or obligations under any Award theretofore granted to the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16 and any amendment or other action contemplated under Section 18.9 or as may necessary or advisable to facilitate compliance with applicable law, as determined in the sole discretion of the Plan Administrator, shall not be subject to these restrictions.</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18. GENERAL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18.1 Evidence of Awards</w:t>
      </w:r>
    </w:p>
    <w:p>
      <w:pPr>
        <w:spacing w:after="0" w:line="121" w:lineRule="exact"/>
        <w:rPr>
          <w:sz w:val="20"/>
          <w:szCs w:val="20"/>
          <w:color w:val="auto"/>
        </w:rPr>
      </w:pPr>
    </w:p>
    <w:p>
      <w:pPr>
        <w:ind w:left="4" w:right="660"/>
        <w:spacing w:after="0" w:line="308" w:lineRule="auto"/>
        <w:rPr>
          <w:sz w:val="20"/>
          <w:szCs w:val="20"/>
          <w:color w:val="auto"/>
        </w:rPr>
      </w:pPr>
      <w:r>
        <w:rPr>
          <w:rFonts w:ascii="Arial" w:cs="Arial" w:eastAsia="Arial" w:hAnsi="Arial"/>
          <w:sz w:val="17"/>
          <w:szCs w:val="17"/>
          <w:color w:val="auto"/>
        </w:rPr>
        <w:t>Awards granted under the Plan shall be evidenced by a written instrument (which may also be in electronic form) that shall contain such terms, conditions, limitations and restrictions as the Plan Administrator shall deem advisable and that are not inconsistent with the Plan.</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18.2 No Individual Rights</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Nothing in the Plan or any Award granted under the Plan shall be deemed to constitute an employment contract or confer or be deemed to confer on any Participant any right to continue in the employ of, or to 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18.3 Transfer of Employment or Service Relationship; Leaves of Absence</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A Participant’s transfer of employment or service relationship between or among the Company and its Related Corporations, or a change in status from an employee to a consultant, agent, advisor or independent contractor or vice versa, shall not be considered a termination of employment or service relationship for purposes of the Plan, provided, however, that (i) written authorization of the Company’s Chief Executive Officer or a delegate of the Chief Executive Office must be obtained in order to rely on this provision, and</w:t>
      </w:r>
    </w:p>
    <w:p>
      <w:pPr>
        <w:spacing w:after="0" w:line="187" w:lineRule="exact"/>
        <w:rPr>
          <w:sz w:val="20"/>
          <w:szCs w:val="20"/>
          <w:color w:val="auto"/>
        </w:rPr>
      </w:pPr>
    </w:p>
    <w:p>
      <w:pPr>
        <w:ind w:left="4" w:right="420" w:hanging="4"/>
        <w:spacing w:after="0" w:line="277"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a transfer of employment or change in status may affect whether an Incentive Stock Option granted to Participant continues to qualify for favorable tax treatment as an Incentive Stock Option.</w:t>
      </w:r>
    </w:p>
    <w:p>
      <w:pPr>
        <w:sectPr>
          <w:pgSz w:w="11900" w:h="16838" w:orient="portrait"/>
          <w:cols w:equalWidth="0" w:num="1">
            <w:col w:w="10944"/>
          </w:cols>
          <w:pgMar w:left="436" w:top="486" w:right="519" w:bottom="1440" w:gutter="0" w:footer="0" w:header="0"/>
        </w:sectPr>
      </w:pPr>
    </w:p>
    <w:bookmarkStart w:id="27" w:name="page28"/>
    <w:bookmarkEnd w:id="27"/>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effect of a Company-approved leave of absence on the terms and conditions of an Award shall be determined by the Plan Administrator, in its sole discretion.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18.4 Compliance with Law</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exchange control law), and the applicable requirements of any securities exchange, similar entity or other governmental regulatory body, or prior to obtaining any approval or other clearance from any governmental authority, which compliance or approval the Company shall, in its absolute discretion, deem necessary or advisable; provided, however, that the Company shall have no any obligation to register or qualify the Common Stock with, or to seek approval or clearance from any, governmental authority for the issuance, sale or delivery of Common Stock.</w:t>
      </w:r>
    </w:p>
    <w:p>
      <w:pPr>
        <w:spacing w:after="0" w:line="19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shall be under no obligation to any Participant to register for offering or resale or to qualify for exemption under the Securities Act, or to register or qualify under state securities laws or any non-U.S. securities laws, any shares of Common Stock, security or interest in a security paid or issued under, or created by, the Plan, to continue in effect any such registrations or qualifications if made, or to seek approval or clearance from any governmental authority for the issuance, sale or delivery of Common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18.5 No Rights as a Shareholder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Option, SAR, Stock Unit or Performance Unit shall entitle the Participant to any cash dividend, voting or other right of a shareholder unless and until the date of issuance under the Plan of the shares that are the subject of such Award.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18.6 Interpretive Authority</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Notwithstanding anything in the Plan to the contrary, the Plan Administrator,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 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ectPr>
          <w:pgSz w:w="11900" w:h="16838" w:orient="portrait"/>
          <w:cols w:equalWidth="0" w:num="1">
            <w:col w:w="11000"/>
          </w:cols>
          <w:pgMar w:left="440" w:top="490"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18.7 Participants in Foreign Countries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To facilitate compliance with the laws in non-U.S. countries in which the Company and its Related Corporations operate or have Participants and/or to take advantage of specific tax treatment for Awards granted to Participants in such countries, the Plan Administrator shall have the power and authority to: (i) modify the terms and conditions of any Award; (ii) establish subplans and modify exercise procedures and other terms and procedures, to the extent such actions may be necessary or desirable, including adoption of rules, procedures or sub-plans applicable to particular Related Corporations or Participants residing in particular locations; provided, however, that no such subplans and/or modifications shall increase the share limitations contained in Sections 4 and 13(e) of the Plan; and (iii) take any action, before or after an Award is made, that it deems advisable to obtain approval or comply with any necessary local governmental regulatory exemptions or approvals. Notwithstanding the foregoing, the Plan Administrator may not take any actions hereunder, and no Awards shall be granted, that would violate the Exchange Act, the Code, any securities law or governing statute or any other law applicable to the Common Stock or the issuance of Common Stock under the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18.8 No Trust or Fund</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18.9 Section 409A</w:t>
      </w:r>
    </w:p>
    <w:p>
      <w:pPr>
        <w:spacing w:after="0" w:line="1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To the extent that the Plan Administrator determines that any Award granted under the Plan is subject to Section 409A of the Code, the written instrument evidencing such Award shall incorporate the terms and conditions required by Section 409A of the Code. To the extent applicable, the Plan and any written instrument evidencing any Award shall be interpreted in accordance with Section 409A of the Code and U.S. Department of Treasury regulations and other interpretive guidance issued thereunder, including without limitation any such regulations or other guidance that may be issued after the Restatement Effective Date. Notwithstanding any provision of the Plan to the contrary, in the event that following the Restatement Effective Date the Plan Administrator determines that any Award may be subject to Section 409A of the Code and related U.S. Department of Treasury guidance (including such U.S. Department of Treasury guidance as may be issued after the Restatement Effective Date), the Plan Administrator may, without consent of the Participant, adopt such amendments to the Plan and the applicable written instrument evidencing the Award or adopt other policies and procedures (including amendments, policies and procedures with retroactive effect), or take any other actions, including amendments or actions that would result in a reduction to the benefits payable under an Award, in each case, without the consent of the Participant, that the Plan Administrator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 Notwithstanding the foregoing, the Company makes no representation or covenant to ensure that the Awards and the payment are exempt from or compliant with Section 409A of the Code and will have no liability to the Participants or any other party if the Awards or payment of the Awards that are intended to be exempt from, or compliant with, Section 409A of the Code, are not so exempt or compliant or for any action taken by the Plan Administrator with respect thereto.</w:t>
      </w:r>
    </w:p>
    <w:p>
      <w:pPr>
        <w:sectPr>
          <w:pgSz w:w="11900" w:h="16838" w:orient="portrait"/>
          <w:cols w:equalWidth="0" w:num="1">
            <w:col w:w="11000"/>
          </w:cols>
          <w:pgMar w:left="440" w:top="486"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18.10 Severability</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18.11 Choice of Law</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Plan and all determinations made and actions taken pursuant hereto, to the extent not otherwise governed by the laws of the United States, shall be governed by the laws of the State of Washington without giving effect to conflict of laws principles.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CLAWBACK/RECOVERY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Plan Administrator may impose such other clawback, recovery or recoupment provisions on an Award as the Plan Administrator determines necessary or appropriate, including, but not limited to, a reacquisition right in respect of previously acquired shares of Common Stock or other cash or property upon the occurrence of cause (as determined by the Plan Administrator).</w:t>
      </w:r>
    </w:p>
    <w:p>
      <w:pPr>
        <w:sectPr>
          <w:pgSz w:w="11900" w:h="16838" w:orient="portrait"/>
          <w:cols w:equalWidth="0" w:num="1">
            <w:col w:w="11000"/>
          </w:cols>
          <w:pgMar w:left="440" w:top="486" w:right="459" w:bottom="1440" w:gutter="0" w:footer="0" w:header="0"/>
        </w:sectPr>
      </w:pPr>
    </w:p>
    <w:bookmarkStart w:id="30" w:name="page31"/>
    <w:bookmarkEnd w:id="30"/>
    <w:p>
      <w:pPr>
        <w:ind w:left="10080"/>
        <w:spacing w:after="0"/>
        <w:rPr>
          <w:sz w:val="20"/>
          <w:szCs w:val="20"/>
          <w:color w:val="auto"/>
        </w:rPr>
      </w:pPr>
      <w:r>
        <w:rPr>
          <w:rFonts w:ascii="Arial" w:cs="Arial" w:eastAsia="Arial" w:hAnsi="Arial"/>
          <w:sz w:val="16"/>
          <w:szCs w:val="16"/>
          <w:b w:val="1"/>
          <w:bCs w:val="1"/>
          <w:color w:val="auto"/>
        </w:rPr>
        <w:t>Exhibit 23.1</w:t>
      </w:r>
    </w:p>
    <w:p>
      <w:pPr>
        <w:spacing w:after="0" w:line="275"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868805" cy="419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1868805" cy="419735"/>
                    </a:xfrm>
                    <a:prstGeom prst="rect">
                      <a:avLst/>
                    </a:prstGeom>
                    <a:noFill/>
                  </pic:spPr>
                </pic:pic>
              </a:graphicData>
            </a:graphic>
          </wp:anchor>
        </w:drawing>
      </w:r>
    </w:p>
    <w:p>
      <w:pPr>
        <w:ind w:left="8580"/>
        <w:spacing w:after="0" w:line="196" w:lineRule="auto"/>
        <w:rPr>
          <w:sz w:val="20"/>
          <w:szCs w:val="20"/>
          <w:color w:val="auto"/>
        </w:rPr>
      </w:pPr>
      <w:r>
        <w:rPr>
          <w:rFonts w:ascii="Arial" w:cs="Arial" w:eastAsia="Arial" w:hAnsi="Arial"/>
          <w:sz w:val="18"/>
          <w:szCs w:val="18"/>
          <w:color w:val="auto"/>
        </w:rPr>
        <w:t>1015 2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Avenue,</w:t>
      </w:r>
    </w:p>
    <w:p>
      <w:pPr>
        <w:spacing w:after="0" w:line="1"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Suite 500</w:t>
      </w:r>
    </w:p>
    <w:p>
      <w:pPr>
        <w:spacing w:after="0" w:line="7"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Seattle, WA98104</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USA</w:t>
      </w:r>
    </w:p>
    <w:p>
      <w:pPr>
        <w:spacing w:after="0" w:line="1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Tel: +1 206 716 7000</w:t>
      </w:r>
    </w:p>
    <w:p>
      <w:pPr>
        <w:spacing w:after="0" w:line="2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Fax: +1 206 965 7000</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www.deloitte.com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reports dated February 27, 2023 relating to the financial statements of Itron, Inc. and the effectiveness of Itron, Inc.’s internal control over financial reporting, appearing in the Annual Report on Form 10-K of Itron, Inc. 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133731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1337310" cy="2228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2023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2"/>
    </w:lvl>
  </w:abstractNum>
  <w:abstractNum w:abstractNumId="7">
    <w:nsid w:val="25E45D32"/>
    <w:multiLevelType w:val="hybridMultilevel"/>
    <w:lvl w:ilvl="0">
      <w:lvlJc w:val="left"/>
      <w:lvlText w:val="(%1)"/>
      <w:numFmt w:val="lowerLetter"/>
      <w:start w:val="3"/>
    </w:lvl>
  </w:abstractNum>
  <w:abstractNum w:abstractNumId="8">
    <w:nsid w:val="519B500D"/>
    <w:multiLevelType w:val="hybridMultilevel"/>
    <w:lvl w:ilvl="0">
      <w:lvlJc w:val="left"/>
      <w:lvlText w:val="(%1)"/>
      <w:numFmt w:val="lowerLetter"/>
      <w:start w:val="4"/>
    </w:lvl>
  </w:abstractNum>
  <w:abstractNum w:abstractNumId="9">
    <w:nsid w:val="431BD7B7"/>
    <w:multiLevelType w:val="hybridMultilevel"/>
    <w:lvl w:ilvl="0">
      <w:lvlJc w:val="left"/>
      <w:lvlText w:val="(%1)"/>
      <w:numFmt w:val="lowerLetter"/>
      <w:start w:val="35"/>
    </w:lvl>
  </w:abstractNum>
  <w:abstractNum w:abstractNumId="10">
    <w:nsid w:val="3F2DBA31"/>
    <w:multiLevelType w:val="hybridMultilevel"/>
    <w:lvl w:ilvl="0">
      <w:lvlJc w:val="left"/>
      <w:lvlText w:val="(%1)"/>
      <w:numFmt w:val="lowerLetter"/>
      <w:start w:val="5"/>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Roman"/>
      <w:start w:val="1"/>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5"/>
    </w:lvl>
  </w:abstractNum>
  <w:abstractNum w:abstractNumId="17">
    <w:nsid w:val="721DA317"/>
    <w:multiLevelType w:val="hybridMultilevel"/>
    <w:lvl w:ilvl="0">
      <w:lvlJc w:val="left"/>
      <w:lvlText w:val="(%1)"/>
      <w:numFmt w:val="lowerLetter"/>
      <w:start w:val="8"/>
    </w:lvl>
  </w:abstractNum>
  <w:abstractNum w:abstractNumId="18">
    <w:nsid w:val="2443A858"/>
    <w:multiLevelType w:val="hybridMultilevel"/>
    <w:lvl w:ilvl="0">
      <w:lvlJc w:val="left"/>
      <w:lvlText w:val="(%1)"/>
      <w:numFmt w:val="lowerLetter"/>
      <w:start w:val="11"/>
    </w:lvl>
  </w:abstractNum>
  <w:abstractNum w:abstractNumId="19">
    <w:nsid w:val="2D1D5AE9"/>
    <w:multiLevelType w:val="hybridMultilevel"/>
    <w:lvl w:ilvl="0">
      <w:lvlJc w:val="left"/>
      <w:lvlText w:val="(%1)"/>
      <w:numFmt w:val="lowerLetter"/>
      <w:start w:val="14"/>
    </w:lvl>
  </w:abstractNum>
  <w:abstractNum w:abstractNumId="20">
    <w:nsid w:val="6763845E"/>
    <w:multiLevelType w:val="hybridMultilevel"/>
    <w:lvl w:ilvl="0">
      <w:lvlJc w:val="left"/>
      <w:lvlText w:val="(%1)"/>
      <w:numFmt w:val="lowerLetter"/>
      <w:start w:val="3"/>
    </w:lvl>
  </w:abstractNum>
  <w:abstractNum w:abstractNumId="21">
    <w:nsid w:val="75A2A8D4"/>
    <w:multiLevelType w:val="hybridMultilevel"/>
    <w:lvl w:ilvl="0">
      <w:lvlJc w:val="left"/>
      <w:lvlText w:val="(%1)"/>
      <w:numFmt w:val="lowerLetter"/>
      <w:start w:val="4"/>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2"/>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jpeg"/><Relationship Id="rId38" Type="http://schemas.openxmlformats.org/officeDocument/2006/relationships/image" Target="media/image17.jpe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jpeg"/><Relationship Id="rId62" Type="http://schemas.openxmlformats.org/officeDocument/2006/relationships/image" Target="media/image41.jpeg"/><Relationship Id="rId18" Type="http://schemas.openxmlformats.org/officeDocument/2006/relationships/hyperlink" Target="http://www.sec.gov/Archives/edgar/data/780571/000119312510111102/ds8.htm" TargetMode="External"/><Relationship Id="rId19" Type="http://schemas.openxmlformats.org/officeDocument/2006/relationships/hyperlink" Target="http://www.sec.gov/Archives/edgar/data/780571/000119312512247610/d355508ds8.htm" TargetMode="External"/><Relationship Id="rId20" Type="http://schemas.openxmlformats.org/officeDocument/2006/relationships/hyperlink" Target="http://www.sec.gov/Archives/edgar/data/780571/000119312514055106/d658422ds8.htm" TargetMode="External"/><Relationship Id="rId21" Type="http://schemas.openxmlformats.org/officeDocument/2006/relationships/hyperlink" Target="http://www.sec.gov/Archives/edgar/data/780571/000119312514055082/d658435ds8pos.htm" TargetMode="External"/><Relationship Id="rId22" Type="http://schemas.openxmlformats.org/officeDocument/2006/relationships/hyperlink" Target="http://www.sec.gov/Archives/edgar/data/780571/000119312514177524/d711501ds8.htm" TargetMode="External"/><Relationship Id="rId23" Type="http://schemas.openxmlformats.org/officeDocument/2006/relationships/hyperlink" Target="http://www.sec.gov/Archives/edgar/data/780571/000119312517175322/d399161ds8.htm" TargetMode="External"/><Relationship Id="rId24" Type="http://schemas.openxmlformats.org/officeDocument/2006/relationships/hyperlink" Target="http://www.sec.gov/Archives/edgar/data/780571/000078057118000037/itrons-8.htm" TargetMode="External"/><Relationship Id="rId25" Type="http://schemas.openxmlformats.org/officeDocument/2006/relationships/hyperlink" Target="http://www.sec.gov/ix?doc=/Archives/edgar/data/780571/000078057123000010/itri-20221231.htm" TargetMode="External"/><Relationship Id="rId26" Type="http://schemas.openxmlformats.org/officeDocument/2006/relationships/hyperlink" Target="http://www.sec.gov/ix?doc=/Archives/edgar/data/780571/000114036123012718/ny20005713x1_def14a.htm" TargetMode="External"/><Relationship Id="rId27" Type="http://schemas.openxmlformats.org/officeDocument/2006/relationships/hyperlink" Target="http://www.sec.gov/ix?doc=/Archives/edgar/data/780571/000078057123000016/itri-20230331.htm" TargetMode="External"/><Relationship Id="rId29" Type="http://schemas.openxmlformats.org/officeDocument/2006/relationships/hyperlink" Target="http://www.sec.gov/ix?doc=/Archives/edgar/data/780571/000115752323000359/a53346520.htm" TargetMode="External"/><Relationship Id="rId30" Type="http://schemas.openxmlformats.org/officeDocument/2006/relationships/hyperlink" Target="http://www.sec.gov/ix?doc=/Archives/edgar/data/780571/000078057123000013/itri-20230413.htm" TargetMode="External"/><Relationship Id="rId31" Type="http://schemas.openxmlformats.org/officeDocument/2006/relationships/hyperlink" Target="http://www.sec.gov/Archives/edgar/data/780571/000078057123000010/itriex-41212312022exdescri.htm" TargetMode="External"/><Relationship Id="rId32" Type="http://schemas.openxmlformats.org/officeDocument/2006/relationships/hyperlink" Target="http://www.sec.gov/ix?doc=/Archives/edgar/data/780571/000078057123000020/itri-202305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2023-05-23T11:35:02Z</dcterms:created>
  <dcterms:modified xsi:type="dcterms:W3CDTF">2023-05-23T11:35:02Z</dcterms:modified>
</cp:coreProperties>
</file>