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380" w:right="100"/>
        <w:spacing w:after="0" w:line="277" w:lineRule="auto"/>
        <w:rPr>
          <w:sz w:val="20"/>
          <w:szCs w:val="20"/>
          <w:color w:val="auto"/>
        </w:rPr>
      </w:pPr>
      <w:r>
        <w:rPr>
          <w:rFonts w:ascii="Arial" w:cs="Arial" w:eastAsia="Arial" w:hAnsi="Arial"/>
          <w:sz w:val="18"/>
          <w:szCs w:val="18"/>
          <w:color w:val="auto"/>
        </w:rPr>
        <w:t>On February 16, 2011, Itron, Inc. (the Company) issued a press release announcing their financial results for the three and twelve months ending December 31, 2010.</w:t>
      </w:r>
    </w:p>
    <w:p>
      <w:pPr>
        <w:spacing w:after="0" w:line="224" w:lineRule="exact"/>
        <w:rPr>
          <w:sz w:val="20"/>
          <w:szCs w:val="20"/>
          <w:color w:val="auto"/>
        </w:rPr>
      </w:pPr>
    </w:p>
    <w:p>
      <w:pPr>
        <w:ind w:left="1380"/>
        <w:spacing w:after="0" w:line="259" w:lineRule="auto"/>
        <w:rPr>
          <w:sz w:val="20"/>
          <w:szCs w:val="20"/>
          <w:color w:val="auto"/>
        </w:rPr>
      </w:pPr>
      <w:r>
        <w:rPr>
          <w:rFonts w:ascii="Arial" w:cs="Arial" w:eastAsia="Arial" w:hAnsi="Arial"/>
          <w:sz w:val="18"/>
          <w:szCs w:val="18"/>
          <w:color w:val="auto"/>
        </w:rPr>
        <w:t>Also contained within the press release is the unaudited quarterly financial information for the first three quarters of 2010, which has been restated. The restatement was made primarily to defer revenue previously recognized on one contract. While the restatement is not material to the first three quarters of 2010, the Company concluded that the aggregate correction would be material to the fourth quarter of 2010.</w:t>
      </w:r>
    </w:p>
    <w:p>
      <w:pPr>
        <w:spacing w:after="0" w:line="24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7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5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220"/>
        <w:spacing w:after="0"/>
        <w:tabs>
          <w:tab w:leader="none" w:pos="1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16, 2011.</w:t>
      </w:r>
    </w:p>
    <w:p>
      <w:pPr>
        <w:spacing w:after="0" w:line="23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800" w:val="left"/>
          <w:tab w:leader="none" w:pos="5720" w:val="left"/>
          <w:tab w:leader="none" w:pos="6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16, 2011.</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line="437" w:lineRule="auto"/>
        <w:rPr>
          <w:sz w:val="20"/>
          <w:szCs w:val="20"/>
          <w:color w:val="auto"/>
        </w:rPr>
      </w:pPr>
      <w:r>
        <w:rPr>
          <w:rFonts w:ascii="Arial" w:cs="Arial" w:eastAsia="Arial" w:hAnsi="Arial"/>
          <w:sz w:val="22"/>
          <w:szCs w:val="22"/>
          <w:b w:val="1"/>
          <w:bCs w:val="1"/>
          <w:color w:val="auto"/>
        </w:rPr>
        <w:t xml:space="preserve">Itron Announces Fourth Quarter and Fiscal 2010 Results </w:t>
      </w:r>
      <w:r>
        <w:rPr>
          <w:rFonts w:ascii="Arial" w:cs="Arial" w:eastAsia="Arial" w:hAnsi="Arial"/>
          <w:sz w:val="22"/>
          <w:szCs w:val="22"/>
          <w:b w:val="1"/>
          <w:bCs w:val="1"/>
          <w:i w:val="1"/>
          <w:iCs w:val="1"/>
          <w:color w:val="auto"/>
        </w:rPr>
        <w:t>Record Full Year Revenue of $2.26 Billion Record Full Year Non-GAAP Diluted EPS of $3.89 Restatement of Fiscal 2010 Quarterly Results to Reflect Revenue Deferral</w:t>
      </w:r>
    </w:p>
    <w:p>
      <w:pPr>
        <w:ind w:right="280"/>
        <w:spacing w:after="0" w:line="251" w:lineRule="auto"/>
        <w:rPr>
          <w:sz w:val="20"/>
          <w:szCs w:val="20"/>
          <w:color w:val="auto"/>
        </w:rPr>
      </w:pPr>
      <w:r>
        <w:rPr>
          <w:rFonts w:ascii="Arial" w:cs="Arial" w:eastAsia="Arial" w:hAnsi="Arial"/>
          <w:sz w:val="22"/>
          <w:szCs w:val="22"/>
          <w:color w:val="auto"/>
        </w:rPr>
        <w:t>LIBERTY LAKE, Wash.--(BUSINESS WIRE)--February 16, 2011--Itron, Inc. (NASDAQ:ITRI) today reported financial results for its fourth quarter and full year ended December 31, 2010. Highlights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Record quarterly and full year revenues of $620.7 million and $2.26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record full year GAAP diluted EPS of 65 cents and $2.56,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non-GAAP diluted EPS of 95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Record full year non-GAAP diluted EPS of $3.89;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600"/>
        <w:spacing w:after="0" w:line="328" w:lineRule="auto"/>
        <w:rPr>
          <w:sz w:val="20"/>
          <w:szCs w:val="20"/>
          <w:color w:val="auto"/>
        </w:rPr>
      </w:pPr>
      <w:r>
        <w:rPr>
          <w:rFonts w:ascii="Arial" w:cs="Arial" w:eastAsia="Arial" w:hAnsi="Arial"/>
          <w:sz w:val="19"/>
          <w:szCs w:val="19"/>
          <w:color w:val="auto"/>
        </w:rPr>
        <w:t>Non-GAAP tax rate for the quarter of 20.6% reflecting benefits from the retroactive extension of the U.S. research and development tax credit passed in the fourth quarter and lower than forecasted income in higher tax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 w:lineRule="exact"/>
        <w:rPr>
          <w:sz w:val="20"/>
          <w:szCs w:val="20"/>
          <w:color w:val="auto"/>
        </w:rPr>
      </w:pPr>
    </w:p>
    <w:p>
      <w:pPr>
        <w:ind w:left="540" w:right="4220"/>
        <w:spacing w:after="0" w:line="379" w:lineRule="auto"/>
        <w:rPr>
          <w:sz w:val="20"/>
          <w:szCs w:val="20"/>
          <w:color w:val="auto"/>
        </w:rPr>
      </w:pPr>
      <w:r>
        <w:rPr>
          <w:rFonts w:ascii="Arial" w:cs="Arial" w:eastAsia="Arial" w:hAnsi="Arial"/>
          <w:sz w:val="22"/>
          <w:szCs w:val="22"/>
          <w:color w:val="auto"/>
        </w:rPr>
        <w:t>Twelve-month backlog of $913 million and total backlog of $1.6 billion; and Quarterly bookings of $581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-445770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-205740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In addition, Itron announced that it has restated financial results for the quarters ended March 31, June 30, and September 30, 2010 which will be set forth in its Annual Report on Form 10-K for the fiscal year ended December 31, 2010. These revisions were made primarily to defer revenue that had been incorrectly recognized on one contract due to a misinterpretation of an extended warranty obligation. The effect was to reduce revenue and earnings in each of the first three quarters of the year. For the first nine months of 2010, total revenue was reduced by $6.1 million and both GAAP and non-GAAP diluted EPS were reduced by 11 cents. All comparative information within this release is on a restated basis.</w:t>
      </w:r>
    </w:p>
    <w:p>
      <w:pPr>
        <w:spacing w:after="0" w:line="151"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“Our record results for the year resulted from our continued commitment to technological innovation as well as our balanced and diversified portfolio of products and solutions for the electric, gas and water industries,” said Malcolm Unsworth, president and CEO. “Our main objectives in 2010 were to successfully deploy our smart metering solutions for our large contracts in North America, prepare for developing opportunities in Europe and other regions of the world, and grow our gas and water businesses. We met those objectives and more and are positioned for continued growth in 2011.”</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Operations Highlights:</w:t>
      </w:r>
    </w:p>
    <w:p>
      <w:pPr>
        <w:spacing w:after="0" w:line="212" w:lineRule="exact"/>
        <w:rPr>
          <w:sz w:val="20"/>
          <w:szCs w:val="20"/>
          <w:color w:val="auto"/>
        </w:rPr>
      </w:pPr>
    </w:p>
    <w:p>
      <w:pPr>
        <w:ind w:right="480"/>
        <w:spacing w:after="0" w:line="236" w:lineRule="auto"/>
        <w:rPr>
          <w:sz w:val="20"/>
          <w:szCs w:val="20"/>
          <w:color w:val="auto"/>
        </w:rPr>
      </w:pPr>
      <w:r>
        <w:rPr>
          <w:rFonts w:ascii="Arial" w:cs="Arial" w:eastAsia="Arial" w:hAnsi="Arial"/>
          <w:sz w:val="22"/>
          <w:szCs w:val="22"/>
          <w:color w:val="auto"/>
        </w:rPr>
        <w:t>Revenues increased $143.8 million, or 30.2%, for the quarter and $571.8 million, or 33.9%, for the year compared to the same periods last year. The increase in revenues was primarily driven by higher shipments of smart meters and modules in North America. During the fourth quarter we shipped 1.4 million OpenWay units. The increase in fourth quarter revenue included an $11.5 million unfavorable effect from changes in foreign currency exchange rates. The unfavorable foreign exchange effect on revenues for the year was $5.3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60"/>
        <w:spacing w:after="0" w:line="235" w:lineRule="auto"/>
        <w:rPr>
          <w:sz w:val="20"/>
          <w:szCs w:val="20"/>
          <w:color w:val="auto"/>
        </w:rPr>
      </w:pPr>
      <w:r>
        <w:rPr>
          <w:rFonts w:ascii="Arial" w:cs="Arial" w:eastAsia="Arial" w:hAnsi="Arial"/>
          <w:sz w:val="22"/>
          <w:szCs w:val="22"/>
          <w:color w:val="auto"/>
        </w:rPr>
        <w:t>Gross margin for the quarter was 29.9% which was lower than the prior year fourth quarter margin of 30.5%. Both segments contributed to the decline from the prior year. Itron North America declined 130 basis points from fourth quarter 2009 primarily due to a higher mix of OpenWay revenue which, including installation services, currently has a lower margin than non-OpenWay revenue. Itron International gross margin declined 120 basis points from fourth quarter 2009 primarily due to special charges. International gross margins were also impacted by higher material costs which were offset by higher volumes and a more favorable product mix.</w:t>
      </w:r>
    </w:p>
    <w:p>
      <w:pPr>
        <w:spacing w:after="0" w:line="189"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Operating expenses, excluding amortization of intangibles, were $124.1 million, or 20.0% of revenue, for the quarter compared to $104.1 million, or 21.8% of revenue, in the prior year. The increase was due primarily to higher compensation expenses as well as research and development costs for new and enhanced products.</w:t>
      </w:r>
    </w:p>
    <w:p>
      <w:pPr>
        <w:spacing w:after="0" w:line="18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Net income and diluted EPS for the fourth quarter and year were $26.6 million, or 65 cents per share, and $104.8 million, or $2.56 per share. This compares with net income of $5.2 million, or 13 cents per share, and a loss of $2.2 million, or 6 cents per share, in the same periods in 2009. The increase in 2010 net income was primarily due to higher operating income in our North America segment.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which are more fully described in our Annual Report on Form 10-K for the year ended December 31, 2009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2011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2011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$2.15 billion and $2.30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$3.95 and $4.40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Our guidance assumes a Euro to U.S. dollar exchange rate of $1.35, average shares outstanding of approximately 41.4 million and a non-GAAP effective tax rate between 27% and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particularly those associated with acquisitions. We exclude certain infrequent costs, particularly those associated with acquisitions, in our non-GAAP financial measures as we believe the net result is a measure of our core business.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 xml:space="preserve">Itron will host a conference call to discuss the financial results contained in this release at 2:00 p.m. (PST) on February 16, 2011. The call will be webcast in a listen only mode. Webcast information and conference call materials will be made available in the </w:t>
      </w:r>
      <w:r>
        <w:rPr>
          <w:rFonts w:ascii="Arial" w:cs="Arial" w:eastAsia="Arial" w:hAnsi="Arial"/>
          <w:sz w:val="21"/>
          <w:szCs w:val="21"/>
          <w:i w:val="1"/>
          <w:iCs w:val="1"/>
          <w:color w:val="auto"/>
        </w:rPr>
        <w:t xml:space="preserve">“Investors/Investor Events” </w:t>
      </w:r>
      <w:r>
        <w:rPr>
          <w:rFonts w:ascii="Arial" w:cs="Arial" w:eastAsia="Arial" w:hAnsi="Arial"/>
          <w:sz w:val="21"/>
          <w:szCs w:val="21"/>
          <w:color w:val="auto"/>
        </w:rPr>
        <w:t>section of Itron’s website (</w:t>
      </w:r>
      <w:r>
        <w:rPr>
          <w:rFonts w:ascii="Arial" w:cs="Arial" w:eastAsia="Arial" w:hAnsi="Arial"/>
          <w:sz w:val="21"/>
          <w:szCs w:val="21"/>
          <w:u w:val="single" w:color="auto"/>
          <w:color w:val="auto"/>
        </w:rPr>
        <w:t>www.itron.com</w:t>
      </w:r>
      <w:r>
        <w:rPr>
          <w:rFonts w:ascii="Arial" w:cs="Arial" w:eastAsia="Arial" w:hAnsi="Arial"/>
          <w:sz w:val="21"/>
          <w:szCs w:val="21"/>
          <w:color w:val="auto"/>
        </w:rPr>
        <w:t>) prior to the start of the call. The webcast replay will begin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21"/>
          <w:szCs w:val="21"/>
          <w:b w:val="1"/>
          <w:bCs w:val="1"/>
          <w:color w:val="auto"/>
        </w:rPr>
        <w:t>(888) 203-1112 (Domestic)</w:t>
      </w:r>
      <w:r>
        <w:rPr>
          <w:rFonts w:ascii="Arial" w:cs="Arial" w:eastAsia="Arial" w:hAnsi="Arial"/>
          <w:sz w:val="21"/>
          <w:szCs w:val="21"/>
          <w:color w:val="auto"/>
        </w:rPr>
        <w:t xml:space="preserve"> or </w:t>
      </w:r>
      <w:r>
        <w:rPr>
          <w:rFonts w:ascii="Arial" w:cs="Arial" w:eastAsia="Arial" w:hAnsi="Arial"/>
          <w:sz w:val="21"/>
          <w:szCs w:val="21"/>
          <w:b w:val="1"/>
          <w:bCs w:val="1"/>
          <w:color w:val="auto"/>
        </w:rPr>
        <w:t>(719) 457-0820 (International)</w:t>
      </w:r>
      <w:r>
        <w:rPr>
          <w:rFonts w:ascii="Arial" w:cs="Arial" w:eastAsia="Arial" w:hAnsi="Arial"/>
          <w:sz w:val="21"/>
          <w:szCs w:val="21"/>
          <w:color w:val="auto"/>
        </w:rPr>
        <w:t xml:space="preserve">, entering passcode </w:t>
      </w:r>
      <w:r>
        <w:rPr>
          <w:rFonts w:ascii="Arial" w:cs="Arial" w:eastAsia="Arial" w:hAnsi="Arial"/>
          <w:sz w:val="21"/>
          <w:szCs w:val="21"/>
          <w:b w:val="1"/>
          <w:bCs w:val="1"/>
          <w:color w:val="auto"/>
        </w:rPr>
        <w:t>#4354205.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 xml:space="preserve">At Itron, we’re dedicated to delivering end-to-end smart grid and smart distribution solutions to electric, gas and water utilities around the globe. Our company is the world’s leading provider of smart metering, data collection and utility software systems, with nearly 8,000 utilities worldwide relying on our technology to optimize the delivery and use of energy and water. Our offerings include electricity, gas, water and heat meters; network communication technology; collection systems and related software applications; and professional services. To realize your smarter energy and water future, start here: </w:t>
      </w:r>
      <w:r>
        <w:rPr>
          <w:rFonts w:ascii="Arial" w:cs="Arial" w:eastAsia="Arial" w:hAnsi="Arial"/>
          <w:sz w:val="19"/>
          <w:szCs w:val="19"/>
          <w:u w:val="single" w:color="auto"/>
          <w:color w:val="auto"/>
        </w:rPr>
        <w:t>www.itron.com</w:t>
      </w:r>
      <w:r>
        <w:rPr>
          <w:rFonts w:ascii="Arial" w:cs="Arial" w:eastAsia="Arial" w:hAnsi="Arial"/>
          <w:sz w:val="19"/>
          <w:szCs w:val="19"/>
          <w:color w:val="auto"/>
        </w:rPr>
        <w:t>.</w:t>
      </w:r>
    </w:p>
    <w:p>
      <w:pPr>
        <w:spacing w:after="0" w:line="148"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w w:val="99"/>
              </w:rPr>
              <w:t>Twelve Months Ended December 31,</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39"/>
        </w:trPr>
        <w:tc>
          <w:tcPr>
            <w:tcW w:w="4660" w:type="dxa"/>
            <w:vAlign w:val="bottom"/>
          </w:tcPr>
          <w:p>
            <w:pPr>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620,658</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476,823</w:t>
            </w:r>
          </w:p>
        </w:tc>
        <w:tc>
          <w:tcPr>
            <w:tcW w:w="100" w:type="dxa"/>
            <w:vAlign w:val="bottom"/>
          </w:tcPr>
          <w:p>
            <w:pPr>
              <w:spacing w:after="0"/>
              <w:rPr>
                <w:sz w:val="24"/>
                <w:szCs w:val="24"/>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2,259,271</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1,687,447</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Arial" w:cs="Arial" w:eastAsia="Arial" w:hAnsi="Arial"/>
                <w:sz w:val="14"/>
                <w:szCs w:val="14"/>
                <w:color w:val="auto"/>
              </w:rPr>
              <w:t>Cost of revenues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435,302</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331,539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1,561,032</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1,149,991</w:t>
            </w:r>
          </w:p>
        </w:tc>
        <w:tc>
          <w:tcPr>
            <w:tcW w:w="0" w:type="dxa"/>
            <w:vAlign w:val="bottom"/>
          </w:tcPr>
          <w:p>
            <w:pPr>
              <w:spacing w:after="0"/>
              <w:rPr>
                <w:sz w:val="1"/>
                <w:szCs w:val="1"/>
                <w:color w:val="auto"/>
              </w:rPr>
            </w:pPr>
          </w:p>
        </w:tc>
      </w:tr>
      <w:tr>
        <w:trPr>
          <w:trHeight w:val="164"/>
        </w:trPr>
        <w:tc>
          <w:tcPr>
            <w:tcW w:w="4660" w:type="dxa"/>
            <w:vAlign w:val="bottom"/>
          </w:tcPr>
          <w:p>
            <w:pPr>
              <w:spacing w:after="0"/>
              <w:rPr>
                <w:sz w:val="20"/>
                <w:szCs w:val="20"/>
                <w:color w:val="auto"/>
              </w:rPr>
            </w:pPr>
            <w:r>
              <w:rPr>
                <w:rFonts w:ascii="Arial" w:cs="Arial" w:eastAsia="Arial" w:hAnsi="Arial"/>
                <w:sz w:val="14"/>
                <w:szCs w:val="14"/>
                <w:color w:val="auto"/>
              </w:rPr>
              <w:t>Gross profit</w:t>
            </w:r>
          </w:p>
        </w:tc>
        <w:tc>
          <w:tcPr>
            <w:tcW w:w="34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185,356</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145,284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698,239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537,456</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20"/>
                <w:szCs w:val="20"/>
                <w:color w:val="auto"/>
              </w:rPr>
            </w:pPr>
            <w:r>
              <w:rPr>
                <w:rFonts w:ascii="Arial" w:cs="Arial" w:eastAsia="Arial" w:hAnsi="Arial"/>
                <w:sz w:val="14"/>
                <w:szCs w:val="14"/>
                <w:color w:val="auto"/>
              </w:rPr>
              <w:t>Gross margin</w:t>
            </w:r>
          </w:p>
        </w:tc>
        <w:tc>
          <w:tcPr>
            <w:tcW w:w="34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344"/>
        </w:trPr>
        <w:tc>
          <w:tcPr>
            <w:tcW w:w="466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5"/>
                <w:szCs w:val="15"/>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47,968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39,836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171,676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152,405</w:t>
            </w: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5"/>
                <w:szCs w:val="15"/>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40,129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29,270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140,229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122,314</w:t>
            </w: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5"/>
                <w:szCs w:val="15"/>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36,034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35,040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133,086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119,137</w:t>
            </w:r>
          </w:p>
        </w:tc>
        <w:tc>
          <w:tcPr>
            <w:tcW w:w="0" w:type="dxa"/>
            <w:vAlign w:val="bottom"/>
          </w:tcPr>
          <w:p>
            <w:pPr>
              <w:spacing w:after="0"/>
              <w:rPr>
                <w:sz w:val="1"/>
                <w:szCs w:val="1"/>
                <w:color w:val="auto"/>
              </w:rPr>
            </w:pPr>
          </w:p>
        </w:tc>
      </w:tr>
      <w:tr>
        <w:trPr>
          <w:trHeight w:val="181"/>
        </w:trPr>
        <w:tc>
          <w:tcPr>
            <w:tcW w:w="466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17,592</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25,785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69,051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98,573</w:t>
            </w:r>
          </w:p>
        </w:tc>
        <w:tc>
          <w:tcPr>
            <w:tcW w:w="0" w:type="dxa"/>
            <w:vAlign w:val="bottom"/>
          </w:tcPr>
          <w:p>
            <w:pPr>
              <w:spacing w:after="0"/>
              <w:rPr>
                <w:sz w:val="1"/>
                <w:szCs w:val="1"/>
                <w:color w:val="auto"/>
              </w:rPr>
            </w:pPr>
          </w:p>
        </w:tc>
      </w:tr>
      <w:tr>
        <w:trPr>
          <w:trHeight w:val="169"/>
        </w:trPr>
        <w:tc>
          <w:tcPr>
            <w:tcW w:w="466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141,723</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129,931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514,042</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492,429</w:t>
            </w:r>
          </w:p>
        </w:tc>
        <w:tc>
          <w:tcPr>
            <w:tcW w:w="0" w:type="dxa"/>
            <w:vAlign w:val="bottom"/>
          </w:tcPr>
          <w:p>
            <w:pPr>
              <w:spacing w:after="0"/>
              <w:rPr>
                <w:sz w:val="1"/>
                <w:szCs w:val="1"/>
                <w:color w:val="auto"/>
              </w:rPr>
            </w:pPr>
          </w:p>
        </w:tc>
      </w:tr>
      <w:tr>
        <w:trPr>
          <w:trHeight w:val="339"/>
        </w:trPr>
        <w:tc>
          <w:tcPr>
            <w:tcW w:w="4660" w:type="dxa"/>
            <w:vAlign w:val="bottom"/>
          </w:tcPr>
          <w:p>
            <w:pPr>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24"/>
                <w:szCs w:val="24"/>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43,633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15,353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184,197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45,027</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5"/>
                <w:szCs w:val="15"/>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148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(12,688)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(16,992)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(54,904)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(70,311)</w:t>
            </w: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rPr>
                <w:sz w:val="20"/>
                <w:szCs w:val="20"/>
                <w:color w:val="auto"/>
              </w:rPr>
            </w:pPr>
            <w:r>
              <w:rPr>
                <w:rFonts w:ascii="Arial" w:cs="Arial" w:eastAsia="Arial" w:hAnsi="Arial"/>
                <w:sz w:val="14"/>
                <w:szCs w:val="14"/>
                <w:color w:val="auto"/>
              </w:rPr>
              <w:t>Loss on extinguishment of debt, net</w:t>
            </w:r>
          </w:p>
        </w:tc>
        <w:tc>
          <w:tcPr>
            <w:tcW w:w="340" w:type="dxa"/>
            <w:vAlign w:val="bottom"/>
          </w:tcPr>
          <w:p>
            <w:pPr>
              <w:spacing w:after="0"/>
              <w:rPr>
                <w:sz w:val="15"/>
                <w:szCs w:val="15"/>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(12,800)</w:t>
            </w:r>
          </w:p>
        </w:tc>
        <w:tc>
          <w:tcPr>
            <w:tcW w:w="0" w:type="dxa"/>
            <w:vAlign w:val="bottom"/>
          </w:tcPr>
          <w:p>
            <w:pPr>
              <w:spacing w:after="0"/>
              <w:rPr>
                <w:sz w:val="1"/>
                <w:szCs w:val="1"/>
                <w:color w:val="auto"/>
              </w:rPr>
            </w:pPr>
          </w:p>
        </w:tc>
      </w:tr>
      <w:tr>
        <w:trPr>
          <w:trHeight w:val="181"/>
        </w:trPr>
        <w:tc>
          <w:tcPr>
            <w:tcW w:w="466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(3,701)</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(9,141)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69"/>
        </w:trPr>
        <w:tc>
          <w:tcPr>
            <w:tcW w:w="4660" w:type="dxa"/>
            <w:vAlign w:val="bottom"/>
          </w:tcPr>
          <w:p>
            <w:pPr>
              <w:ind w:left="420"/>
              <w:spacing w:after="0"/>
              <w:rPr>
                <w:sz w:val="20"/>
                <w:szCs w:val="20"/>
                <w:color w:val="auto"/>
              </w:rPr>
            </w:pPr>
            <w:r>
              <w:rPr>
                <w:rFonts w:ascii="Arial" w:cs="Arial" w:eastAsia="Arial" w:hAnsi="Arial"/>
                <w:sz w:val="14"/>
                <w:szCs w:val="14"/>
                <w:color w:val="auto"/>
              </w:rPr>
              <w:t>Total other income (expense)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(16,241)</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(16,508)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(63,453)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(91,101)</w:t>
            </w:r>
          </w:p>
        </w:tc>
        <w:tc>
          <w:tcPr>
            <w:tcW w:w="0" w:type="dxa"/>
            <w:vAlign w:val="bottom"/>
          </w:tcPr>
          <w:p>
            <w:pPr>
              <w:spacing w:after="0"/>
              <w:rPr>
                <w:sz w:val="1"/>
                <w:szCs w:val="1"/>
                <w:color w:val="auto"/>
              </w:rPr>
            </w:pPr>
          </w:p>
        </w:tc>
      </w:tr>
      <w:tr>
        <w:trPr>
          <w:trHeight w:val="339"/>
        </w:trPr>
        <w:tc>
          <w:tcPr>
            <w:tcW w:w="466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Pr>
          <w:p>
            <w:pPr>
              <w:spacing w:after="0"/>
              <w:rPr>
                <w:sz w:val="24"/>
                <w:szCs w:val="24"/>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27,392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120,744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(46,074)</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(822)</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6,308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(15,974)</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43,825</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26,570</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5,153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104,770</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60" w:type="dxa"/>
            <w:vAlign w:val="bottom"/>
          </w:tcPr>
          <w:p>
            <w:pPr>
              <w:spacing w:after="0"/>
              <w:rPr>
                <w:sz w:val="20"/>
                <w:szCs w:val="20"/>
                <w:color w:val="auto"/>
              </w:rPr>
            </w:pPr>
            <w:r>
              <w:rPr>
                <w:rFonts w:ascii="Arial" w:cs="Arial" w:eastAsia="Arial" w:hAnsi="Arial"/>
                <w:sz w:val="14"/>
                <w:szCs w:val="14"/>
                <w:color w:val="auto"/>
              </w:rPr>
              <w:t>Earnings (loss) per common share-Basic</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0.66</w:t>
            </w:r>
          </w:p>
        </w:tc>
        <w:tc>
          <w:tcPr>
            <w:tcW w:w="140" w:type="dxa"/>
            <w:vAlign w:val="bottom"/>
          </w:tcPr>
          <w:p>
            <w:pPr>
              <w:spacing w:after="0"/>
              <w:rPr>
                <w:sz w:val="24"/>
                <w:szCs w:val="2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color w:val="auto"/>
              </w:rPr>
              <w:t>Earnings (loss) per common share-Diluted</w:t>
            </w: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vMerge w:val="continue"/>
          </w:tcPr>
          <w:p>
            <w:pPr>
              <w:spacing w:after="0"/>
              <w:rPr>
                <w:sz w:val="13"/>
                <w:szCs w:val="13"/>
                <w:color w:val="auto"/>
              </w:rPr>
            </w:pPr>
          </w:p>
        </w:tc>
        <w:tc>
          <w:tcPr>
            <w:tcW w:w="34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0.65</w:t>
            </w:r>
          </w:p>
        </w:tc>
        <w:tc>
          <w:tcPr>
            <w:tcW w:w="14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08"/>
              <w:spacing w:after="0" w:line="156" w:lineRule="exact"/>
              <w:rPr>
                <w:sz w:val="20"/>
                <w:szCs w:val="20"/>
                <w:color w:val="auto"/>
              </w:rPr>
            </w:pPr>
            <w:r>
              <w:rPr>
                <w:rFonts w:ascii="Arial" w:cs="Arial" w:eastAsia="Arial" w:hAnsi="Arial"/>
                <w:sz w:val="14"/>
                <w:szCs w:val="14"/>
                <w:color w:val="auto"/>
              </w:rPr>
              <w:t>0.13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2.56</w:t>
            </w:r>
          </w:p>
        </w:tc>
        <w:tc>
          <w:tcPr>
            <w:tcW w:w="1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660" w:type="dxa"/>
            <w:vAlign w:val="bottom"/>
          </w:tcPr>
          <w:p>
            <w:pPr>
              <w:spacing w:after="0"/>
              <w:rPr>
                <w:sz w:val="20"/>
                <w:szCs w:val="20"/>
                <w:color w:val="auto"/>
              </w:rPr>
            </w:pPr>
            <w:r>
              <w:rPr>
                <w:rFonts w:ascii="Arial" w:cs="Arial" w:eastAsia="Arial" w:hAnsi="Arial"/>
                <w:sz w:val="14"/>
                <w:szCs w:val="14"/>
                <w:color w:val="auto"/>
              </w:rPr>
              <w:t>Weighted average common shares outstanding-Basic</w:t>
            </w:r>
          </w:p>
        </w:tc>
        <w:tc>
          <w:tcPr>
            <w:tcW w:w="340" w:type="dxa"/>
            <w:vAlign w:val="bottom"/>
          </w:tcPr>
          <w:p>
            <w:pPr>
              <w:spacing w:after="0"/>
              <w:rPr>
                <w:sz w:val="24"/>
                <w:szCs w:val="24"/>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40,424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40,129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40,337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38,539</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20"/>
                <w:szCs w:val="20"/>
                <w:color w:val="auto"/>
              </w:rPr>
            </w:pPr>
            <w:r>
              <w:rPr>
                <w:rFonts w:ascii="Arial" w:cs="Arial" w:eastAsia="Arial" w:hAnsi="Arial"/>
                <w:sz w:val="14"/>
                <w:szCs w:val="14"/>
                <w:color w:val="auto"/>
              </w:rPr>
              <w:t>Weighted average common shares outstanding-Diluted</w:t>
            </w:r>
          </w:p>
        </w:tc>
        <w:tc>
          <w:tcPr>
            <w:tcW w:w="340" w:type="dxa"/>
            <w:vAlign w:val="bottom"/>
          </w:tcPr>
          <w:p>
            <w:pPr>
              <w:spacing w:after="0"/>
              <w:rPr>
                <w:sz w:val="15"/>
                <w:szCs w:val="15"/>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40,938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40,607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40,947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38,539</w:t>
            </w:r>
          </w:p>
        </w:tc>
        <w:tc>
          <w:tcPr>
            <w:tcW w:w="0" w:type="dxa"/>
            <w:vAlign w:val="bottom"/>
          </w:tcPr>
          <w:p>
            <w:pPr>
              <w:spacing w:after="0"/>
              <w:rPr>
                <w:sz w:val="1"/>
                <w:szCs w:val="1"/>
                <w:color w:val="auto"/>
              </w:rPr>
            </w:pPr>
          </w:p>
        </w:tc>
      </w:tr>
      <w:tr>
        <w:trPr>
          <w:trHeight w:val="134"/>
        </w:trPr>
        <w:tc>
          <w:tcPr>
            <w:tcW w:w="46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6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60" w:type="dxa"/>
            <w:vAlign w:val="bottom"/>
          </w:tcPr>
          <w:p>
            <w:pPr>
              <w:spacing w:after="0"/>
              <w:rPr>
                <w:sz w:val="15"/>
                <w:szCs w:val="15"/>
                <w:color w:val="auto"/>
              </w:rPr>
            </w:pPr>
          </w:p>
        </w:tc>
        <w:tc>
          <w:tcPr>
            <w:tcW w:w="262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w w:val="95"/>
              </w:rPr>
              <w:t>Three Months Ended December 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w w:val="97"/>
              </w:rPr>
              <w:t>Twelve Months Ended December 31,</w:t>
            </w:r>
          </w:p>
        </w:tc>
        <w:tc>
          <w:tcPr>
            <w:tcW w:w="0" w:type="dxa"/>
            <w:vAlign w:val="bottom"/>
          </w:tcPr>
          <w:p>
            <w:pPr>
              <w:spacing w:after="0"/>
              <w:rPr>
                <w:sz w:val="1"/>
                <w:szCs w:val="1"/>
                <w:color w:val="auto"/>
              </w:rPr>
            </w:pPr>
          </w:p>
        </w:tc>
      </w:tr>
      <w:tr>
        <w:trPr>
          <w:trHeight w:val="174"/>
        </w:trPr>
        <w:tc>
          <w:tcPr>
            <w:tcW w:w="5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4"/>
        </w:trPr>
        <w:tc>
          <w:tcPr>
            <w:tcW w:w="54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321,534</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196,073</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1,177,391</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615,731</w:t>
            </w: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299,124</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280,750</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1,081,880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1,071,716</w:t>
            </w:r>
          </w:p>
        </w:tc>
        <w:tc>
          <w:tcPr>
            <w:tcW w:w="0" w:type="dxa"/>
            <w:vAlign w:val="bottom"/>
          </w:tcPr>
          <w:p>
            <w:pPr>
              <w:spacing w:after="0"/>
              <w:rPr>
                <w:sz w:val="1"/>
                <w:szCs w:val="1"/>
                <w:color w:val="auto"/>
              </w:rPr>
            </w:pPr>
          </w:p>
        </w:tc>
      </w:tr>
      <w:tr>
        <w:trPr>
          <w:trHeight w:val="169"/>
        </w:trPr>
        <w:tc>
          <w:tcPr>
            <w:tcW w:w="54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620,658</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476,823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2,259,271</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1,687,447</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105,565</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66,945</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394,247</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211,682</w:t>
            </w: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79,791</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78,339</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303,992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325,774</w:t>
            </w:r>
          </w:p>
        </w:tc>
        <w:tc>
          <w:tcPr>
            <w:tcW w:w="0" w:type="dxa"/>
            <w:vAlign w:val="bottom"/>
          </w:tcPr>
          <w:p>
            <w:pPr>
              <w:spacing w:after="0"/>
              <w:rPr>
                <w:sz w:val="1"/>
                <w:szCs w:val="1"/>
                <w:color w:val="auto"/>
              </w:rPr>
            </w:pPr>
          </w:p>
        </w:tc>
      </w:tr>
      <w:tr>
        <w:trPr>
          <w:trHeight w:val="169"/>
        </w:trPr>
        <w:tc>
          <w:tcPr>
            <w:tcW w:w="54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185,356</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145,284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698,239</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537,456</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51,716</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24,472</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201,410</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36,931</w:t>
            </w: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3,394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26,363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37,614</w:t>
            </w: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(11,477)</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(6,715)</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(43,576)</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(29,518)</w:t>
            </w:r>
          </w:p>
        </w:tc>
        <w:tc>
          <w:tcPr>
            <w:tcW w:w="0" w:type="dxa"/>
            <w:vAlign w:val="bottom"/>
          </w:tcPr>
          <w:p>
            <w:pPr>
              <w:spacing w:after="0"/>
              <w:rPr>
                <w:sz w:val="1"/>
                <w:szCs w:val="1"/>
                <w:color w:val="auto"/>
              </w:rPr>
            </w:pPr>
          </w:p>
        </w:tc>
      </w:tr>
      <w:tr>
        <w:trPr>
          <w:trHeight w:val="169"/>
        </w:trPr>
        <w:tc>
          <w:tcPr>
            <w:tcW w:w="54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43,633</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15,353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184,197</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45,027</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METER AND MODULE SUMMARY</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20" w:type="dxa"/>
            <w:vAlign w:val="bottom"/>
          </w:tcPr>
          <w:p>
            <w:pPr>
              <w:spacing w:after="0"/>
              <w:rPr>
                <w:sz w:val="20"/>
                <w:szCs w:val="20"/>
                <w:color w:val="auto"/>
              </w:rPr>
            </w:pPr>
            <w:r>
              <w:rPr>
                <w:rFonts w:ascii="Arial" w:cs="Arial" w:eastAsia="Arial" w:hAnsi="Arial"/>
                <w:sz w:val="14"/>
                <w:szCs w:val="14"/>
                <w:color w:val="auto"/>
              </w:rPr>
              <w:t>(Units in thousands)</w:t>
            </w:r>
          </w:p>
        </w:tc>
        <w:tc>
          <w:tcPr>
            <w:tcW w:w="260" w:type="dxa"/>
            <w:vAlign w:val="bottom"/>
          </w:tcPr>
          <w:p>
            <w:pPr>
              <w:spacing w:after="0"/>
              <w:rPr>
                <w:sz w:val="15"/>
                <w:szCs w:val="15"/>
                <w:color w:val="auto"/>
              </w:rPr>
            </w:pPr>
          </w:p>
        </w:tc>
        <w:tc>
          <w:tcPr>
            <w:tcW w:w="262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w w:val="95"/>
              </w:rPr>
              <w:t>Three Months Ended December 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w w:val="97"/>
              </w:rPr>
              <w:t>Twelve Months Ended December 31,</w:t>
            </w:r>
          </w:p>
        </w:tc>
        <w:tc>
          <w:tcPr>
            <w:tcW w:w="0" w:type="dxa"/>
            <w:vAlign w:val="bottom"/>
          </w:tcPr>
          <w:p>
            <w:pPr>
              <w:spacing w:after="0"/>
              <w:rPr>
                <w:sz w:val="1"/>
                <w:szCs w:val="1"/>
                <w:color w:val="auto"/>
              </w:rPr>
            </w:pPr>
          </w:p>
        </w:tc>
      </w:tr>
      <w:tr>
        <w:trPr>
          <w:trHeight w:val="174"/>
        </w:trPr>
        <w:tc>
          <w:tcPr>
            <w:tcW w:w="5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4"/>
        </w:trPr>
        <w:tc>
          <w:tcPr>
            <w:tcW w:w="5420" w:type="dxa"/>
            <w:vAlign w:val="bottom"/>
          </w:tcPr>
          <w:p>
            <w:pPr>
              <w:spacing w:after="0"/>
              <w:rPr>
                <w:sz w:val="20"/>
                <w:szCs w:val="20"/>
                <w:color w:val="auto"/>
              </w:rPr>
            </w:pPr>
            <w:r>
              <w:rPr>
                <w:rFonts w:ascii="Arial" w:cs="Arial" w:eastAsia="Arial" w:hAnsi="Arial"/>
                <w:sz w:val="14"/>
                <w:szCs w:val="14"/>
                <w:color w:val="auto"/>
              </w:rPr>
              <w:t>Total meters (standard, advanced, and smart)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1,950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6,940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176"/>
        </w:trPr>
        <w:tc>
          <w:tcPr>
            <w:tcW w:w="5420" w:type="dxa"/>
            <w:vAlign w:val="bottom"/>
          </w:tcPr>
          <w:p>
            <w:pPr>
              <w:ind w:left="420"/>
              <w:spacing w:after="0"/>
              <w:rPr>
                <w:sz w:val="20"/>
                <w:szCs w:val="20"/>
                <w:color w:val="auto"/>
              </w:rPr>
            </w:pPr>
            <w:r>
              <w:rPr>
                <w:rFonts w:ascii="Arial" w:cs="Arial" w:eastAsia="Arial" w:hAnsi="Arial"/>
                <w:sz w:val="14"/>
                <w:szCs w:val="14"/>
                <w:color w:val="auto"/>
              </w:rPr>
              <w:t>Gas</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2,280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7,870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7,790</w:t>
            </w:r>
          </w:p>
        </w:tc>
        <w:tc>
          <w:tcPr>
            <w:tcW w:w="0" w:type="dxa"/>
            <w:vAlign w:val="bottom"/>
          </w:tcPr>
          <w:p>
            <w:pPr>
              <w:spacing w:after="0"/>
              <w:rPr>
                <w:sz w:val="1"/>
                <w:szCs w:val="1"/>
                <w:color w:val="auto"/>
              </w:rPr>
            </w:pPr>
          </w:p>
        </w:tc>
      </w:tr>
      <w:tr>
        <w:trPr>
          <w:trHeight w:val="176"/>
        </w:trPr>
        <w:tc>
          <w:tcPr>
            <w:tcW w:w="5420" w:type="dxa"/>
            <w:vAlign w:val="bottom"/>
          </w:tcPr>
          <w:p>
            <w:pPr>
              <w:ind w:left="420"/>
              <w:spacing w:after="0"/>
              <w:rPr>
                <w:sz w:val="20"/>
                <w:szCs w:val="20"/>
                <w:color w:val="auto"/>
              </w:rPr>
            </w:pPr>
            <w:r>
              <w:rPr>
                <w:rFonts w:ascii="Arial" w:cs="Arial" w:eastAsia="Arial" w:hAnsi="Arial"/>
                <w:sz w:val="14"/>
                <w:szCs w:val="14"/>
                <w:color w:val="auto"/>
              </w:rPr>
              <w:t>Gas</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1,080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4,020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4,980</w:t>
            </w:r>
          </w:p>
        </w:tc>
        <w:tc>
          <w:tcPr>
            <w:tcW w:w="0" w:type="dxa"/>
            <w:vAlign w:val="bottom"/>
          </w:tcPr>
          <w:p>
            <w:pPr>
              <w:spacing w:after="0"/>
              <w:rPr>
                <w:sz w:val="1"/>
                <w:szCs w:val="1"/>
                <w:color w:val="auto"/>
              </w:rPr>
            </w:pPr>
          </w:p>
        </w:tc>
      </w:tr>
      <w:tr>
        <w:trPr>
          <w:trHeight w:val="181"/>
        </w:trPr>
        <w:tc>
          <w:tcPr>
            <w:tcW w:w="5420" w:type="dxa"/>
            <w:vAlign w:val="bottom"/>
          </w:tcPr>
          <w:p>
            <w:pPr>
              <w:ind w:left="420"/>
              <w:spacing w:after="0"/>
              <w:rPr>
                <w:sz w:val="20"/>
                <w:szCs w:val="20"/>
                <w:color w:val="auto"/>
              </w:rPr>
            </w:pPr>
            <w:r>
              <w:rPr>
                <w:rFonts w:ascii="Arial" w:cs="Arial" w:eastAsia="Arial" w:hAnsi="Arial"/>
                <w:sz w:val="14"/>
                <w:szCs w:val="14"/>
                <w:color w:val="auto"/>
              </w:rPr>
              <w:t>Water</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2,150</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1,890</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9,110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8,430</w:t>
            </w:r>
          </w:p>
        </w:tc>
        <w:tc>
          <w:tcPr>
            <w:tcW w:w="0" w:type="dxa"/>
            <w:vAlign w:val="bottom"/>
          </w:tcPr>
          <w:p>
            <w:pPr>
              <w:spacing w:after="0"/>
              <w:rPr>
                <w:sz w:val="1"/>
                <w:szCs w:val="1"/>
                <w:color w:val="auto"/>
              </w:rPr>
            </w:pPr>
          </w:p>
        </w:tc>
      </w:tr>
      <w:tr>
        <w:trPr>
          <w:trHeight w:val="169"/>
        </w:trPr>
        <w:tc>
          <w:tcPr>
            <w:tcW w:w="5420" w:type="dxa"/>
            <w:vAlign w:val="bottom"/>
          </w:tcPr>
          <w:p>
            <w:pPr>
              <w:ind w:left="220"/>
              <w:spacing w:after="0"/>
              <w:rPr>
                <w:sz w:val="20"/>
                <w:szCs w:val="20"/>
                <w:color w:val="auto"/>
              </w:rPr>
            </w:pPr>
            <w:r>
              <w:rPr>
                <w:rFonts w:ascii="Arial" w:cs="Arial" w:eastAsia="Arial" w:hAnsi="Arial"/>
                <w:sz w:val="14"/>
                <w:szCs w:val="14"/>
                <w:color w:val="auto"/>
              </w:rPr>
              <w:t>Total meters</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7,550</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6,340</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28,450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25,030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rPr>
              <w:t>Additional meter information (Total Company)</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Advanced meters</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1,150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3,980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Smart meters</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1,470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4,460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20"/>
                <w:szCs w:val="20"/>
                <w:color w:val="auto"/>
              </w:rPr>
            </w:pPr>
            <w:r>
              <w:rPr>
                <w:rFonts w:ascii="Arial" w:cs="Arial" w:eastAsia="Arial" w:hAnsi="Arial"/>
                <w:sz w:val="14"/>
                <w:szCs w:val="14"/>
                <w:color w:val="auto"/>
              </w:rPr>
              <w:t>Standalone advanced and smart communication modules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1,550</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970</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5,960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169"/>
        </w:trPr>
        <w:tc>
          <w:tcPr>
            <w:tcW w:w="5420" w:type="dxa"/>
            <w:vAlign w:val="bottom"/>
          </w:tcPr>
          <w:p>
            <w:pPr>
              <w:ind w:left="420"/>
              <w:spacing w:after="0"/>
              <w:rPr>
                <w:sz w:val="20"/>
                <w:szCs w:val="20"/>
                <w:color w:val="auto"/>
              </w:rPr>
            </w:pPr>
            <w:r>
              <w:rPr>
                <w:rFonts w:ascii="Arial" w:cs="Arial" w:eastAsia="Arial" w:hAnsi="Arial"/>
                <w:sz w:val="14"/>
                <w:szCs w:val="14"/>
                <w:color w:val="auto"/>
              </w:rPr>
              <w:t>Advanced and smart meters and communication modules</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4,170</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2,370</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14,400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7,650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420" w:type="dxa"/>
            <w:vAlign w:val="bottom"/>
          </w:tcPr>
          <w:p>
            <w:pPr>
              <w:spacing w:after="0"/>
              <w:rPr>
                <w:sz w:val="20"/>
                <w:szCs w:val="20"/>
                <w:color w:val="auto"/>
              </w:rPr>
            </w:pPr>
            <w:r>
              <w:rPr>
                <w:rFonts w:ascii="Arial" w:cs="Arial" w:eastAsia="Arial" w:hAnsi="Arial"/>
                <w:sz w:val="14"/>
                <w:szCs w:val="14"/>
                <w:color w:val="auto"/>
              </w:rPr>
              <w:t>Meters with other vendors' advanced or smart communication modules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80" w:type="dxa"/>
            <w:vAlign w:val="bottom"/>
          </w:tcPr>
          <w:p>
            <w:pPr>
              <w:spacing w:after="0"/>
              <w:rPr>
                <w:sz w:val="15"/>
                <w:szCs w:val="15"/>
                <w:color w:val="auto"/>
              </w:rPr>
            </w:pPr>
          </w:p>
        </w:tc>
        <w:tc>
          <w:tcPr>
            <w:tcW w:w="192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9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940" w:type="dxa"/>
            <w:vAlign w:val="bottom"/>
          </w:tcPr>
          <w:p>
            <w:pPr>
              <w:ind w:left="3640"/>
              <w:spacing w:after="0"/>
              <w:rPr>
                <w:sz w:val="20"/>
                <w:szCs w:val="20"/>
                <w:color w:val="auto"/>
              </w:rPr>
            </w:pPr>
            <w:r>
              <w:rPr>
                <w:rFonts w:ascii="Arial" w:cs="Arial" w:eastAsia="Arial" w:hAnsi="Arial"/>
                <w:sz w:val="14"/>
                <w:szCs w:val="14"/>
                <w:b w:val="1"/>
                <w:bCs w:val="1"/>
                <w:color w:val="auto"/>
              </w:rPr>
              <w:t>ASSETS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Current assets</w:t>
            </w: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169,477</w:t>
            </w:r>
          </w:p>
        </w:tc>
        <w:tc>
          <w:tcPr>
            <w:tcW w:w="6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121,893</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371,662</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337,948</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208,157</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170,084</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Deferred tax assets current, net</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55,351</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20,762</w:t>
            </w:r>
          </w:p>
        </w:tc>
        <w:tc>
          <w:tcPr>
            <w:tcW w:w="0" w:type="dxa"/>
            <w:vAlign w:val="bottom"/>
          </w:tcPr>
          <w:p>
            <w:pPr>
              <w:spacing w:after="0"/>
              <w:rPr>
                <w:sz w:val="1"/>
                <w:szCs w:val="1"/>
                <w:color w:val="auto"/>
              </w:rPr>
            </w:pPr>
          </w:p>
        </w:tc>
      </w:tr>
      <w:tr>
        <w:trPr>
          <w:trHeight w:val="181"/>
        </w:trPr>
        <w:tc>
          <w:tcPr>
            <w:tcW w:w="794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77,570</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75,229</w:t>
            </w:r>
          </w:p>
        </w:tc>
        <w:tc>
          <w:tcPr>
            <w:tcW w:w="0" w:type="dxa"/>
            <w:vAlign w:val="bottom"/>
          </w:tcPr>
          <w:p>
            <w:pPr>
              <w:spacing w:after="0"/>
              <w:rPr>
                <w:sz w:val="1"/>
                <w:szCs w:val="1"/>
                <w:color w:val="auto"/>
              </w:rPr>
            </w:pPr>
          </w:p>
        </w:tc>
      </w:tr>
      <w:tr>
        <w:trPr>
          <w:trHeight w:val="176"/>
        </w:trPr>
        <w:tc>
          <w:tcPr>
            <w:tcW w:w="794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4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882,217</w:t>
            </w:r>
          </w:p>
        </w:tc>
        <w:tc>
          <w:tcPr>
            <w:tcW w:w="1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725,916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9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80" w:type="dxa"/>
            <w:vAlign w:val="bottom"/>
          </w:tcPr>
          <w:p>
            <w:pPr>
              <w:spacing w:after="0"/>
              <w:rPr>
                <w:sz w:val="24"/>
                <w:szCs w:val="24"/>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299,242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318,217</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Prepaid debt fees</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4,483</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8,628</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35,050</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89,932</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23,759</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18,117</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291,670</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388,212</w:t>
            </w:r>
          </w:p>
        </w:tc>
        <w:tc>
          <w:tcPr>
            <w:tcW w:w="0" w:type="dxa"/>
            <w:vAlign w:val="bottom"/>
          </w:tcPr>
          <w:p>
            <w:pPr>
              <w:spacing w:after="0"/>
              <w:rPr>
                <w:sz w:val="1"/>
                <w:szCs w:val="1"/>
                <w:color w:val="auto"/>
              </w:rPr>
            </w:pPr>
          </w:p>
        </w:tc>
      </w:tr>
      <w:tr>
        <w:trPr>
          <w:trHeight w:val="181"/>
        </w:trPr>
        <w:tc>
          <w:tcPr>
            <w:tcW w:w="7940" w:type="dxa"/>
            <w:vAlign w:val="bottom"/>
          </w:tcPr>
          <w:p>
            <w:pPr>
              <w:spacing w:after="0"/>
              <w:rPr>
                <w:sz w:val="20"/>
                <w:szCs w:val="20"/>
                <w:color w:val="auto"/>
              </w:rPr>
            </w:pPr>
            <w:r>
              <w:rPr>
                <w:rFonts w:ascii="Arial" w:cs="Arial" w:eastAsia="Arial" w:hAnsi="Arial"/>
                <w:sz w:val="14"/>
                <w:szCs w:val="14"/>
                <w:color w:val="auto"/>
              </w:rPr>
              <w:t>Goodwill</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1,209,376</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1,305,599</w:t>
            </w:r>
          </w:p>
        </w:tc>
        <w:tc>
          <w:tcPr>
            <w:tcW w:w="0" w:type="dxa"/>
            <w:vAlign w:val="bottom"/>
          </w:tcPr>
          <w:p>
            <w:pPr>
              <w:spacing w:after="0"/>
              <w:rPr>
                <w:sz w:val="1"/>
                <w:szCs w:val="1"/>
                <w:color w:val="auto"/>
              </w:rPr>
            </w:pPr>
          </w:p>
        </w:tc>
      </w:tr>
      <w:tr>
        <w:trPr>
          <w:trHeight w:val="169"/>
        </w:trPr>
        <w:tc>
          <w:tcPr>
            <w:tcW w:w="794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4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2,745,797</w:t>
            </w:r>
          </w:p>
        </w:tc>
        <w:tc>
          <w:tcPr>
            <w:tcW w:w="1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2,854,621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LIABILITIES AND SHAREHOLDERS' EQUITY</w:t>
            </w: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241,949</w:t>
            </w:r>
          </w:p>
        </w:tc>
        <w:tc>
          <w:tcPr>
            <w:tcW w:w="6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219,255</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49,243</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64,583</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110,479</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71,592</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Taxes payable</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19,725</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14,377</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Current portion of debt</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228,721</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10,871</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Current portion of warranty</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24,912</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20,941</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28,258</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40,140</w:t>
            </w:r>
          </w:p>
        </w:tc>
        <w:tc>
          <w:tcPr>
            <w:tcW w:w="0" w:type="dxa"/>
            <w:vAlign w:val="bottom"/>
          </w:tcPr>
          <w:p>
            <w:pPr>
              <w:spacing w:after="0"/>
              <w:rPr>
                <w:sz w:val="1"/>
                <w:szCs w:val="1"/>
                <w:color w:val="auto"/>
              </w:rPr>
            </w:pPr>
          </w:p>
        </w:tc>
      </w:tr>
      <w:tr>
        <w:trPr>
          <w:trHeight w:val="181"/>
        </w:trPr>
        <w:tc>
          <w:tcPr>
            <w:tcW w:w="7940" w:type="dxa"/>
            <w:vAlign w:val="bottom"/>
          </w:tcPr>
          <w:p>
            <w:pPr>
              <w:ind w:left="220"/>
              <w:spacing w:after="0"/>
              <w:rPr>
                <w:sz w:val="20"/>
                <w:szCs w:val="20"/>
                <w:color w:val="auto"/>
              </w:rPr>
            </w:pPr>
            <w:r>
              <w:rPr>
                <w:rFonts w:ascii="Arial" w:cs="Arial" w:eastAsia="Arial" w:hAnsi="Arial"/>
                <w:sz w:val="14"/>
                <w:szCs w:val="14"/>
                <w:color w:val="auto"/>
              </w:rPr>
              <w:t>Deferred tax liabilities current, net</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447</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76"/>
        </w:trPr>
        <w:tc>
          <w:tcPr>
            <w:tcW w:w="794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4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703,734</w:t>
            </w:r>
          </w:p>
        </w:tc>
        <w:tc>
          <w:tcPr>
            <w:tcW w:w="1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443,384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940" w:type="dxa"/>
            <w:vAlign w:val="bottom"/>
          </w:tcPr>
          <w:p>
            <w:pPr>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24"/>
                <w:szCs w:val="24"/>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382,220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770,893</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Long-term warranty</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26,371</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12,932</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61,450</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63,040</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54,412</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80,695</w:t>
            </w:r>
          </w:p>
        </w:tc>
        <w:tc>
          <w:tcPr>
            <w:tcW w:w="0" w:type="dxa"/>
            <w:vAlign w:val="bottom"/>
          </w:tcPr>
          <w:p>
            <w:pPr>
              <w:spacing w:after="0"/>
              <w:rPr>
                <w:sz w:val="1"/>
                <w:szCs w:val="1"/>
                <w:color w:val="auto"/>
              </w:rPr>
            </w:pPr>
          </w:p>
        </w:tc>
      </w:tr>
      <w:tr>
        <w:trPr>
          <w:trHeight w:val="181"/>
        </w:trPr>
        <w:tc>
          <w:tcPr>
            <w:tcW w:w="794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89,315</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83,163</w:t>
            </w:r>
          </w:p>
        </w:tc>
        <w:tc>
          <w:tcPr>
            <w:tcW w:w="0" w:type="dxa"/>
            <w:vAlign w:val="bottom"/>
          </w:tcPr>
          <w:p>
            <w:pPr>
              <w:spacing w:after="0"/>
              <w:rPr>
                <w:sz w:val="1"/>
                <w:szCs w:val="1"/>
                <w:color w:val="auto"/>
              </w:rPr>
            </w:pPr>
          </w:p>
        </w:tc>
      </w:tr>
      <w:tr>
        <w:trPr>
          <w:trHeight w:val="176"/>
        </w:trPr>
        <w:tc>
          <w:tcPr>
            <w:tcW w:w="794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4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1,317,502</w:t>
            </w:r>
          </w:p>
        </w:tc>
        <w:tc>
          <w:tcPr>
            <w:tcW w:w="1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1,454,107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9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940" w:type="dxa"/>
            <w:vAlign w:val="bottom"/>
          </w:tcPr>
          <w:p>
            <w:pPr>
              <w:spacing w:after="0"/>
              <w:rPr>
                <w:sz w:val="20"/>
                <w:szCs w:val="20"/>
                <w:color w:val="auto"/>
              </w:rPr>
            </w:pPr>
            <w:r>
              <w:rPr>
                <w:rFonts w:ascii="Arial" w:cs="Arial" w:eastAsia="Arial" w:hAnsi="Arial"/>
                <w:sz w:val="14"/>
                <w:szCs w:val="14"/>
                <w:color w:val="auto"/>
              </w:rPr>
              <w:t>Shareholders' equity</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1,328,249</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1,299,134</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Accumulated other comprehensive income (loss), net</w:t>
            </w:r>
          </w:p>
        </w:tc>
        <w:tc>
          <w:tcPr>
            <w:tcW w:w="48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(34,974)</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71,130</w:t>
            </w:r>
          </w:p>
        </w:tc>
        <w:tc>
          <w:tcPr>
            <w:tcW w:w="0" w:type="dxa"/>
            <w:vAlign w:val="bottom"/>
          </w:tcPr>
          <w:p>
            <w:pPr>
              <w:spacing w:after="0"/>
              <w:rPr>
                <w:sz w:val="1"/>
                <w:szCs w:val="1"/>
                <w:color w:val="auto"/>
              </w:rPr>
            </w:pPr>
          </w:p>
        </w:tc>
      </w:tr>
      <w:tr>
        <w:trPr>
          <w:trHeight w:val="181"/>
        </w:trPr>
        <w:tc>
          <w:tcPr>
            <w:tcW w:w="794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4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135,020</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30,250</w:t>
            </w:r>
          </w:p>
        </w:tc>
        <w:tc>
          <w:tcPr>
            <w:tcW w:w="0" w:type="dxa"/>
            <w:vAlign w:val="bottom"/>
          </w:tcPr>
          <w:p>
            <w:pPr>
              <w:spacing w:after="0"/>
              <w:rPr>
                <w:sz w:val="1"/>
                <w:szCs w:val="1"/>
                <w:color w:val="auto"/>
              </w:rPr>
            </w:pPr>
          </w:p>
        </w:tc>
      </w:tr>
      <w:tr>
        <w:trPr>
          <w:trHeight w:val="169"/>
        </w:trPr>
        <w:tc>
          <w:tcPr>
            <w:tcW w:w="7940" w:type="dxa"/>
            <w:vAlign w:val="bottom"/>
          </w:tcPr>
          <w:p>
            <w:pPr>
              <w:ind w:left="420"/>
              <w:spacing w:after="0"/>
              <w:rPr>
                <w:sz w:val="20"/>
                <w:szCs w:val="20"/>
                <w:color w:val="auto"/>
              </w:rPr>
            </w:pPr>
            <w:r>
              <w:rPr>
                <w:rFonts w:ascii="Arial" w:cs="Arial" w:eastAsia="Arial" w:hAnsi="Arial"/>
                <w:sz w:val="14"/>
                <w:szCs w:val="14"/>
                <w:color w:val="auto"/>
              </w:rPr>
              <w:t>Total shareholders' equity</w:t>
            </w:r>
          </w:p>
        </w:tc>
        <w:tc>
          <w:tcPr>
            <w:tcW w:w="4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1,428,295</w:t>
            </w:r>
          </w:p>
        </w:tc>
        <w:tc>
          <w:tcPr>
            <w:tcW w:w="160" w:type="dxa"/>
            <w:vAlign w:val="bottom"/>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1,400,514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940" w:type="dxa"/>
            <w:vAlign w:val="bottom"/>
          </w:tcPr>
          <w:p>
            <w:pPr>
              <w:ind w:left="420"/>
              <w:spacing w:after="0"/>
              <w:rPr>
                <w:sz w:val="20"/>
                <w:szCs w:val="20"/>
                <w:color w:val="auto"/>
              </w:rPr>
            </w:pPr>
            <w:r>
              <w:rPr>
                <w:rFonts w:ascii="Arial" w:cs="Arial" w:eastAsia="Arial" w:hAnsi="Arial"/>
                <w:sz w:val="14"/>
                <w:szCs w:val="14"/>
                <w:color w:val="auto"/>
              </w:rPr>
              <w:t>Total liabilities and shareholders' equity</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2,745,797</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2,854,621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9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80" w:type="dxa"/>
            <w:vAlign w:val="bottom"/>
          </w:tcPr>
          <w:p>
            <w:pPr>
              <w:spacing w:after="0"/>
              <w:rPr>
                <w:sz w:val="15"/>
                <w:szCs w:val="15"/>
                <w:color w:val="auto"/>
              </w:rPr>
            </w:pPr>
          </w:p>
        </w:tc>
        <w:tc>
          <w:tcPr>
            <w:tcW w:w="3040" w:type="dxa"/>
            <w:vAlign w:val="bottom"/>
            <w:gridSpan w:val="4"/>
            <w:vMerge w:val="restart"/>
          </w:tcPr>
          <w:p>
            <w:pPr>
              <w:jc w:val="right"/>
              <w:ind w:right="50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39"/>
        </w:trPr>
        <w:tc>
          <w:tcPr>
            <w:tcW w:w="8000" w:type="dxa"/>
            <w:vAlign w:val="bottom"/>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104,770</w:t>
            </w:r>
          </w:p>
        </w:tc>
        <w:tc>
          <w:tcPr>
            <w:tcW w:w="5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131,205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155,737</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19,107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16,982</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Excess tax benefits from stock-based compensation</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(1,232)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Amortization of prepaid debt fees</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5,492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8,258</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Amortization of convertible debt discount</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10,099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9,673</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Loss on extinguishment of debt, net</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Deferred taxes, net</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(17,992)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(64,216)</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Other adjustments, net</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6,797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(45,612)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(2,962)</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(41,417)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Accounts payables, other current liabilities, and taxes payable</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40,884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9,873</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42,245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(8,261)</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(2,356)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14,836</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Warranty</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14,656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(5,273)</w:t>
            </w:r>
          </w:p>
        </w:tc>
        <w:tc>
          <w:tcPr>
            <w:tcW w:w="0" w:type="dxa"/>
            <w:vAlign w:val="bottom"/>
          </w:tcPr>
          <w:p>
            <w:pPr>
              <w:spacing w:after="0"/>
              <w:rPr>
                <w:sz w:val="1"/>
                <w:szCs w:val="1"/>
                <w:color w:val="auto"/>
              </w:rPr>
            </w:pPr>
          </w:p>
        </w:tc>
      </w:tr>
      <w:tr>
        <w:trPr>
          <w:trHeight w:val="181"/>
        </w:trPr>
        <w:tc>
          <w:tcPr>
            <w:tcW w:w="8000" w:type="dxa"/>
            <w:vAlign w:val="bottom"/>
          </w:tcPr>
          <w:p>
            <w:pPr>
              <w:ind w:left="220"/>
              <w:spacing w:after="0"/>
              <w:rPr>
                <w:sz w:val="20"/>
                <w:szCs w:val="20"/>
                <w:color w:val="auto"/>
              </w:rPr>
            </w:pPr>
            <w:r>
              <w:rPr>
                <w:rFonts w:ascii="Arial" w:cs="Arial" w:eastAsia="Arial" w:hAnsi="Arial"/>
                <w:sz w:val="14"/>
                <w:szCs w:val="14"/>
                <w:color w:val="auto"/>
              </w:rPr>
              <w:t>Other operating,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(12,055)</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(8,208)</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254,591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140,787</w:t>
            </w:r>
          </w:p>
        </w:tc>
        <w:tc>
          <w:tcPr>
            <w:tcW w:w="0" w:type="dxa"/>
            <w:vAlign w:val="bottom"/>
          </w:tcPr>
          <w:p>
            <w:pPr>
              <w:spacing w:after="0"/>
              <w:rPr>
                <w:sz w:val="1"/>
                <w:szCs w:val="1"/>
                <w:color w:val="auto"/>
              </w:rPr>
            </w:pPr>
          </w:p>
        </w:tc>
      </w:tr>
      <w:tr>
        <w:trPr>
          <w:trHeight w:val="339"/>
        </w:trPr>
        <w:tc>
          <w:tcPr>
            <w:tcW w:w="8000" w:type="dxa"/>
            <w:vAlign w:val="bottom"/>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Acquisitions of property, plant, and equipment</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(62,822)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(52,906)</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Business acquisitions &amp; contingent consideration, net of cash equivalents acquired</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181"/>
        </w:trPr>
        <w:tc>
          <w:tcPr>
            <w:tcW w:w="8000" w:type="dxa"/>
            <w:vAlign w:val="bottom"/>
          </w:tcPr>
          <w:p>
            <w:pPr>
              <w:ind w:left="220"/>
              <w:spacing w:after="0"/>
              <w:rPr>
                <w:sz w:val="20"/>
                <w:szCs w:val="20"/>
                <w:color w:val="auto"/>
              </w:rPr>
            </w:pPr>
            <w:r>
              <w:rPr>
                <w:rFonts w:ascii="Arial" w:cs="Arial" w:eastAsia="Arial" w:hAnsi="Arial"/>
                <w:sz w:val="14"/>
                <w:szCs w:val="14"/>
                <w:color w:val="auto"/>
              </w:rPr>
              <w:t>Other investing,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6,548</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3,229</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(56,274)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(53,994)</w:t>
            </w:r>
          </w:p>
        </w:tc>
        <w:tc>
          <w:tcPr>
            <w:tcW w:w="0" w:type="dxa"/>
            <w:vAlign w:val="bottom"/>
          </w:tcPr>
          <w:p>
            <w:pPr>
              <w:spacing w:after="0"/>
              <w:rPr>
                <w:sz w:val="1"/>
                <w:szCs w:val="1"/>
                <w:color w:val="auto"/>
              </w:rPr>
            </w:pPr>
          </w:p>
        </w:tc>
      </w:tr>
      <w:tr>
        <w:trPr>
          <w:trHeight w:val="339"/>
        </w:trPr>
        <w:tc>
          <w:tcPr>
            <w:tcW w:w="8000" w:type="dxa"/>
            <w:vAlign w:val="bottom"/>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Payments on debt</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(155,163)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(275,796)</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8,776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166,372</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Prepaid debt fees</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(1,347)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Excess tax benefits from stock-based compensation</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1,232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000" w:type="dxa"/>
            <w:vAlign w:val="bottom"/>
          </w:tcPr>
          <w:p>
            <w:pPr>
              <w:ind w:left="220"/>
              <w:spacing w:after="0"/>
              <w:rPr>
                <w:sz w:val="20"/>
                <w:szCs w:val="20"/>
                <w:color w:val="auto"/>
              </w:rPr>
            </w:pPr>
            <w:r>
              <w:rPr>
                <w:rFonts w:ascii="Arial" w:cs="Arial" w:eastAsia="Arial" w:hAnsi="Arial"/>
                <w:sz w:val="14"/>
                <w:szCs w:val="14"/>
                <w:color w:val="auto"/>
              </w:rPr>
              <w:t>Other financing,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(2,135)</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76"/>
        </w:trPr>
        <w:tc>
          <w:tcPr>
            <w:tcW w:w="8000" w:type="dxa"/>
            <w:vAlign w:val="bottom"/>
          </w:tcPr>
          <w:p>
            <w:pPr>
              <w:ind w:left="420"/>
              <w:spacing w:after="0"/>
              <w:rPr>
                <w:sz w:val="20"/>
                <w:szCs w:val="20"/>
                <w:color w:val="auto"/>
              </w:rPr>
            </w:pPr>
            <w:r>
              <w:rPr>
                <w:rFonts w:ascii="Arial" w:cs="Arial" w:eastAsia="Arial" w:hAnsi="Arial"/>
                <w:sz w:val="14"/>
                <w:szCs w:val="14"/>
                <w:color w:val="auto"/>
              </w:rPr>
              <w:t>Net cash used in financing activities</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(148,637)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(114,121)</w:t>
            </w:r>
          </w:p>
        </w:tc>
        <w:tc>
          <w:tcPr>
            <w:tcW w:w="0" w:type="dxa"/>
            <w:vAlign w:val="bottom"/>
          </w:tcPr>
          <w:p>
            <w:pPr>
              <w:spacing w:after="0"/>
              <w:rPr>
                <w:sz w:val="1"/>
                <w:szCs w:val="1"/>
                <w:color w:val="auto"/>
              </w:rPr>
            </w:pPr>
          </w:p>
        </w:tc>
      </w:tr>
      <w:tr>
        <w:trPr>
          <w:trHeight w:val="344"/>
        </w:trPr>
        <w:tc>
          <w:tcPr>
            <w:tcW w:w="800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(2,096)</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4,831</w:t>
            </w:r>
          </w:p>
        </w:tc>
        <w:tc>
          <w:tcPr>
            <w:tcW w:w="0" w:type="dxa"/>
            <w:vAlign w:val="bottom"/>
          </w:tcPr>
          <w:p>
            <w:pPr>
              <w:spacing w:after="0"/>
              <w:rPr>
                <w:sz w:val="1"/>
                <w:szCs w:val="1"/>
                <w:color w:val="auto"/>
              </w:rPr>
            </w:pPr>
          </w:p>
        </w:tc>
      </w:tr>
      <w:tr>
        <w:trPr>
          <w:trHeight w:val="164"/>
        </w:trPr>
        <w:tc>
          <w:tcPr>
            <w:tcW w:w="800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8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47,584</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(22,497)</w:t>
            </w:r>
          </w:p>
        </w:tc>
        <w:tc>
          <w:tcPr>
            <w:tcW w:w="0" w:type="dxa"/>
            <w:vAlign w:val="bottom"/>
          </w:tcPr>
          <w:p>
            <w:pPr>
              <w:spacing w:after="0"/>
              <w:rPr>
                <w:sz w:val="1"/>
                <w:szCs w:val="1"/>
                <w:color w:val="auto"/>
              </w:rPr>
            </w:pPr>
          </w:p>
        </w:tc>
      </w:tr>
      <w:tr>
        <w:trPr>
          <w:trHeight w:val="181"/>
        </w:trPr>
        <w:tc>
          <w:tcPr>
            <w:tcW w:w="800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121,893</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144,390</w:t>
            </w:r>
          </w:p>
        </w:tc>
        <w:tc>
          <w:tcPr>
            <w:tcW w:w="0" w:type="dxa"/>
            <w:vAlign w:val="bottom"/>
          </w:tcPr>
          <w:p>
            <w:pPr>
              <w:spacing w:after="0"/>
              <w:rPr>
                <w:sz w:val="1"/>
                <w:szCs w:val="1"/>
                <w:color w:val="auto"/>
              </w:rPr>
            </w:pPr>
          </w:p>
        </w:tc>
      </w:tr>
      <w:tr>
        <w:trPr>
          <w:trHeight w:val="169"/>
        </w:trPr>
        <w:tc>
          <w:tcPr>
            <w:tcW w:w="800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169,477</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121,893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0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RESTATED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FISCAL PERIODS IN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RESTATED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3"/>
                <w:szCs w:val="13"/>
                <w:color w:val="auto"/>
              </w:rPr>
            </w:pPr>
          </w:p>
        </w:tc>
        <w:tc>
          <w:tcPr>
            <w:tcW w:w="1140" w:type="dxa"/>
            <w:vAlign w:val="bottom"/>
          </w:tcPr>
          <w:p>
            <w:pPr>
              <w:jc w:val="right"/>
              <w:ind w:right="408"/>
              <w:spacing w:after="0" w:line="160" w:lineRule="exact"/>
              <w:rPr>
                <w:sz w:val="20"/>
                <w:szCs w:val="20"/>
                <w:color w:val="auto"/>
              </w:rPr>
            </w:pPr>
            <w:r>
              <w:rPr>
                <w:rFonts w:ascii="Arial" w:cs="Arial" w:eastAsia="Arial" w:hAnsi="Arial"/>
                <w:sz w:val="14"/>
                <w:szCs w:val="14"/>
                <w:b w:val="1"/>
                <w:bCs w:val="1"/>
                <w:color w:val="auto"/>
              </w:rPr>
              <w:t>Three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88"/>
              <w:spacing w:after="0" w:line="160" w:lineRule="exact"/>
              <w:rPr>
                <w:sz w:val="20"/>
                <w:szCs w:val="20"/>
                <w:color w:val="auto"/>
              </w:rPr>
            </w:pPr>
            <w:r>
              <w:rPr>
                <w:rFonts w:ascii="Arial" w:cs="Arial" w:eastAsia="Arial" w:hAnsi="Arial"/>
                <w:sz w:val="14"/>
                <w:szCs w:val="14"/>
                <w:b w:val="1"/>
                <w:bCs w:val="1"/>
                <w:color w:val="auto"/>
              </w:rPr>
              <w:t>Six</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08"/>
              <w:spacing w:after="0" w:line="160" w:lineRule="exact"/>
              <w:rPr>
                <w:sz w:val="20"/>
                <w:szCs w:val="20"/>
                <w:color w:val="auto"/>
              </w:rPr>
            </w:pPr>
            <w:r>
              <w:rPr>
                <w:rFonts w:ascii="Arial" w:cs="Arial" w:eastAsia="Arial" w:hAnsi="Arial"/>
                <w:sz w:val="14"/>
                <w:szCs w:val="14"/>
                <w:b w:val="1"/>
                <w:bCs w:val="1"/>
                <w:color w:val="auto"/>
              </w:rPr>
              <w:t>Three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88"/>
              <w:spacing w:after="0" w:line="160" w:lineRule="exact"/>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Months Ended</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Months Ended</w:t>
            </w: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339"/>
        </w:trPr>
        <w:tc>
          <w:tcPr>
            <w:tcW w:w="4500" w:type="dxa"/>
            <w:vAlign w:val="bottom"/>
          </w:tcPr>
          <w:p>
            <w:pPr>
              <w:spacing w:after="0"/>
              <w:rPr>
                <w:sz w:val="20"/>
                <w:szCs w:val="20"/>
                <w:color w:val="auto"/>
              </w:rPr>
            </w:pPr>
            <w:r>
              <w:rPr>
                <w:rFonts w:ascii="Arial" w:cs="Arial" w:eastAsia="Arial" w:hAnsi="Arial"/>
                <w:sz w:val="14"/>
                <w:szCs w:val="14"/>
                <w:color w:val="auto"/>
              </w:rPr>
              <w:t>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497,623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567,339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1,064,962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573,651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1,638,613</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20"/>
                <w:szCs w:val="20"/>
                <w:color w:val="auto"/>
              </w:rPr>
            </w:pPr>
            <w:r>
              <w:rPr>
                <w:rFonts w:ascii="Arial" w:cs="Arial" w:eastAsia="Arial" w:hAnsi="Arial"/>
                <w:sz w:val="14"/>
                <w:szCs w:val="14"/>
                <w:color w:val="auto"/>
              </w:rPr>
              <w:t>Cost of revenues</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340,559</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393,283</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733,842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391,888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1,125,730</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157,064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174,056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331,120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181,763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512,883</w:t>
            </w:r>
          </w:p>
        </w:tc>
        <w:tc>
          <w:tcPr>
            <w:tcW w:w="0" w:type="dxa"/>
            <w:vAlign w:val="bottom"/>
          </w:tcPr>
          <w:p>
            <w:pPr>
              <w:spacing w:after="0"/>
              <w:rPr>
                <w:sz w:val="1"/>
                <w:szCs w:val="1"/>
                <w:color w:val="auto"/>
              </w:rPr>
            </w:pPr>
          </w:p>
        </w:tc>
      </w:tr>
      <w:tr>
        <w:trPr>
          <w:trHeight w:val="339"/>
        </w:trPr>
        <w:tc>
          <w:tcPr>
            <w:tcW w:w="4500" w:type="dxa"/>
            <w:vAlign w:val="bottom"/>
          </w:tcPr>
          <w:p>
            <w:pPr>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41,537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40,974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82,511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41,197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123,708</w:t>
            </w:r>
          </w:p>
        </w:tc>
        <w:tc>
          <w:tcPr>
            <w:tcW w:w="0" w:type="dxa"/>
            <w:vAlign w:val="bottom"/>
          </w:tcPr>
          <w:p>
            <w:pPr>
              <w:spacing w:after="0"/>
              <w:rPr>
                <w:sz w:val="1"/>
                <w:szCs w:val="1"/>
                <w:color w:val="auto"/>
              </w:rPr>
            </w:pPr>
          </w:p>
        </w:tc>
      </w:tr>
      <w:tr>
        <w:trPr>
          <w:trHeight w:val="176"/>
        </w:trPr>
        <w:tc>
          <w:tcPr>
            <w:tcW w:w="4500" w:type="dxa"/>
            <w:vAlign w:val="bottom"/>
          </w:tcPr>
          <w:p>
            <w:pPr>
              <w:ind w:left="220"/>
              <w:spacing w:after="0"/>
              <w:rPr>
                <w:sz w:val="20"/>
                <w:szCs w:val="20"/>
                <w:color w:val="auto"/>
              </w:rPr>
            </w:pPr>
            <w:r>
              <w:rPr>
                <w:rFonts w:ascii="Arial" w:cs="Arial" w:eastAsia="Arial" w:hAnsi="Arial"/>
                <w:sz w:val="14"/>
                <w:szCs w:val="14"/>
                <w:color w:val="auto"/>
              </w:rPr>
              <w:t>Product development</w:t>
            </w:r>
          </w:p>
        </w:tc>
        <w:tc>
          <w:tcPr>
            <w:tcW w:w="1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33,040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33,022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66,062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34,038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100,100</w:t>
            </w:r>
          </w:p>
        </w:tc>
        <w:tc>
          <w:tcPr>
            <w:tcW w:w="0" w:type="dxa"/>
            <w:vAlign w:val="bottom"/>
          </w:tcPr>
          <w:p>
            <w:pPr>
              <w:spacing w:after="0"/>
              <w:rPr>
                <w:sz w:val="1"/>
                <w:szCs w:val="1"/>
                <w:color w:val="auto"/>
              </w:rPr>
            </w:pPr>
          </w:p>
        </w:tc>
      </w:tr>
      <w:tr>
        <w:trPr>
          <w:trHeight w:val="176"/>
        </w:trPr>
        <w:tc>
          <w:tcPr>
            <w:tcW w:w="450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33,057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33,285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66,342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30,710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97,052</w:t>
            </w:r>
          </w:p>
        </w:tc>
        <w:tc>
          <w:tcPr>
            <w:tcW w:w="0" w:type="dxa"/>
            <w:vAlign w:val="bottom"/>
          </w:tcPr>
          <w:p>
            <w:pPr>
              <w:spacing w:after="0"/>
              <w:rPr>
                <w:sz w:val="1"/>
                <w:szCs w:val="1"/>
                <w:color w:val="auto"/>
              </w:rPr>
            </w:pPr>
          </w:p>
        </w:tc>
      </w:tr>
      <w:tr>
        <w:trPr>
          <w:trHeight w:val="181"/>
        </w:trPr>
        <w:tc>
          <w:tcPr>
            <w:tcW w:w="450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17,811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16,766</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34,577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51,459</w:t>
            </w:r>
          </w:p>
        </w:tc>
        <w:tc>
          <w:tcPr>
            <w:tcW w:w="0" w:type="dxa"/>
            <w:vAlign w:val="bottom"/>
          </w:tcPr>
          <w:p>
            <w:pPr>
              <w:spacing w:after="0"/>
              <w:rPr>
                <w:sz w:val="1"/>
                <w:szCs w:val="1"/>
                <w:color w:val="auto"/>
              </w:rPr>
            </w:pPr>
          </w:p>
        </w:tc>
      </w:tr>
      <w:tr>
        <w:trPr>
          <w:trHeight w:val="169"/>
        </w:trPr>
        <w:tc>
          <w:tcPr>
            <w:tcW w:w="450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125,445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124,047</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249,492</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122,827</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372,319</w:t>
            </w:r>
          </w:p>
        </w:tc>
        <w:tc>
          <w:tcPr>
            <w:tcW w:w="0" w:type="dxa"/>
            <w:vAlign w:val="bottom"/>
          </w:tcPr>
          <w:p>
            <w:pPr>
              <w:spacing w:after="0"/>
              <w:rPr>
                <w:sz w:val="1"/>
                <w:szCs w:val="1"/>
                <w:color w:val="auto"/>
              </w:rPr>
            </w:pPr>
          </w:p>
        </w:tc>
      </w:tr>
      <w:tr>
        <w:trPr>
          <w:trHeight w:val="339"/>
        </w:trPr>
        <w:tc>
          <w:tcPr>
            <w:tcW w:w="4500" w:type="dxa"/>
            <w:vAlign w:val="bottom"/>
          </w:tcPr>
          <w:p>
            <w:pPr>
              <w:spacing w:after="0"/>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31,619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50,009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81,628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58,936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140,564</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76"/>
        </w:trPr>
        <w:tc>
          <w:tcPr>
            <w:tcW w:w="450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(13,965)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(28,888)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(42,216)</w:t>
            </w:r>
          </w:p>
        </w:tc>
        <w:tc>
          <w:tcPr>
            <w:tcW w:w="0" w:type="dxa"/>
            <w:vAlign w:val="bottom"/>
          </w:tcPr>
          <w:p>
            <w:pPr>
              <w:spacing w:after="0"/>
              <w:rPr>
                <w:sz w:val="1"/>
                <w:szCs w:val="1"/>
                <w:color w:val="auto"/>
              </w:rPr>
            </w:pPr>
          </w:p>
        </w:tc>
      </w:tr>
      <w:tr>
        <w:trPr>
          <w:trHeight w:val="181"/>
        </w:trPr>
        <w:tc>
          <w:tcPr>
            <w:tcW w:w="450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(5,440)</w:t>
            </w:r>
          </w:p>
        </w:tc>
        <w:tc>
          <w:tcPr>
            <w:tcW w:w="0" w:type="dxa"/>
            <w:vAlign w:val="bottom"/>
          </w:tcPr>
          <w:p>
            <w:pPr>
              <w:spacing w:after="0"/>
              <w:rPr>
                <w:sz w:val="1"/>
                <w:szCs w:val="1"/>
                <w:color w:val="auto"/>
              </w:rPr>
            </w:pPr>
          </w:p>
        </w:tc>
      </w:tr>
      <w:tr>
        <w:trPr>
          <w:trHeight w:val="169"/>
        </w:trPr>
        <w:tc>
          <w:tcPr>
            <w:tcW w:w="4500" w:type="dxa"/>
            <w:vAlign w:val="bottom"/>
          </w:tcPr>
          <w:p>
            <w:pPr>
              <w:ind w:left="4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(15,348)</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(14,279)</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(29,627)</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(17,585)</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(47,212)</w:t>
            </w:r>
          </w:p>
        </w:tc>
        <w:tc>
          <w:tcPr>
            <w:tcW w:w="0" w:type="dxa"/>
            <w:vAlign w:val="bottom"/>
          </w:tcPr>
          <w:p>
            <w:pPr>
              <w:spacing w:after="0"/>
              <w:rPr>
                <w:sz w:val="1"/>
                <w:szCs w:val="1"/>
                <w:color w:val="auto"/>
              </w:rPr>
            </w:pPr>
          </w:p>
        </w:tc>
      </w:tr>
      <w:tr>
        <w:trPr>
          <w:trHeight w:val="339"/>
        </w:trPr>
        <w:tc>
          <w:tcPr>
            <w:tcW w:w="45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16,271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35,730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52,001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41,351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93,352</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8,979</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(10,419)</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(13,712)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(15,152)</w:t>
            </w:r>
          </w:p>
        </w:tc>
        <w:tc>
          <w:tcPr>
            <w:tcW w:w="0" w:type="dxa"/>
            <w:vAlign w:val="bottom"/>
          </w:tcPr>
          <w:p>
            <w:pPr>
              <w:spacing w:after="0"/>
              <w:rPr>
                <w:sz w:val="1"/>
                <w:szCs w:val="1"/>
                <w:color w:val="auto"/>
              </w:rPr>
            </w:pPr>
          </w:p>
        </w:tc>
      </w:tr>
      <w:tr>
        <w:trPr>
          <w:trHeight w:val="169"/>
        </w:trPr>
        <w:tc>
          <w:tcPr>
            <w:tcW w:w="450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25,250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25,311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50,561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27,639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78,200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500" w:type="dxa"/>
            <w:vAlign w:val="bottom"/>
          </w:tcPr>
          <w:p>
            <w:pPr>
              <w:spacing w:after="0"/>
              <w:rPr>
                <w:sz w:val="20"/>
                <w:szCs w:val="20"/>
                <w:color w:val="auto"/>
              </w:rPr>
            </w:pPr>
            <w:r>
              <w:rPr>
                <w:rFonts w:ascii="Arial" w:cs="Arial" w:eastAsia="Arial" w:hAnsi="Arial"/>
                <w:sz w:val="14"/>
                <w:szCs w:val="14"/>
                <w:color w:val="auto"/>
              </w:rPr>
              <w:t>Earnings per common share-Basic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0.63</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0.63</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4"/>
                <w:szCs w:val="14"/>
                <w:color w:val="auto"/>
              </w:rPr>
              <w:t>Earnings per common share-Diluted</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0.62</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0.61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0.68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500" w:type="dxa"/>
            <w:vAlign w:val="bottom"/>
          </w:tcPr>
          <w:p>
            <w:pPr>
              <w:spacing w:after="0"/>
              <w:rPr>
                <w:sz w:val="20"/>
                <w:szCs w:val="20"/>
                <w:color w:val="auto"/>
              </w:rPr>
            </w:pPr>
            <w:r>
              <w:rPr>
                <w:rFonts w:ascii="Arial" w:cs="Arial" w:eastAsia="Arial" w:hAnsi="Arial"/>
                <w:sz w:val="14"/>
                <w:szCs w:val="14"/>
                <w:color w:val="auto"/>
              </w:rPr>
              <w:t>Weighted average common shares outstanding-Basic</w:t>
            </w:r>
          </w:p>
        </w:tc>
        <w:tc>
          <w:tcPr>
            <w:tcW w:w="16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40,191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40,329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40,261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40,400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40,307</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Arial" w:cs="Arial" w:eastAsia="Arial" w:hAnsi="Arial"/>
                <w:sz w:val="14"/>
                <w:szCs w:val="14"/>
                <w:color w:val="auto"/>
              </w:rPr>
              <w:t>Weighted average common shares outstanding-Diluted</w:t>
            </w:r>
          </w:p>
        </w:tc>
        <w:tc>
          <w:tcPr>
            <w:tcW w:w="1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40,862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41,161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41,011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40,828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40,950</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right="140"/>
        <w:spacing w:after="0" w:line="238" w:lineRule="auto"/>
        <w:rPr>
          <w:sz w:val="20"/>
          <w:szCs w:val="20"/>
          <w:color w:val="auto"/>
        </w:rPr>
      </w:pPr>
      <w:r>
        <w:rPr>
          <w:rFonts w:ascii="Arial" w:cs="Arial" w:eastAsia="Arial" w:hAnsi="Arial"/>
          <w:sz w:val="14"/>
          <w:szCs w:val="14"/>
          <w:color w:val="auto"/>
        </w:rPr>
        <w:t>The unaudited quarterly financial information for the first three quarters of 2010 has been restated. The restatement was made primarily to defer revenue previously recognized on one contract due to a misinterpretation of an extended warranty provision. While the restatement was not deemed material to the first three quarters of 2010, we concluded that the aggregate correction of such amounts would be material to the fourth quarter of 2010.</w:t>
      </w:r>
    </w:p>
    <w:p>
      <w:pPr>
        <w:spacing w:after="0" w:line="169"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 xml:space="preserve">Accordingly, the restatement impacted the consolidated financial statements in the previously filed Quarterly Reports on Form 10-Q for each of the first three quarters of 2010. While certain captions within </w:t>
      </w:r>
      <w:r>
        <w:rPr>
          <w:rFonts w:ascii="Arial" w:cs="Arial" w:eastAsia="Arial" w:hAnsi="Arial"/>
          <w:sz w:val="14"/>
          <w:szCs w:val="14"/>
          <w:i w:val="1"/>
          <w:iCs w:val="1"/>
          <w:color w:val="auto"/>
        </w:rPr>
        <w:t>cash provided by operating activities</w:t>
      </w:r>
      <w:r>
        <w:rPr>
          <w:rFonts w:ascii="Arial" w:cs="Arial" w:eastAsia="Arial" w:hAnsi="Arial"/>
          <w:sz w:val="14"/>
          <w:szCs w:val="14"/>
          <w:color w:val="auto"/>
        </w:rPr>
        <w:t xml:space="preserve"> in the consolidated statements of cash flows were impacted by the correction, total </w:t>
      </w:r>
      <w:r>
        <w:rPr>
          <w:rFonts w:ascii="Arial" w:cs="Arial" w:eastAsia="Arial" w:hAnsi="Arial"/>
          <w:sz w:val="14"/>
          <w:szCs w:val="14"/>
          <w:i w:val="1"/>
          <w:iCs w:val="1"/>
          <w:color w:val="auto"/>
        </w:rPr>
        <w:t>cash provided by operating activities</w:t>
      </w:r>
      <w:r>
        <w:rPr>
          <w:rFonts w:ascii="Arial" w:cs="Arial" w:eastAsia="Arial" w:hAnsi="Arial"/>
          <w:sz w:val="14"/>
          <w:szCs w:val="14"/>
          <w:color w:val="auto"/>
        </w:rPr>
        <w:t xml:space="preserve"> did not change from amounts previously reported. The consolidated statements of operations have been restated, as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RESTATED CONSOLIDATED SEGMENT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FISCAL PERIODS IN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8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RESTATED</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4"/>
              </w:rPr>
              <w:t>Three</w:t>
            </w:r>
          </w:p>
        </w:tc>
        <w:tc>
          <w:tcPr>
            <w:tcW w:w="280" w:type="dxa"/>
            <w:vAlign w:val="bottom"/>
          </w:tcPr>
          <w:p>
            <w:pPr>
              <w:spacing w:after="0"/>
              <w:rPr>
                <w:sz w:val="13"/>
                <w:szCs w:val="13"/>
                <w:color w:val="auto"/>
              </w:rPr>
            </w:pPr>
          </w:p>
        </w:tc>
        <w:tc>
          <w:tcPr>
            <w:tcW w:w="116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Three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648"/>
              <w:spacing w:after="0" w:line="160" w:lineRule="exact"/>
              <w:rPr>
                <w:sz w:val="20"/>
                <w:szCs w:val="20"/>
                <w:color w:val="auto"/>
              </w:rPr>
            </w:pPr>
            <w:r>
              <w:rPr>
                <w:rFonts w:ascii="Arial" w:cs="Arial" w:eastAsia="Arial" w:hAnsi="Arial"/>
                <w:sz w:val="14"/>
                <w:szCs w:val="14"/>
                <w:b w:val="1"/>
                <w:bCs w:val="1"/>
                <w:color w:val="auto"/>
              </w:rPr>
              <w:t>Six</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ind w:right="568"/>
              <w:spacing w:after="0" w:line="160" w:lineRule="exact"/>
              <w:rPr>
                <w:sz w:val="20"/>
                <w:szCs w:val="20"/>
                <w:color w:val="auto"/>
              </w:rPr>
            </w:pPr>
            <w:r>
              <w:rPr>
                <w:rFonts w:ascii="Arial" w:cs="Arial" w:eastAsia="Arial" w:hAnsi="Arial"/>
                <w:sz w:val="14"/>
                <w:szCs w:val="14"/>
                <w:b w:val="1"/>
                <w:bCs w:val="1"/>
                <w:color w:val="auto"/>
              </w:rPr>
              <w:t>Three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628"/>
              <w:spacing w:after="0" w:line="160" w:lineRule="exact"/>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Months Ended</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March 31</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88"/>
              </w:rPr>
              <w:t>June 30</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7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241,559</w:t>
            </w:r>
          </w:p>
        </w:tc>
        <w:tc>
          <w:tcPr>
            <w:tcW w:w="10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301,143</w:t>
            </w:r>
          </w:p>
        </w:tc>
        <w:tc>
          <w:tcPr>
            <w:tcW w:w="5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542,702</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313,155</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855,857</w:t>
            </w:r>
          </w:p>
        </w:tc>
        <w:tc>
          <w:tcPr>
            <w:tcW w:w="0" w:type="dxa"/>
            <w:vAlign w:val="bottom"/>
          </w:tcPr>
          <w:p>
            <w:pPr>
              <w:spacing w:after="0"/>
              <w:rPr>
                <w:sz w:val="1"/>
                <w:szCs w:val="1"/>
                <w:color w:val="auto"/>
              </w:rPr>
            </w:pPr>
          </w:p>
        </w:tc>
      </w:tr>
      <w:tr>
        <w:trPr>
          <w:trHeight w:val="181"/>
        </w:trPr>
        <w:tc>
          <w:tcPr>
            <w:tcW w:w="278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256,064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266,196</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522,260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260,496</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782,756</w:t>
            </w:r>
          </w:p>
        </w:tc>
        <w:tc>
          <w:tcPr>
            <w:tcW w:w="0" w:type="dxa"/>
            <w:vAlign w:val="bottom"/>
          </w:tcPr>
          <w:p>
            <w:pPr>
              <w:spacing w:after="0"/>
              <w:rPr>
                <w:sz w:val="1"/>
                <w:szCs w:val="1"/>
                <w:color w:val="auto"/>
              </w:rPr>
            </w:pPr>
          </w:p>
        </w:tc>
      </w:tr>
      <w:tr>
        <w:trPr>
          <w:trHeight w:val="169"/>
        </w:trPr>
        <w:tc>
          <w:tcPr>
            <w:tcW w:w="27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497,623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567,339</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1,064,962</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573,651</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1,638,613</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78,159</w:t>
            </w:r>
          </w:p>
        </w:tc>
        <w:tc>
          <w:tcPr>
            <w:tcW w:w="10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100,972</w:t>
            </w:r>
          </w:p>
        </w:tc>
        <w:tc>
          <w:tcPr>
            <w:tcW w:w="5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179,131</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109,551</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288,682</w:t>
            </w:r>
          </w:p>
        </w:tc>
        <w:tc>
          <w:tcPr>
            <w:tcW w:w="0" w:type="dxa"/>
            <w:vAlign w:val="bottom"/>
          </w:tcPr>
          <w:p>
            <w:pPr>
              <w:spacing w:after="0"/>
              <w:rPr>
                <w:sz w:val="1"/>
                <w:szCs w:val="1"/>
                <w:color w:val="auto"/>
              </w:rPr>
            </w:pPr>
          </w:p>
        </w:tc>
      </w:tr>
      <w:tr>
        <w:trPr>
          <w:trHeight w:val="181"/>
        </w:trPr>
        <w:tc>
          <w:tcPr>
            <w:tcW w:w="278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78,905</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73,084</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151,989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72,212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224,201</w:t>
            </w:r>
          </w:p>
        </w:tc>
        <w:tc>
          <w:tcPr>
            <w:tcW w:w="0" w:type="dxa"/>
            <w:vAlign w:val="bottom"/>
          </w:tcPr>
          <w:p>
            <w:pPr>
              <w:spacing w:after="0"/>
              <w:rPr>
                <w:sz w:val="1"/>
                <w:szCs w:val="1"/>
                <w:color w:val="auto"/>
              </w:rPr>
            </w:pPr>
          </w:p>
        </w:tc>
      </w:tr>
      <w:tr>
        <w:trPr>
          <w:trHeight w:val="169"/>
        </w:trPr>
        <w:tc>
          <w:tcPr>
            <w:tcW w:w="27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157,064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174,056</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331,120</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181,763</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512,883</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32,036</w:t>
            </w:r>
          </w:p>
        </w:tc>
        <w:tc>
          <w:tcPr>
            <w:tcW w:w="10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55,384</w:t>
            </w:r>
          </w:p>
        </w:tc>
        <w:tc>
          <w:tcPr>
            <w:tcW w:w="5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87,420</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62,274</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149,694</w:t>
            </w:r>
          </w:p>
        </w:tc>
        <w:tc>
          <w:tcPr>
            <w:tcW w:w="0" w:type="dxa"/>
            <w:vAlign w:val="bottom"/>
          </w:tcPr>
          <w:p>
            <w:pPr>
              <w:spacing w:after="0"/>
              <w:rPr>
                <w:sz w:val="1"/>
                <w:szCs w:val="1"/>
                <w:color w:val="auto"/>
              </w:rPr>
            </w:pPr>
          </w:p>
        </w:tc>
      </w:tr>
      <w:tr>
        <w:trPr>
          <w:trHeight w:val="176"/>
        </w:trPr>
        <w:tc>
          <w:tcPr>
            <w:tcW w:w="278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60" w:type="dxa"/>
            <w:vAlign w:val="bottom"/>
          </w:tcPr>
          <w:p>
            <w:pPr>
              <w:spacing w:after="0"/>
              <w:rPr>
                <w:sz w:val="15"/>
                <w:szCs w:val="15"/>
                <w:color w:val="auto"/>
              </w:rPr>
            </w:pP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10,437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5,017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15,454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7,515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22,969</w:t>
            </w:r>
          </w:p>
        </w:tc>
        <w:tc>
          <w:tcPr>
            <w:tcW w:w="0" w:type="dxa"/>
            <w:vAlign w:val="bottom"/>
          </w:tcPr>
          <w:p>
            <w:pPr>
              <w:spacing w:after="0"/>
              <w:rPr>
                <w:sz w:val="1"/>
                <w:szCs w:val="1"/>
                <w:color w:val="auto"/>
              </w:rPr>
            </w:pPr>
          </w:p>
        </w:tc>
      </w:tr>
      <w:tr>
        <w:trPr>
          <w:trHeight w:val="181"/>
        </w:trPr>
        <w:tc>
          <w:tcPr>
            <w:tcW w:w="278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(10,854)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(10,392)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(21,246)</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(10,853)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(32,099)</w:t>
            </w:r>
          </w:p>
        </w:tc>
        <w:tc>
          <w:tcPr>
            <w:tcW w:w="0" w:type="dxa"/>
            <w:vAlign w:val="bottom"/>
          </w:tcPr>
          <w:p>
            <w:pPr>
              <w:spacing w:after="0"/>
              <w:rPr>
                <w:sz w:val="1"/>
                <w:szCs w:val="1"/>
                <w:color w:val="auto"/>
              </w:rPr>
            </w:pPr>
          </w:p>
        </w:tc>
      </w:tr>
      <w:tr>
        <w:trPr>
          <w:trHeight w:val="169"/>
        </w:trPr>
        <w:tc>
          <w:tcPr>
            <w:tcW w:w="27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31,619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50,009</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81,628</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58,936</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140,564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7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or extinguishment of debt gains and losses.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i w:val="1"/>
          <w:iCs w:val="1"/>
          <w:color w:val="auto"/>
        </w:rPr>
        <w:t xml:space="preserve">Non-GAAP operating expense and non-GAAP operating income </w:t>
      </w:r>
      <w:r>
        <w:rPr>
          <w:rFonts w:ascii="Arial" w:cs="Arial" w:eastAsia="Arial" w:hAnsi="Arial"/>
          <w:sz w:val="19"/>
          <w:szCs w:val="19"/>
          <w:color w:val="auto"/>
        </w:rPr>
        <w:t>– We define non-GAAP operating expense as operating expense</w:t>
      </w:r>
      <w:r>
        <w:rPr>
          <w:rFonts w:ascii="Arial" w:cs="Arial" w:eastAsia="Arial" w:hAnsi="Arial"/>
          <w:sz w:val="19"/>
          <w:szCs w:val="19"/>
          <w:i w:val="1"/>
          <w:iCs w:val="1"/>
          <w:color w:val="auto"/>
        </w:rPr>
        <w:t xml:space="preserve"> </w:t>
      </w:r>
      <w:r>
        <w:rPr>
          <w:rFonts w:ascii="Arial" w:cs="Arial" w:eastAsia="Arial" w:hAnsi="Arial"/>
          <w:sz w:val="19"/>
          <w:szCs w:val="19"/>
          <w:color w:val="auto"/>
        </w:rPr>
        <w:t>excluding the expense related to the amortization of intangible assets. We define non-GAAP operating income as operating income excluding the expense related to the amortization of intangible assets. We consider these non-GAAP financial measures to be useful metrics for management and investors because they exclude the effect of expenses that are related to previous acquisitions.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line="245" w:lineRule="auto"/>
        <w:rPr>
          <w:sz w:val="20"/>
          <w:szCs w:val="20"/>
          <w:color w:val="auto"/>
        </w:rPr>
      </w:pPr>
      <w:r>
        <w:rPr>
          <w:rFonts w:ascii="Arial" w:cs="Arial" w:eastAsia="Arial" w:hAnsi="Arial"/>
          <w:sz w:val="21"/>
          <w:szCs w:val="21"/>
          <w:i w:val="1"/>
          <w:iCs w:val="1"/>
          <w:color w:val="auto"/>
        </w:rPr>
        <w:t xml:space="preserve">Non-GAAP net income and non-GAAP diluted EPS </w:t>
      </w:r>
      <w:r>
        <w:rPr>
          <w:rFonts w:ascii="Arial" w:cs="Arial" w:eastAsia="Arial" w:hAnsi="Arial"/>
          <w:sz w:val="21"/>
          <w:szCs w:val="21"/>
          <w:color w:val="auto"/>
        </w:rPr>
        <w:t>– We define non-GAAP net income as net income excluding the expenses</w:t>
      </w:r>
      <w:r>
        <w:rPr>
          <w:rFonts w:ascii="Arial" w:cs="Arial" w:eastAsia="Arial" w:hAnsi="Arial"/>
          <w:sz w:val="21"/>
          <w:szCs w:val="21"/>
          <w:i w:val="1"/>
          <w:iCs w:val="1"/>
          <w:color w:val="auto"/>
        </w:rPr>
        <w:t xml:space="preserve"> </w:t>
      </w:r>
      <w:r>
        <w:rPr>
          <w:rFonts w:ascii="Arial" w:cs="Arial" w:eastAsia="Arial" w:hAnsi="Arial"/>
          <w:sz w:val="21"/>
          <w:szCs w:val="21"/>
          <w:color w:val="auto"/>
        </w:rPr>
        <w:t>associated with amortization of intangible assets, amortization of debt placement fees, amortization of convertible debt discount, and the non-cash net loss on the extinguishment of debt.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6"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i w:val="1"/>
          <w:iCs w:val="1"/>
          <w:color w:val="auto"/>
        </w:rPr>
        <w:t xml:space="preserve">Adjusted EBITDA </w:t>
      </w:r>
      <w:r>
        <w:rPr>
          <w:rFonts w:ascii="Arial" w:cs="Arial" w:eastAsia="Arial" w:hAnsi="Arial"/>
          <w:sz w:val="21"/>
          <w:szCs w:val="21"/>
          <w:color w:val="auto"/>
        </w:rPr>
        <w:t>– We define adjusted EBITDA as net income (a) minus interest income, (b) plus interest expense, depreciation</w:t>
      </w:r>
      <w:r>
        <w:rPr>
          <w:rFonts w:ascii="Arial" w:cs="Arial" w:eastAsia="Arial" w:hAnsi="Arial"/>
          <w:sz w:val="21"/>
          <w:szCs w:val="21"/>
          <w:i w:val="1"/>
          <w:iCs w:val="1"/>
          <w:color w:val="auto"/>
        </w:rPr>
        <w:t xml:space="preserve"> </w:t>
      </w:r>
      <w:r>
        <w:rPr>
          <w:rFonts w:ascii="Arial" w:cs="Arial" w:eastAsia="Arial" w:hAnsi="Arial"/>
          <w:sz w:val="21"/>
          <w:szCs w:val="21"/>
          <w:color w:val="auto"/>
        </w:rPr>
        <w:t>and amortization of intangible asset expenses, and the non-cash net loss on the extinguishment of debt,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85"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i w:val="1"/>
          <w:iCs w:val="1"/>
          <w:color w:val="auto"/>
        </w:rPr>
        <w:t xml:space="preserve">Free cash flow </w:t>
      </w:r>
      <w:r>
        <w:rPr>
          <w:rFonts w:ascii="Arial" w:cs="Arial" w:eastAsia="Arial" w:hAnsi="Arial"/>
          <w:sz w:val="21"/>
          <w:szCs w:val="21"/>
          <w:color w:val="auto"/>
        </w:rPr>
        <w:t>– We define free cash flow as net cash provided by operating activities less cash used for acquisitions of property,</w:t>
      </w:r>
      <w:r>
        <w:rPr>
          <w:rFonts w:ascii="Arial" w:cs="Arial" w:eastAsia="Arial" w:hAnsi="Arial"/>
          <w:sz w:val="21"/>
          <w:szCs w:val="21"/>
          <w:i w:val="1"/>
          <w:iCs w:val="1"/>
          <w:color w:val="auto"/>
        </w:rPr>
        <w:t xml:space="preserve"> </w:t>
      </w:r>
      <w:r>
        <w:rPr>
          <w:rFonts w:ascii="Arial" w:cs="Arial" w:eastAsia="Arial" w:hAnsi="Arial"/>
          <w:sz w:val="21"/>
          <w:szCs w:val="21"/>
          <w:color w:val="auto"/>
        </w:rPr>
        <w:t>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w w:val="98"/>
              </w:rPr>
              <w:t>Three Months Ended December 31,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w w:val="98"/>
              </w:rPr>
              <w:t>Twelve Months Ended December 31,</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Arial" w:cs="Arial" w:eastAsia="Arial" w:hAnsi="Arial"/>
                <w:sz w:val="14"/>
                <w:szCs w:val="14"/>
                <w:color w:val="auto"/>
              </w:rPr>
              <w:t>Non-GAAP operating expense: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rPr>
                <w:sz w:val="20"/>
                <w:szCs w:val="20"/>
                <w:color w:val="auto"/>
              </w:rPr>
            </w:pPr>
            <w:r>
              <w:rPr>
                <w:rFonts w:ascii="Arial" w:cs="Arial" w:eastAsia="Arial" w:hAnsi="Arial"/>
                <w:sz w:val="14"/>
                <w:szCs w:val="14"/>
                <w:color w:val="auto"/>
              </w:rPr>
              <w:t>GAAP operating expense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141,723</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129,931</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514,042</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492,429</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(17,592)</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(25,785)</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(69,051)</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(98,573)</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Non-GAAP operating expense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124,131</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104,146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444,991</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393,856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rPr>
                <w:sz w:val="20"/>
                <w:szCs w:val="20"/>
                <w:color w:val="auto"/>
              </w:rPr>
            </w:pPr>
            <w:r>
              <w:rPr>
                <w:rFonts w:ascii="Arial" w:cs="Arial" w:eastAsia="Arial" w:hAnsi="Arial"/>
                <w:sz w:val="14"/>
                <w:szCs w:val="14"/>
                <w:color w:val="auto"/>
              </w:rPr>
              <w:t>GAAP operating income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43,633</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15,353</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184,197</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45,027</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17,592</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25,785</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69,051</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98,573</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61,225</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41,138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253,248</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143,600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Non-GAAP net income:</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26,570</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5,153</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104,770</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17,592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25,785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69,051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98,573</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1,222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1,823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5,285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8,037</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convertible debt discount</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2,595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2,411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10,099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9,673</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Loss on extinguishment of debt, net</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(9,232)</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(1,694)</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(29,752)</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(41,525)</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Non-GAAP net income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38,747</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33,478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159,453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82,469</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4"/>
                <w:szCs w:val="14"/>
                <w:color w:val="auto"/>
              </w:rPr>
              <w:t>Non-GAAP diluted EPS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0" w:type="dxa"/>
            <w:vAlign w:val="bottom"/>
            <w:vMerge w:val="continue"/>
          </w:tcPr>
          <w:p>
            <w:pPr>
              <w:spacing w:after="0"/>
              <w:rPr>
                <w:sz w:val="14"/>
                <w:szCs w:val="14"/>
                <w:color w:val="auto"/>
              </w:rPr>
            </w:pP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0.95</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0.82</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3.89</w:t>
            </w:r>
          </w:p>
        </w:tc>
        <w:tc>
          <w:tcPr>
            <w:tcW w:w="1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00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40,938</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40,607</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40,947</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38,946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26,570</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5,153</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104,770</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12,688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16,992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54,904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70,311</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Income tax (benefit) provision</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822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(6,308)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15,974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(43,825)</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34,021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41,925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131,205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155,737</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Loss on extinguishment of debt, net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73,953</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57,547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306,261</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188,748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87,475</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53,700</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254,591</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140,787</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(17,315)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(14,883)</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(62,822)</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(52,906)</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20"/>
                <w:szCs w:val="20"/>
                <w:color w:val="auto"/>
              </w:rPr>
            </w:pPr>
            <w:r>
              <w:rPr>
                <w:rFonts w:ascii="Arial" w:cs="Arial" w:eastAsia="Arial" w:hAnsi="Arial"/>
                <w:sz w:val="14"/>
                <w:szCs w:val="14"/>
                <w:color w:val="auto"/>
              </w:rPr>
              <w:t>Free Cash Flow</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70,160</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38,817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191,769</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87,881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0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RESTATED 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MOST DIRECTLY COMPARABLE 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FISCAL PERIODS IN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RESTATED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4"/>
              </w:rPr>
              <w:t>Three</w:t>
            </w:r>
          </w:p>
        </w:tc>
        <w:tc>
          <w:tcPr>
            <w:tcW w:w="180" w:type="dxa"/>
            <w:vAlign w:val="bottom"/>
          </w:tcPr>
          <w:p>
            <w:pPr>
              <w:spacing w:after="0"/>
              <w:rPr>
                <w:sz w:val="13"/>
                <w:szCs w:val="13"/>
                <w:color w:val="auto"/>
              </w:rPr>
            </w:pPr>
          </w:p>
        </w:tc>
        <w:tc>
          <w:tcPr>
            <w:tcW w:w="1080" w:type="dxa"/>
            <w:vAlign w:val="bottom"/>
          </w:tcPr>
          <w:p>
            <w:pPr>
              <w:jc w:val="right"/>
              <w:ind w:right="388"/>
              <w:spacing w:after="0" w:line="160" w:lineRule="exact"/>
              <w:rPr>
                <w:sz w:val="20"/>
                <w:szCs w:val="20"/>
                <w:color w:val="auto"/>
              </w:rPr>
            </w:pPr>
            <w:r>
              <w:rPr>
                <w:rFonts w:ascii="Arial" w:cs="Arial" w:eastAsia="Arial" w:hAnsi="Arial"/>
                <w:sz w:val="14"/>
                <w:szCs w:val="14"/>
                <w:b w:val="1"/>
                <w:bCs w:val="1"/>
                <w:color w:val="auto"/>
              </w:rPr>
              <w:t>Three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468"/>
              <w:spacing w:after="0" w:line="160" w:lineRule="exact"/>
              <w:rPr>
                <w:sz w:val="20"/>
                <w:szCs w:val="20"/>
                <w:color w:val="auto"/>
              </w:rPr>
            </w:pPr>
            <w:r>
              <w:rPr>
                <w:rFonts w:ascii="Arial" w:cs="Arial" w:eastAsia="Arial" w:hAnsi="Arial"/>
                <w:sz w:val="14"/>
                <w:szCs w:val="14"/>
                <w:b w:val="1"/>
                <w:bCs w:val="1"/>
                <w:color w:val="auto"/>
              </w:rPr>
              <w:t>Six</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Three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48"/>
              <w:spacing w:after="0" w:line="160" w:lineRule="exact"/>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Months Ended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Months Ended</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Months Ended</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2420" w:type="dxa"/>
            <w:vAlign w:val="bottom"/>
            <w:gridSpan w:val="4"/>
          </w:tcPr>
          <w:p>
            <w:pPr>
              <w:jc w:val="right"/>
              <w:ind w:right="988"/>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8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Arial" w:cs="Arial" w:eastAsia="Arial" w:hAnsi="Arial"/>
                <w:sz w:val="14"/>
                <w:szCs w:val="14"/>
                <w:color w:val="auto"/>
              </w:rPr>
              <w:t>Non-GAAP operating income:</w:t>
            </w: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GAAP operating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31,619</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50,009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81,628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58,936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140,564</w:t>
            </w:r>
          </w:p>
        </w:tc>
        <w:tc>
          <w:tcPr>
            <w:tcW w:w="0" w:type="dxa"/>
            <w:vAlign w:val="bottom"/>
          </w:tcPr>
          <w:p>
            <w:pPr>
              <w:spacing w:after="0"/>
              <w:rPr>
                <w:sz w:val="1"/>
                <w:szCs w:val="1"/>
                <w:color w:val="auto"/>
              </w:rPr>
            </w:pPr>
          </w:p>
        </w:tc>
      </w:tr>
      <w:tr>
        <w:trPr>
          <w:trHeight w:val="181"/>
        </w:trPr>
        <w:tc>
          <w:tcPr>
            <w:tcW w:w="47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17,811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16,766</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34,577</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51,459</w:t>
            </w:r>
          </w:p>
        </w:tc>
        <w:tc>
          <w:tcPr>
            <w:tcW w:w="0" w:type="dxa"/>
            <w:vAlign w:val="bottom"/>
          </w:tcPr>
          <w:p>
            <w:pPr>
              <w:spacing w:after="0"/>
              <w:rPr>
                <w:sz w:val="1"/>
                <w:szCs w:val="1"/>
                <w:color w:val="auto"/>
              </w:rPr>
            </w:pPr>
          </w:p>
        </w:tc>
      </w:tr>
      <w:tr>
        <w:trPr>
          <w:trHeight w:val="169"/>
        </w:trPr>
        <w:tc>
          <w:tcPr>
            <w:tcW w:w="478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49,430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66,775</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116,205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75,818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192,023</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4"/>
                <w:szCs w:val="14"/>
                <w:color w:val="auto"/>
              </w:rPr>
              <w:t>Non-GAAP net income:</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25,250</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25,311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50,561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27,639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78,200</w:t>
            </w:r>
          </w:p>
        </w:tc>
        <w:tc>
          <w:tcPr>
            <w:tcW w:w="0" w:type="dxa"/>
            <w:vAlign w:val="bottom"/>
          </w:tcPr>
          <w:p>
            <w:pPr>
              <w:spacing w:after="0"/>
              <w:rPr>
                <w:sz w:val="1"/>
                <w:szCs w:val="1"/>
                <w:color w:val="auto"/>
              </w:rPr>
            </w:pPr>
          </w:p>
        </w:tc>
      </w:tr>
      <w:tr>
        <w:trPr>
          <w:trHeight w:val="176"/>
        </w:trPr>
        <w:tc>
          <w:tcPr>
            <w:tcW w:w="47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17,811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16,766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34,577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51,459</w:t>
            </w:r>
          </w:p>
        </w:tc>
        <w:tc>
          <w:tcPr>
            <w:tcW w:w="0" w:type="dxa"/>
            <w:vAlign w:val="bottom"/>
          </w:tcPr>
          <w:p>
            <w:pPr>
              <w:spacing w:after="0"/>
              <w:rPr>
                <w:sz w:val="1"/>
                <w:szCs w:val="1"/>
                <w:color w:val="auto"/>
              </w:rPr>
            </w:pPr>
          </w:p>
        </w:tc>
      </w:tr>
      <w:tr>
        <w:trPr>
          <w:trHeight w:val="176"/>
        </w:trPr>
        <w:tc>
          <w:tcPr>
            <w:tcW w:w="478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1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2,659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176"/>
        </w:trPr>
        <w:tc>
          <w:tcPr>
            <w:tcW w:w="4780" w:type="dxa"/>
            <w:vAlign w:val="bottom"/>
          </w:tcPr>
          <w:p>
            <w:pPr>
              <w:ind w:left="420"/>
              <w:spacing w:after="0"/>
              <w:rPr>
                <w:sz w:val="20"/>
                <w:szCs w:val="20"/>
                <w:color w:val="auto"/>
              </w:rPr>
            </w:pPr>
            <w:r>
              <w:rPr>
                <w:rFonts w:ascii="Arial" w:cs="Arial" w:eastAsia="Arial" w:hAnsi="Arial"/>
                <w:sz w:val="14"/>
                <w:szCs w:val="14"/>
                <w:color w:val="auto"/>
              </w:rPr>
              <w:t>Amortization of convertible debt discount</w:t>
            </w:r>
          </w:p>
        </w:tc>
        <w:tc>
          <w:tcPr>
            <w:tcW w:w="1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2,501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4,957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2,547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181"/>
        </w:trPr>
        <w:tc>
          <w:tcPr>
            <w:tcW w:w="478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(6,789)</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(7,184)</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(13,973)</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(20,520)</w:t>
            </w:r>
          </w:p>
        </w:tc>
        <w:tc>
          <w:tcPr>
            <w:tcW w:w="0" w:type="dxa"/>
            <w:vAlign w:val="bottom"/>
          </w:tcPr>
          <w:p>
            <w:pPr>
              <w:spacing w:after="0"/>
              <w:rPr>
                <w:sz w:val="1"/>
                <w:szCs w:val="1"/>
                <w:color w:val="auto"/>
              </w:rPr>
            </w:pPr>
          </w:p>
        </w:tc>
      </w:tr>
      <w:tr>
        <w:trPr>
          <w:trHeight w:val="169"/>
        </w:trPr>
        <w:tc>
          <w:tcPr>
            <w:tcW w:w="4780" w:type="dxa"/>
            <w:vAlign w:val="bottom"/>
          </w:tcPr>
          <w:p>
            <w:pPr>
              <w:ind w:left="220"/>
              <w:spacing w:after="0"/>
              <w:rPr>
                <w:sz w:val="20"/>
                <w:szCs w:val="20"/>
                <w:color w:val="auto"/>
              </w:rPr>
            </w:pPr>
            <w:r>
              <w:rPr>
                <w:rFonts w:ascii="Arial" w:cs="Arial" w:eastAsia="Arial" w:hAnsi="Arial"/>
                <w:sz w:val="14"/>
                <w:szCs w:val="14"/>
                <w:color w:val="auto"/>
              </w:rPr>
              <w:t>Non-GAAP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39,929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38,852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78,781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41,925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120,706</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20"/>
              <w:spacing w:after="0"/>
              <w:rPr>
                <w:sz w:val="20"/>
                <w:szCs w:val="20"/>
                <w:color w:val="auto"/>
              </w:rPr>
            </w:pPr>
            <w:r>
              <w:rPr>
                <w:rFonts w:ascii="Arial" w:cs="Arial" w:eastAsia="Arial" w:hAnsi="Arial"/>
                <w:sz w:val="14"/>
                <w:szCs w:val="14"/>
                <w:color w:val="auto"/>
              </w:rPr>
              <w:t>Non-GAAP diluted EPS</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78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0.98</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0.94</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78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40,862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41,161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41,011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40,828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40,950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25,250</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25,311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50,561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27,639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78,200</w:t>
            </w:r>
          </w:p>
        </w:tc>
        <w:tc>
          <w:tcPr>
            <w:tcW w:w="0" w:type="dxa"/>
            <w:vAlign w:val="bottom"/>
          </w:tcPr>
          <w:p>
            <w:pPr>
              <w:spacing w:after="0"/>
              <w:rPr>
                <w:sz w:val="1"/>
                <w:szCs w:val="1"/>
                <w:color w:val="auto"/>
              </w:rPr>
            </w:pPr>
          </w:p>
        </w:tc>
      </w:tr>
      <w:tr>
        <w:trPr>
          <w:trHeight w:val="176"/>
        </w:trPr>
        <w:tc>
          <w:tcPr>
            <w:tcW w:w="478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76"/>
        </w:trPr>
        <w:tc>
          <w:tcPr>
            <w:tcW w:w="478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14,923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13,965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28,888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13,328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42,216</w:t>
            </w:r>
          </w:p>
        </w:tc>
        <w:tc>
          <w:tcPr>
            <w:tcW w:w="0" w:type="dxa"/>
            <w:vAlign w:val="bottom"/>
          </w:tcPr>
          <w:p>
            <w:pPr>
              <w:spacing w:after="0"/>
              <w:rPr>
                <w:sz w:val="1"/>
                <w:szCs w:val="1"/>
                <w:color w:val="auto"/>
              </w:rPr>
            </w:pPr>
          </w:p>
        </w:tc>
      </w:tr>
      <w:tr>
        <w:trPr>
          <w:trHeight w:val="176"/>
        </w:trPr>
        <w:tc>
          <w:tcPr>
            <w:tcW w:w="4780" w:type="dxa"/>
            <w:vAlign w:val="bottom"/>
          </w:tcPr>
          <w:p>
            <w:pPr>
              <w:ind w:left="420"/>
              <w:spacing w:after="0"/>
              <w:rPr>
                <w:sz w:val="20"/>
                <w:szCs w:val="20"/>
                <w:color w:val="auto"/>
              </w:rPr>
            </w:pPr>
            <w:r>
              <w:rPr>
                <w:rFonts w:ascii="Arial" w:cs="Arial" w:eastAsia="Arial" w:hAnsi="Arial"/>
                <w:sz w:val="14"/>
                <w:szCs w:val="14"/>
                <w:color w:val="auto"/>
              </w:rPr>
              <w:t>Income tax (benefit) provision</w:t>
            </w: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(8,979)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10,419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13,712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15,152</w:t>
            </w:r>
          </w:p>
        </w:tc>
        <w:tc>
          <w:tcPr>
            <w:tcW w:w="0" w:type="dxa"/>
            <w:vAlign w:val="bottom"/>
          </w:tcPr>
          <w:p>
            <w:pPr>
              <w:spacing w:after="0"/>
              <w:rPr>
                <w:sz w:val="1"/>
                <w:szCs w:val="1"/>
                <w:color w:val="auto"/>
              </w:rPr>
            </w:pPr>
          </w:p>
        </w:tc>
      </w:tr>
      <w:tr>
        <w:trPr>
          <w:trHeight w:val="181"/>
        </w:trPr>
        <w:tc>
          <w:tcPr>
            <w:tcW w:w="478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33,277</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31,794</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65,071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32,113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97,184</w:t>
            </w:r>
          </w:p>
        </w:tc>
        <w:tc>
          <w:tcPr>
            <w:tcW w:w="0" w:type="dxa"/>
            <w:vAlign w:val="bottom"/>
          </w:tcPr>
          <w:p>
            <w:pPr>
              <w:spacing w:after="0"/>
              <w:rPr>
                <w:sz w:val="1"/>
                <w:szCs w:val="1"/>
                <w:color w:val="auto"/>
              </w:rPr>
            </w:pPr>
          </w:p>
        </w:tc>
      </w:tr>
      <w:tr>
        <w:trPr>
          <w:trHeight w:val="169"/>
        </w:trPr>
        <w:tc>
          <w:tcPr>
            <w:tcW w:w="478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64,304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81,378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145,682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86,626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232,308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4"/>
                <w:szCs w:val="14"/>
                <w:color w:val="auto"/>
              </w:rPr>
              <w:t>Free Cash Flow:</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65,779</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51,307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117,086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50,030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167,116</w:t>
            </w:r>
          </w:p>
        </w:tc>
        <w:tc>
          <w:tcPr>
            <w:tcW w:w="0" w:type="dxa"/>
            <w:vAlign w:val="bottom"/>
          </w:tcPr>
          <w:p>
            <w:pPr>
              <w:spacing w:after="0"/>
              <w:rPr>
                <w:sz w:val="1"/>
                <w:szCs w:val="1"/>
                <w:color w:val="auto"/>
              </w:rPr>
            </w:pPr>
          </w:p>
        </w:tc>
      </w:tr>
      <w:tr>
        <w:trPr>
          <w:trHeight w:val="181"/>
        </w:trPr>
        <w:tc>
          <w:tcPr>
            <w:tcW w:w="478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(16,151)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(11,565)</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(27,716)</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(17,791)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(45,507)</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20"/>
                <w:szCs w:val="20"/>
                <w:color w:val="auto"/>
              </w:rPr>
            </w:pPr>
            <w:r>
              <w:rPr>
                <w:rFonts w:ascii="Arial" w:cs="Arial" w:eastAsia="Arial" w:hAnsi="Arial"/>
                <w:sz w:val="14"/>
                <w:szCs w:val="14"/>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49,628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39,742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89,370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32,239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121,609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Itron, Inc.</w:t>
      </w:r>
    </w:p>
    <w:p>
      <w:pPr>
        <w:spacing w:after="0" w:line="230" w:lineRule="auto"/>
        <w:rPr>
          <w:sz w:val="20"/>
          <w:szCs w:val="20"/>
          <w:color w:val="auto"/>
        </w:rPr>
      </w:pPr>
      <w:r>
        <w:rPr>
          <w:rFonts w:ascii="Arial" w:cs="Arial" w:eastAsia="Arial" w:hAnsi="Arial"/>
          <w:sz w:val="22"/>
          <w:szCs w:val="22"/>
          <w:color w:val="auto"/>
        </w:rPr>
        <w:t>Ranny Dwiggins,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ranny.dwiggins@itron.com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2019-12-10T07:22:52Z</dcterms:created>
  <dcterms:modified xsi:type="dcterms:W3CDTF">2019-12-10T07:22:52Z</dcterms:modified>
</cp:coreProperties>
</file>