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311150</wp:posOffset>
            </wp:positionH>
            <wp:positionV relativeFrom="page">
              <wp:posOffset>911860</wp:posOffset>
            </wp:positionV>
            <wp:extent cx="69265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3056890</wp:posOffset>
            </wp:positionH>
            <wp:positionV relativeFrom="paragraph">
              <wp:posOffset>51435</wp:posOffset>
            </wp:positionV>
            <wp:extent cx="1028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75"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1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7" w:lineRule="exact"/>
        <w:rPr>
          <w:sz w:val="24"/>
          <w:szCs w:val="24"/>
          <w:color w:val="auto"/>
        </w:rPr>
      </w:pPr>
    </w:p>
    <w:p>
      <w:pPr>
        <w:ind w:left="680" w:hanging="641"/>
        <w:spacing w:after="0"/>
        <w:tabs>
          <w:tab w:leader="none" w:pos="6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1440" w:right="339" w:bottom="1440" w:gutter="0" w:footer="0" w:header="0"/>
        </w:sectPr>
      </w:pPr>
    </w:p>
    <w:p>
      <w:pPr>
        <w:spacing w:after="0" w:line="102" w:lineRule="exact"/>
        <w:rPr>
          <w:sz w:val="24"/>
          <w:szCs w:val="24"/>
          <w:color w:val="auto"/>
        </w:rPr>
      </w:pPr>
    </w:p>
    <w:p>
      <w:pPr>
        <w:jc w:val="center"/>
        <w:ind w:left="66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63" w:lineRule="exact"/>
        <w:rPr>
          <w:sz w:val="24"/>
          <w:szCs w:val="24"/>
          <w:color w:val="auto"/>
        </w:rPr>
      </w:pPr>
    </w:p>
    <w:p>
      <w:pPr>
        <w:sectPr>
          <w:pgSz w:w="11900" w:h="16838" w:orient="portrait"/>
          <w:cols w:equalWidth="0" w:num="2">
            <w:col w:w="2980" w:space="580"/>
            <w:col w:w="7680"/>
          </w:cols>
          <w:pgMar w:left="320" w:top="1440"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000-22418</w:t>
      </w:r>
    </w:p>
    <w:p>
      <w:pPr>
        <w:sectPr>
          <w:pgSz w:w="11900" w:h="16838" w:orient="portrait"/>
          <w:cols w:equalWidth="0" w:num="1">
            <w:col w:w="11240"/>
          </w:cols>
          <w:pgMar w:left="320" w:top="1440" w:right="339" w:bottom="1440" w:gutter="0" w:footer="0" w:header="0"/>
          <w:type w:val="continuous"/>
        </w:sectPr>
      </w:pP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ITRON, INC.</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ectPr>
          <w:pgSz w:w="11900" w:h="16838" w:orient="portrait"/>
          <w:cols w:equalWidth="0" w:num="1">
            <w:col w:w="11240"/>
          </w:cols>
          <w:pgMar w:left="320" w:top="1440" w:right="339" w:bottom="1440" w:gutter="0" w:footer="0" w:header="0"/>
          <w:type w:val="continuous"/>
        </w:sectPr>
      </w:pPr>
    </w:p>
    <w:p>
      <w:pPr>
        <w:spacing w:after="0" w:line="26"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Washington</w:t>
      </w:r>
    </w:p>
    <w:p>
      <w:pPr>
        <w:spacing w:after="0" w:line="31"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7"/>
          <w:szCs w:val="17"/>
          <w:b w:val="1"/>
          <w:bCs w:val="1"/>
          <w:color w:val="auto"/>
        </w:rPr>
        <w:t>(State of Incorporation)</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8"/>
          <w:szCs w:val="18"/>
          <w:b w:val="1"/>
          <w:bCs w:val="1"/>
          <w:color w:val="auto"/>
        </w:rPr>
        <w:t>91-1011792</w:t>
      </w:r>
    </w:p>
    <w:p>
      <w:pPr>
        <w:spacing w:after="0" w:line="31"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p>
      <w:pPr>
        <w:spacing w:after="0" w:line="200" w:lineRule="exact"/>
        <w:rPr>
          <w:sz w:val="24"/>
          <w:szCs w:val="24"/>
          <w:color w:val="auto"/>
        </w:rPr>
      </w:pPr>
    </w:p>
    <w:p>
      <w:pPr>
        <w:sectPr>
          <w:pgSz w:w="11900" w:h="16838" w:orient="portrait"/>
          <w:cols w:equalWidth="0" w:num="2">
            <w:col w:w="6400" w:space="720"/>
            <w:col w:w="4120"/>
          </w:cols>
          <w:pgMar w:left="320" w:top="1440" w:right="339" w:bottom="1440" w:gutter="0" w:footer="0" w:header="0"/>
          <w:type w:val="continuous"/>
        </w:sectPr>
      </w:pP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2111 N Molter Road, Liberty Lake, Washington 99019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(509) 924-9900</w:t>
      </w:r>
    </w:p>
    <w:p>
      <w:pPr>
        <w:spacing w:after="0" w:line="11" w:lineRule="exact"/>
        <w:rPr>
          <w:sz w:val="24"/>
          <w:szCs w:val="24"/>
          <w:color w:val="auto"/>
        </w:rPr>
      </w:pPr>
    </w:p>
    <w:tbl>
      <w:tblPr>
        <w:tblLayout w:type="fixed"/>
        <w:tblInd w:w="80" w:type="dxa"/>
        <w:tblCellMar>
          <w:top w:w="0" w:type="dxa"/>
          <w:left w:w="0" w:type="dxa"/>
          <w:bottom w:w="0" w:type="dxa"/>
          <w:right w:w="0" w:type="dxa"/>
        </w:tblCellMar>
      </w:tblPr>
      <w:tr>
        <w:trPr>
          <w:trHeight w:val="190"/>
        </w:trPr>
        <w:tc>
          <w:tcPr>
            <w:tcW w:w="3140" w:type="dxa"/>
            <w:vAlign w:val="bottom"/>
          </w:tcPr>
          <w:p>
            <w:pPr>
              <w:spacing w:after="0"/>
              <w:rPr>
                <w:sz w:val="16"/>
                <w:szCs w:val="16"/>
                <w:color w:val="auto"/>
              </w:rPr>
            </w:pPr>
          </w:p>
        </w:tc>
        <w:tc>
          <w:tcPr>
            <w:tcW w:w="7960" w:type="dxa"/>
            <w:vAlign w:val="bottom"/>
            <w:gridSpan w:val="5"/>
          </w:tcPr>
          <w:p>
            <w:pPr>
              <w:jc w:val="center"/>
              <w:ind w:right="3090"/>
              <w:spacing w:after="0"/>
              <w:rPr>
                <w:sz w:val="20"/>
                <w:szCs w:val="20"/>
                <w:color w:val="auto"/>
              </w:rPr>
            </w:pPr>
            <w:r>
              <w:rPr>
                <w:rFonts w:ascii="Times New Roman" w:cs="Times New Roman" w:eastAsia="Times New Roman" w:hAnsi="Times New Roman"/>
                <w:sz w:val="14"/>
                <w:szCs w:val="14"/>
                <w:b w:val="1"/>
                <w:bCs w:val="1"/>
                <w:color w:val="auto"/>
              </w:rPr>
              <w:t>(Address and telephone number of registrant's principal executive offices)</w:t>
            </w:r>
          </w:p>
        </w:tc>
      </w:tr>
      <w:tr>
        <w:trPr>
          <w:trHeight w:val="469"/>
        </w:trPr>
        <w:tc>
          <w:tcPr>
            <w:tcW w:w="3140" w:type="dxa"/>
            <w:vAlign w:val="bottom"/>
          </w:tcPr>
          <w:p>
            <w:pPr>
              <w:spacing w:after="0"/>
              <w:rPr>
                <w:sz w:val="24"/>
                <w:szCs w:val="24"/>
                <w:color w:val="auto"/>
              </w:rPr>
            </w:pPr>
          </w:p>
        </w:tc>
        <w:tc>
          <w:tcPr>
            <w:tcW w:w="7960" w:type="dxa"/>
            <w:vAlign w:val="bottom"/>
            <w:gridSpan w:val="5"/>
          </w:tcPr>
          <w:p>
            <w:pPr>
              <w:jc w:val="center"/>
              <w:ind w:right="307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256"/>
        </w:trPr>
        <w:tc>
          <w:tcPr>
            <w:tcW w:w="314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140" w:type="dxa"/>
            <w:vAlign w:val="bottom"/>
            <w:tcBorders>
              <w:top w:val="single" w:sz="8" w:color="auto"/>
            </w:tcBorders>
          </w:tcPr>
          <w:p>
            <w:pPr>
              <w:jc w:val="center"/>
              <w:ind w:left="77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ITRI</w:t>
            </w:r>
          </w:p>
        </w:tc>
        <w:tc>
          <w:tcPr>
            <w:tcW w:w="100" w:type="dxa"/>
            <w:vAlign w:val="bottom"/>
          </w:tcPr>
          <w:p>
            <w:pPr>
              <w:spacing w:after="0"/>
              <w:rPr>
                <w:sz w:val="19"/>
                <w:szCs w:val="19"/>
                <w:color w:val="auto"/>
              </w:rPr>
            </w:pPr>
          </w:p>
        </w:tc>
        <w:tc>
          <w:tcPr>
            <w:tcW w:w="4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314"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tbl>
      <w:tblPr>
        <w:tblLayout w:type="fixed"/>
        <w:tblInd w:w="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in</w:t>
            </w:r>
          </w:p>
        </w:tc>
        <w:tc>
          <w:tcPr>
            <w:tcW w:w="17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Rule</w:t>
            </w:r>
          </w:p>
        </w:tc>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12b-2</w:t>
            </w:r>
          </w:p>
        </w:tc>
        <w:tc>
          <w:tcPr>
            <w:tcW w:w="1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of</w:t>
            </w:r>
          </w:p>
        </w:tc>
        <w:tc>
          <w:tcPr>
            <w:tcW w:w="1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w:t>
            </w:r>
          </w:p>
        </w:tc>
        <w:tc>
          <w:tcPr>
            <w:tcW w:w="1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Exchange</w:t>
            </w:r>
          </w:p>
        </w:tc>
        <w:tc>
          <w:tcPr>
            <w:tcW w:w="110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1"/>
              </w:rPr>
              <w:t>Act.</w:t>
            </w:r>
          </w:p>
        </w:tc>
      </w:tr>
      <w:tr>
        <w:trPr>
          <w:trHeight w:val="312"/>
        </w:trPr>
        <w:tc>
          <w:tcPr>
            <w:tcW w:w="24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Large accelerated filer</w:t>
            </w:r>
          </w:p>
        </w:tc>
        <w:tc>
          <w:tcPr>
            <w:tcW w:w="17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Accelerated filer</w:t>
            </w:r>
          </w:p>
        </w:tc>
        <w:tc>
          <w:tcPr>
            <w:tcW w:w="1260" w:type="dxa"/>
            <w:vAlign w:val="bottom"/>
          </w:tcPr>
          <w:p>
            <w:pPr>
              <w:spacing w:after="0"/>
              <w:rPr>
                <w:sz w:val="24"/>
                <w:szCs w:val="24"/>
                <w:color w:val="auto"/>
              </w:rPr>
            </w:pPr>
          </w:p>
        </w:tc>
        <w:tc>
          <w:tcPr>
            <w:tcW w:w="11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19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8"/>
              </w:rPr>
              <w:t>Non-accelerated filer</w:t>
            </w:r>
          </w:p>
        </w:tc>
        <w:tc>
          <w:tcPr>
            <w:tcW w:w="480" w:type="dxa"/>
            <w:vAlign w:val="bottom"/>
          </w:tcPr>
          <w:p>
            <w:pPr>
              <w:spacing w:after="0"/>
              <w:rPr>
                <w:sz w:val="24"/>
                <w:szCs w:val="24"/>
                <w:color w:val="auto"/>
              </w:rPr>
            </w:pPr>
          </w:p>
        </w:tc>
        <w:tc>
          <w:tcPr>
            <w:tcW w:w="17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1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1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1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43"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tabs>
          <w:tab w:leader="none" w:pos="8340" w:val="left"/>
          <w:tab w:leader="none" w:pos="90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August 1, 2022, there were outstanding 45,138,651 shares of the registrant's common stock, no par value, which is the only class of common stock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28575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2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6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80" w:type="dxa"/>
            <w:vAlign w:val="bottom"/>
            <w:gridSpan w:val="3"/>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w w:val="99"/>
              </w:rPr>
              <w:t>Itron, Inc.</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80" w:type="dxa"/>
            <w:vAlign w:val="bottom"/>
            <w:gridSpan w:val="3"/>
          </w:tcPr>
          <w:p>
            <w:pPr>
              <w:jc w:val="center"/>
              <w:ind w:right="320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60" w:type="dxa"/>
            <w:vAlign w:val="bottom"/>
            <w:vMerge w:val="restart"/>
          </w:tcPr>
          <w:p>
            <w:pPr>
              <w:spacing w:after="0"/>
              <w:rPr>
                <w:sz w:val="24"/>
                <w:szCs w:val="24"/>
                <w:color w:val="auto"/>
              </w:rPr>
            </w:pPr>
          </w:p>
        </w:tc>
        <w:tc>
          <w:tcPr>
            <w:tcW w:w="1020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98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60" w:type="dxa"/>
            <w:vAlign w:val="bottom"/>
            <w:vMerge w:val="continue"/>
          </w:tcPr>
          <w:p>
            <w:pPr>
              <w:spacing w:after="0"/>
              <w:rPr>
                <w:sz w:val="14"/>
                <w:szCs w:val="14"/>
                <w:color w:val="auto"/>
              </w:rPr>
            </w:pPr>
          </w:p>
        </w:tc>
        <w:tc>
          <w:tcPr>
            <w:tcW w:w="10200" w:type="dxa"/>
            <w:vAlign w:val="bottom"/>
            <w:gridSpan w:val="17"/>
            <w:vMerge w:val="continue"/>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tcPr>
          <w:p>
            <w:pPr>
              <w:ind w:left="380"/>
              <w:spacing w:after="0"/>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color w:val="0000FF"/>
              </w:rPr>
              <w:t>Financial Statements (Unaudited)</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6400" w:type="dxa"/>
            <w:vAlign w:val="bottom"/>
            <w:gridSpan w:val="5"/>
          </w:tcPr>
          <w:p>
            <w:pPr>
              <w:spacing w:after="0"/>
              <w:rPr>
                <w:sz w:val="24"/>
                <w:szCs w:val="24"/>
                <w:color w:val="auto"/>
              </w:rPr>
            </w:pPr>
          </w:p>
        </w:tc>
        <w:tc>
          <w:tcPr>
            <w:tcW w:w="6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(Loss)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30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4920" w:type="dxa"/>
            <w:vAlign w:val="bottom"/>
            <w:gridSpan w:val="2"/>
          </w:tcPr>
          <w:p>
            <w:pPr>
              <w:spacing w:after="0"/>
              <w:rPr>
                <w:sz w:val="24"/>
                <w:szCs w:val="24"/>
                <w:color w:val="auto"/>
              </w:rPr>
            </w:pPr>
          </w:p>
        </w:tc>
        <w:tc>
          <w:tcPr>
            <w:tcW w:w="640" w:type="dxa"/>
            <w:vAlign w:val="bottom"/>
            <w:gridSpan w:val="2"/>
          </w:tcPr>
          <w:p>
            <w:pPr>
              <w:spacing w:after="0"/>
              <w:rPr>
                <w:sz w:val="24"/>
                <w:szCs w:val="24"/>
                <w:color w:val="auto"/>
              </w:rPr>
            </w:pPr>
          </w:p>
        </w:tc>
        <w:tc>
          <w:tcPr>
            <w:tcW w:w="1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Statements of Equity</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6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40" w:type="dxa"/>
            <w:vAlign w:val="bottom"/>
            <w:gridSpan w:val="6"/>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tcPr>
          <w:p>
            <w:pPr>
              <w:ind w:left="380"/>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FF"/>
              </w:rPr>
              <w:t>Management’s Discussion and Analysis of Financial Condition and Results of Operations</w:t>
            </w: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29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7"/>
            <w:vMerge w:val="restart"/>
          </w:tcPr>
          <w:p>
            <w:pPr>
              <w:ind w:left="380"/>
              <w:spacing w:after="0"/>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FF"/>
              </w:rPr>
              <w:t>Quantitative and Qualitative Disclosures About Market Risk</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7"/>
            <w:vMerge w:val="restart"/>
          </w:tcPr>
          <w:p>
            <w:pPr>
              <w:ind w:left="380"/>
              <w:spacing w:after="0"/>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FF"/>
              </w:rPr>
              <w:t>Controls and Procedures</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vMerge w:val="restart"/>
          </w:tcPr>
          <w:p>
            <w:pPr>
              <w:spacing w:after="0"/>
              <w:rPr>
                <w:sz w:val="12"/>
                <w:szCs w:val="12"/>
                <w:color w:val="auto"/>
              </w:rPr>
            </w:pPr>
          </w:p>
        </w:tc>
        <w:tc>
          <w:tcPr>
            <w:tcW w:w="1020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23"/>
        </w:trPr>
        <w:tc>
          <w:tcPr>
            <w:tcW w:w="60" w:type="dxa"/>
            <w:vAlign w:val="bottom"/>
            <w:vMerge w:val="continue"/>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60" w:type="dxa"/>
            <w:vAlign w:val="bottom"/>
          </w:tcPr>
          <w:p>
            <w:pPr>
              <w:spacing w:after="0"/>
              <w:rPr>
                <w:sz w:val="24"/>
                <w:szCs w:val="24"/>
                <w:color w:val="auto"/>
              </w:rPr>
            </w:pPr>
          </w:p>
        </w:tc>
        <w:tc>
          <w:tcPr>
            <w:tcW w:w="2780" w:type="dxa"/>
            <w:vAlign w:val="bottom"/>
            <w:tcBorders>
              <w:top w:val="single" w:sz="8" w:color="0000FF"/>
            </w:tcBorders>
            <w:gridSpan w:val="8"/>
          </w:tcPr>
          <w:p>
            <w:pPr>
              <w:ind w:left="380"/>
              <w:spacing w:after="0"/>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color w:val="0000FF"/>
              </w:rPr>
              <w:t>Legal Proceedings</w:t>
            </w:r>
          </w:p>
        </w:tc>
        <w:tc>
          <w:tcPr>
            <w:tcW w:w="7420" w:type="dxa"/>
            <w:vAlign w:val="bottom"/>
            <w:gridSpan w:val="9"/>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50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7"/>
            <w:vMerge w:val="restart"/>
          </w:tcPr>
          <w:p>
            <w:pPr>
              <w:ind w:left="380"/>
              <w:spacing w:after="0"/>
              <w:rPr>
                <w:sz w:val="20"/>
                <w:szCs w:val="20"/>
                <w:color w:val="auto"/>
              </w:rPr>
            </w:pPr>
            <w:r>
              <w:rPr>
                <w:rFonts w:ascii="Times New Roman" w:cs="Times New Roman" w:eastAsia="Times New Roman" w:hAnsi="Times New Roman"/>
                <w:sz w:val="18"/>
                <w:szCs w:val="18"/>
                <w:color w:val="auto"/>
              </w:rPr>
              <w:t xml:space="preserve">Item 1A: </w:t>
            </w:r>
            <w:r>
              <w:rPr>
                <w:rFonts w:ascii="Times New Roman" w:cs="Times New Roman" w:eastAsia="Times New Roman" w:hAnsi="Times New Roman"/>
                <w:sz w:val="18"/>
                <w:szCs w:val="18"/>
                <w:color w:val="0000FF"/>
              </w:rPr>
              <w:t>Risk Factors</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50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7"/>
            <w:vMerge w:val="restart"/>
          </w:tcPr>
          <w:p>
            <w:pPr>
              <w:ind w:left="380"/>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FF"/>
              </w:rPr>
              <w:t>Unregistered Sales of Equity Securities and Use of Proceeds</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50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7"/>
            <w:vMerge w:val="restart"/>
          </w:tcPr>
          <w:p>
            <w:pPr>
              <w:ind w:left="380"/>
              <w:spacing w:after="0"/>
              <w:rPr>
                <w:sz w:val="20"/>
                <w:szCs w:val="20"/>
                <w:color w:val="auto"/>
              </w:rPr>
            </w:pPr>
            <w:r>
              <w:rPr>
                <w:rFonts w:ascii="Times New Roman" w:cs="Times New Roman" w:eastAsia="Times New Roman" w:hAnsi="Times New Roman"/>
                <w:sz w:val="18"/>
                <w:szCs w:val="18"/>
                <w:color w:val="auto"/>
              </w:rPr>
              <w:t xml:space="preserve">Item 5: </w:t>
            </w:r>
            <w:r>
              <w:rPr>
                <w:rFonts w:ascii="Times New Roman" w:cs="Times New Roman" w:eastAsia="Times New Roman" w:hAnsi="Times New Roman"/>
                <w:sz w:val="18"/>
                <w:szCs w:val="18"/>
                <w:color w:val="0000FF"/>
              </w:rPr>
              <w:t>Other Information</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50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0200" w:type="dxa"/>
            <w:vAlign w:val="bottom"/>
            <w:gridSpan w:val="17"/>
            <w:vMerge w:val="restart"/>
          </w:tcPr>
          <w:p>
            <w:pPr>
              <w:ind w:left="380"/>
              <w:spacing w:after="0"/>
              <w:rPr>
                <w:sz w:val="20"/>
                <w:szCs w:val="20"/>
                <w:color w:val="auto"/>
              </w:rPr>
            </w:pPr>
            <w:r>
              <w:rPr>
                <w:rFonts w:ascii="Times New Roman" w:cs="Times New Roman" w:eastAsia="Times New Roman" w:hAnsi="Times New Roman"/>
                <w:sz w:val="18"/>
                <w:szCs w:val="18"/>
                <w:color w:val="auto"/>
              </w:rPr>
              <w:t xml:space="preserve">Item 6: </w:t>
            </w:r>
            <w:r>
              <w:rPr>
                <w:rFonts w:ascii="Times New Roman" w:cs="Times New Roman" w:eastAsia="Times New Roman" w:hAnsi="Times New Roman"/>
                <w:sz w:val="18"/>
                <w:szCs w:val="18"/>
                <w:color w:val="0000FF"/>
              </w:rPr>
              <w:t>Exhibits</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7"/>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7"/>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51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260" w:type="dxa"/>
            <w:vAlign w:val="bottom"/>
            <w:gridSpan w:val="18"/>
            <w:vMerge w:val="restart"/>
          </w:tcPr>
          <w:p>
            <w:pPr>
              <w:ind w:left="60"/>
              <w:spacing w:after="0"/>
              <w:rPr>
                <w:sz w:val="20"/>
                <w:szCs w:val="20"/>
                <w:color w:val="auto"/>
              </w:rPr>
            </w:pPr>
            <w:r>
              <w:rPr>
                <w:rFonts w:ascii="Times New Roman" w:cs="Times New Roman" w:eastAsia="Times New Roman" w:hAnsi="Times New Roman"/>
                <w:sz w:val="18"/>
                <w:szCs w:val="18"/>
                <w:b w:val="1"/>
                <w:bCs w:val="1"/>
                <w:color w:val="0000FF"/>
              </w:rPr>
              <w:t>SIGNATURE</w:t>
            </w:r>
          </w:p>
        </w:tc>
        <w:tc>
          <w:tcPr>
            <w:tcW w:w="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60" w:type="dxa"/>
            <w:vAlign w:val="bottom"/>
            <w:gridSpan w:val="18"/>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10260" w:type="dxa"/>
            <w:vAlign w:val="bottom"/>
            <w:gridSpan w:val="18"/>
            <w:vMerge w:val="continue"/>
          </w:tcPr>
          <w:p>
            <w:pPr>
              <w:spacing w:after="0"/>
              <w:rPr>
                <w:sz w:val="24"/>
                <w:szCs w:val="24"/>
                <w:color w:val="auto"/>
              </w:rPr>
            </w:pP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2"/>
        </w:trPr>
        <w:tc>
          <w:tcPr>
            <w:tcW w:w="60" w:type="dxa"/>
            <w:vAlign w:val="bottom"/>
            <w:tcBorders>
              <w:bottom w:val="single" w:sz="8" w:color="9A9A9A"/>
            </w:tcBorders>
          </w:tcPr>
          <w:p>
            <w:pPr>
              <w:spacing w:after="0"/>
              <w:rPr>
                <w:sz w:val="24"/>
                <w:szCs w:val="24"/>
                <w:color w:val="auto"/>
              </w:rPr>
            </w:pPr>
          </w:p>
        </w:tc>
        <w:tc>
          <w:tcPr>
            <w:tcW w:w="9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7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1:</w:t>
        <w:tab/>
        <w:t>Financial Statements (Unaudited)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380" w:type="dxa"/>
            <w:vAlign w:val="bottom"/>
          </w:tcPr>
          <w:p>
            <w:pPr>
              <w:spacing w:after="0"/>
              <w:rPr>
                <w:sz w:val="18"/>
                <w:szCs w:val="18"/>
                <w:color w:val="auto"/>
              </w:rPr>
            </w:pPr>
          </w:p>
        </w:tc>
        <w:tc>
          <w:tcPr>
            <w:tcW w:w="312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80" w:type="dxa"/>
            <w:vAlign w:val="bottom"/>
          </w:tcPr>
          <w:p>
            <w:pPr>
              <w:spacing w:after="0"/>
              <w:rPr>
                <w:sz w:val="18"/>
                <w:szCs w:val="18"/>
                <w:color w:val="auto"/>
              </w:rPr>
            </w:pPr>
          </w:p>
        </w:tc>
        <w:tc>
          <w:tcPr>
            <w:tcW w:w="3000" w:type="dxa"/>
            <w:vAlign w:val="bottom"/>
            <w:gridSpan w:val="4"/>
          </w:tcPr>
          <w:p>
            <w:pPr>
              <w:jc w:val="right"/>
              <w:ind w:right="65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2"/>
        </w:trPr>
        <w:tc>
          <w:tcPr>
            <w:tcW w:w="4360" w:type="dxa"/>
            <w:vAlign w:val="bottom"/>
            <w:tcBorders>
              <w:bottom w:val="single" w:sz="8" w:color="auto"/>
            </w:tcBorders>
            <w:vMerge w:val="continue"/>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 revenues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411,719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759,708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854,523</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Service revenues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71,984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77,693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147,505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154,463</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431,882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489,412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907,213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1,008,986</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 cost of revenues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295,064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560,098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602,755</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Service cost of revenues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40,499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44,473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85,786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89,312</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cost of revenues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305,777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339,537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645,884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692,067</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149,875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261,329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316,919</w:t>
            </w:r>
          </w:p>
        </w:tc>
        <w:tc>
          <w:tcPr>
            <w:tcW w:w="0" w:type="dxa"/>
            <w:vAlign w:val="bottom"/>
          </w:tcPr>
          <w:p>
            <w:pPr>
              <w:spacing w:after="0"/>
              <w:rPr>
                <w:sz w:val="1"/>
                <w:szCs w:val="1"/>
                <w:color w:val="auto"/>
              </w:rPr>
            </w:pPr>
          </w:p>
        </w:tc>
      </w:tr>
      <w:tr>
        <w:trPr>
          <w:trHeight w:val="256"/>
        </w:trPr>
        <w:tc>
          <w:tcPr>
            <w:tcW w:w="43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74,144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149,278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150,136</w:t>
            </w:r>
          </w:p>
        </w:tc>
        <w:tc>
          <w:tcPr>
            <w:tcW w:w="0" w:type="dxa"/>
            <w:vAlign w:val="bottom"/>
          </w:tcPr>
          <w:p>
            <w:pPr>
              <w:spacing w:after="0"/>
              <w:rPr>
                <w:sz w:val="1"/>
                <w:szCs w:val="1"/>
                <w:color w:val="auto"/>
              </w:rPr>
            </w:pPr>
          </w:p>
        </w:tc>
      </w:tr>
      <w:tr>
        <w:trPr>
          <w:trHeight w:val="229"/>
        </w:trPr>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45,055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48,763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94,651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100,490</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17,970</w:t>
            </w:r>
          </w:p>
        </w:tc>
        <w:tc>
          <w:tcPr>
            <w:tcW w:w="0" w:type="dxa"/>
            <w:vAlign w:val="bottom"/>
          </w:tcPr>
          <w:p>
            <w:pPr>
              <w:spacing w:after="0"/>
              <w:rPr>
                <w:sz w:val="1"/>
                <w:szCs w:val="1"/>
                <w:color w:val="auto"/>
              </w:rPr>
            </w:pPr>
          </w:p>
        </w:tc>
      </w:tr>
      <w:tr>
        <w:trPr>
          <w:trHeight w:val="229"/>
        </w:trPr>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Restructuring</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sale of business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26,103</w:t>
            </w:r>
          </w:p>
        </w:tc>
        <w:tc>
          <w:tcPr>
            <w:tcW w:w="0" w:type="dxa"/>
            <w:vAlign w:val="bottom"/>
          </w:tcPr>
          <w:p>
            <w:pPr>
              <w:spacing w:after="0"/>
              <w:rPr>
                <w:sz w:val="1"/>
                <w:szCs w:val="1"/>
                <w:color w:val="auto"/>
              </w:rPr>
            </w:pPr>
          </w:p>
        </w:tc>
      </w:tr>
      <w:tr>
        <w:trPr>
          <w:trHeight w:val="229"/>
        </w:trPr>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 impairment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38,480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38,480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36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159,632</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156,807</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288,037</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292,911</w:t>
            </w: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24,008</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0" w:type="dxa"/>
            <w:vAlign w:val="bottom"/>
          </w:tcPr>
          <w:p>
            <w:pPr>
              <w:spacing w:after="0"/>
              <w:rPr>
                <w:sz w:val="1"/>
                <w:szCs w:val="1"/>
                <w:color w:val="auto"/>
              </w:rPr>
            </w:pPr>
          </w:p>
        </w:tc>
      </w:tr>
      <w:tr>
        <w:trPr>
          <w:trHeight w:val="230"/>
        </w:trPr>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(24,479)</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(14,923)</w:t>
            </w:r>
          </w:p>
        </w:tc>
        <w:tc>
          <w:tcPr>
            <w:tcW w:w="0" w:type="dxa"/>
            <w:vAlign w:val="bottom"/>
          </w:tcPr>
          <w:p>
            <w:pPr>
              <w:spacing w:after="0"/>
              <w:rPr>
                <w:sz w:val="1"/>
                <w:szCs w:val="1"/>
                <w:color w:val="auto"/>
              </w:rPr>
            </w:pPr>
          </w:p>
        </w:tc>
      </w:tr>
      <w:tr>
        <w:trPr>
          <w:trHeight w:val="223"/>
        </w:trPr>
        <w:tc>
          <w:tcPr>
            <w:tcW w:w="43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(25,729)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(38,428)</w:t>
            </w:r>
          </w:p>
        </w:tc>
        <w:tc>
          <w:tcPr>
            <w:tcW w:w="0" w:type="dxa"/>
            <w:vAlign w:val="bottom"/>
          </w:tcPr>
          <w:p>
            <w:pPr>
              <w:spacing w:after="0"/>
              <w:rPr>
                <w:sz w:val="1"/>
                <w:szCs w:val="1"/>
                <w:color w:val="auto"/>
              </w:rPr>
            </w:pPr>
          </w:p>
        </w:tc>
      </w:tr>
      <w:tr>
        <w:trPr>
          <w:trHeight w:val="236"/>
        </w:trPr>
        <w:tc>
          <w:tcPr>
            <w:tcW w:w="43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(14,420)</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(18,865)</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Itron, Inc.</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(36,967)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(33,123)</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(36,061)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(20,520)</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common share - Basic</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common share - Diluted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43,344</w:t>
            </w:r>
          </w:p>
        </w:tc>
        <w:tc>
          <w:tcPr>
            <w:tcW w:w="0" w:type="dxa"/>
            <w:vAlign w:val="bottom"/>
          </w:tcPr>
          <w:p>
            <w:pPr>
              <w:spacing w:after="0"/>
              <w:rPr>
                <w:sz w:val="1"/>
                <w:szCs w:val="1"/>
                <w:color w:val="auto"/>
              </w:rPr>
            </w:pPr>
          </w:p>
        </w:tc>
      </w:tr>
      <w:tr>
        <w:trPr>
          <w:trHeight w:val="234"/>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45,066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45,142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43,344</w:t>
            </w:r>
          </w:p>
        </w:tc>
        <w:tc>
          <w:tcPr>
            <w:tcW w:w="0" w:type="dxa"/>
            <w:vAlign w:val="bottom"/>
          </w:tcPr>
          <w:p>
            <w:pPr>
              <w:spacing w:after="0"/>
              <w:rPr>
                <w:sz w:val="1"/>
                <w:szCs w:val="1"/>
                <w:color w:val="auto"/>
              </w:rPr>
            </w:pPr>
          </w:p>
        </w:tc>
      </w:tr>
    </w:tbl>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80" w:type="dxa"/>
            <w:vAlign w:val="bottom"/>
          </w:tcPr>
          <w:p>
            <w:pPr>
              <w:spacing w:after="0"/>
              <w:rPr>
                <w:sz w:val="18"/>
                <w:szCs w:val="18"/>
                <w:color w:val="auto"/>
              </w:rPr>
            </w:pPr>
          </w:p>
        </w:tc>
        <w:tc>
          <w:tcPr>
            <w:tcW w:w="310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80" w:type="dxa"/>
            <w:vAlign w:val="bottom"/>
          </w:tcPr>
          <w:p>
            <w:pPr>
              <w:spacing w:after="0"/>
              <w:rPr>
                <w:sz w:val="18"/>
                <w:szCs w:val="18"/>
                <w:color w:val="auto"/>
              </w:rPr>
            </w:pPr>
          </w:p>
        </w:tc>
        <w:tc>
          <w:tcPr>
            <w:tcW w:w="3000" w:type="dxa"/>
            <w:vAlign w:val="bottom"/>
            <w:gridSpan w:val="4"/>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3"/>
        </w:trPr>
        <w:tc>
          <w:tcPr>
            <w:tcW w:w="4380" w:type="dxa"/>
            <w:vAlign w:val="bottom"/>
            <w:tcBorders>
              <w:bottom w:val="single" w:sz="8" w:color="auto"/>
            </w:tcBorders>
            <w:vMerge w:val="continue"/>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(18,865)</w:t>
            </w:r>
          </w:p>
        </w:tc>
        <w:tc>
          <w:tcPr>
            <w:tcW w:w="0" w:type="dxa"/>
            <w:vAlign w:val="bottom"/>
          </w:tcPr>
          <w:p>
            <w:pPr>
              <w:spacing w:after="0"/>
              <w:rPr>
                <w:sz w:val="1"/>
                <w:szCs w:val="1"/>
                <w:color w:val="auto"/>
              </w:rPr>
            </w:pPr>
          </w:p>
        </w:tc>
      </w:tr>
      <w:tr>
        <w:trPr>
          <w:trHeight w:val="257"/>
        </w:trPr>
        <w:tc>
          <w:tcPr>
            <w:tcW w:w="4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(9,354)</w:t>
            </w:r>
          </w:p>
        </w:tc>
        <w:tc>
          <w:tcPr>
            <w:tcW w:w="0" w:type="dxa"/>
            <w:vAlign w:val="bottom"/>
          </w:tcPr>
          <w:p>
            <w:pPr>
              <w:spacing w:after="0"/>
              <w:rPr>
                <w:sz w:val="1"/>
                <w:szCs w:val="1"/>
                <w:color w:val="auto"/>
              </w:rPr>
            </w:pPr>
          </w:p>
        </w:tc>
      </w:tr>
      <w:tr>
        <w:trPr>
          <w:trHeight w:val="175"/>
        </w:trPr>
        <w:tc>
          <w:tcPr>
            <w:tcW w:w="43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Foreign currency translation adjustment reclassified to</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for sale of business</w:t>
            </w:r>
          </w:p>
        </w:tc>
        <w:tc>
          <w:tcPr>
            <w:tcW w:w="3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55,436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43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Net unrealized gain (loss) on derivative instruments,</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designated as cash flow hedges</w:t>
            </w:r>
          </w:p>
        </w:tc>
        <w:tc>
          <w:tcPr>
            <w:tcW w:w="38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Pension benefit obligation adjustment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32,393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(6,646)</w:t>
            </w:r>
          </w:p>
        </w:tc>
        <w:tc>
          <w:tcPr>
            <w:tcW w:w="0" w:type="dxa"/>
            <w:vAlign w:val="bottom"/>
          </w:tcPr>
          <w:p>
            <w:pPr>
              <w:spacing w:after="0"/>
              <w:rPr>
                <w:sz w:val="1"/>
                <w:szCs w:val="1"/>
                <w:color w:val="auto"/>
              </w:rPr>
            </w:pPr>
          </w:p>
        </w:tc>
      </w:tr>
      <w:tr>
        <w:trPr>
          <w:trHeight w:val="237"/>
        </w:trPr>
        <w:tc>
          <w:tcPr>
            <w:tcW w:w="43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 net of tax</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(57,287)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(27,308)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(25,511)</w:t>
            </w:r>
          </w:p>
        </w:tc>
        <w:tc>
          <w:tcPr>
            <w:tcW w:w="0" w:type="dxa"/>
            <w:vAlign w:val="bottom"/>
          </w:tcPr>
          <w:p>
            <w:pPr>
              <w:spacing w:after="0"/>
              <w:rPr>
                <w:sz w:val="1"/>
                <w:szCs w:val="1"/>
                <w:color w:val="auto"/>
              </w:rPr>
            </w:pPr>
          </w:p>
        </w:tc>
      </w:tr>
      <w:tr>
        <w:trPr>
          <w:trHeight w:val="237"/>
        </w:trPr>
        <w:tc>
          <w:tcPr>
            <w:tcW w:w="43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3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Comprehensive income attributable to noncontrolling</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interests, net of tax</w:t>
            </w: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Itron, Inc.</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(57,389)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(27,166)</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768"/>
        </w:trPr>
        <w:tc>
          <w:tcPr>
            <w:tcW w:w="1280" w:type="dxa"/>
            <w:vAlign w:val="bottom"/>
            <w:tcBorders>
              <w:top w:val="single" w:sz="8" w:color="0000FF"/>
            </w:tcBorders>
          </w:tcPr>
          <w:p>
            <w:pPr>
              <w:spacing w:after="0"/>
              <w:rPr>
                <w:sz w:val="24"/>
                <w:szCs w:val="24"/>
                <w:color w:val="auto"/>
              </w:rPr>
            </w:pPr>
          </w:p>
        </w:tc>
        <w:tc>
          <w:tcPr>
            <w:tcW w:w="5480" w:type="dxa"/>
            <w:vAlign w:val="bottom"/>
          </w:tcPr>
          <w:p>
            <w:pPr>
              <w:jc w:val="center"/>
              <w:ind w:left="3130"/>
              <w:spacing w:after="0"/>
              <w:rPr>
                <w:sz w:val="20"/>
                <w:szCs w:val="20"/>
                <w:color w:val="auto"/>
              </w:rPr>
            </w:pPr>
            <w:r>
              <w:rPr>
                <w:rFonts w:ascii="Times New Roman" w:cs="Times New Roman" w:eastAsia="Times New Roman" w:hAnsi="Times New Roman"/>
                <w:sz w:val="18"/>
                <w:szCs w:val="18"/>
                <w:b w:val="1"/>
                <w:bCs w:val="1"/>
                <w:color w:val="auto"/>
              </w:rPr>
              <w:t>ITRON, INC.</w:t>
            </w:r>
          </w:p>
        </w:tc>
        <w:tc>
          <w:tcPr>
            <w:tcW w:w="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5980" w:type="dxa"/>
            <w:vAlign w:val="bottom"/>
            <w:gridSpan w:val="2"/>
          </w:tcPr>
          <w:p>
            <w:pPr>
              <w:jc w:val="center"/>
              <w:ind w:left="261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5480" w:type="dxa"/>
            <w:vAlign w:val="bottom"/>
          </w:tcPr>
          <w:p>
            <w:pPr>
              <w:jc w:val="center"/>
              <w:ind w:left="311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5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57"/>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00" w:type="dxa"/>
            <w:vAlign w:val="bottom"/>
          </w:tcPr>
          <w:p>
            <w:pPr>
              <w:spacing w:after="0"/>
              <w:rPr>
                <w:sz w:val="22"/>
                <w:szCs w:val="22"/>
                <w:color w:val="auto"/>
              </w:rPr>
            </w:pPr>
          </w:p>
        </w:tc>
        <w:tc>
          <w:tcPr>
            <w:tcW w:w="18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40" w:type="dxa"/>
            <w:vAlign w:val="bottom"/>
          </w:tcPr>
          <w:p>
            <w:pPr>
              <w:spacing w:after="0"/>
              <w:rPr>
                <w:sz w:val="22"/>
                <w:szCs w:val="22"/>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18"/>
        </w:trPr>
        <w:tc>
          <w:tcPr>
            <w:tcW w:w="1280" w:type="dxa"/>
            <w:vAlign w:val="bottom"/>
            <w:tcBorders>
              <w:top w:val="single" w:sz="8" w:color="auto"/>
            </w:tcBorders>
          </w:tcPr>
          <w:p>
            <w:pPr>
              <w:spacing w:after="0"/>
              <w:rPr>
                <w:sz w:val="18"/>
                <w:szCs w:val="18"/>
                <w:color w:val="auto"/>
              </w:rPr>
            </w:pPr>
          </w:p>
        </w:tc>
        <w:tc>
          <w:tcPr>
            <w:tcW w:w="5480" w:type="dxa"/>
            <w:vAlign w:val="bottom"/>
            <w:tcBorders>
              <w:top w:val="single" w:sz="8" w:color="auto"/>
            </w:tcBorders>
          </w:tcPr>
          <w:p>
            <w:pPr>
              <w:jc w:val="center"/>
              <w:ind w:right="119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r>
      <w:tr>
        <w:trPr>
          <w:trHeight w:val="234"/>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5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29"/>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162,579</w:t>
            </w:r>
          </w:p>
        </w:tc>
      </w:tr>
      <w:tr>
        <w:trPr>
          <w:trHeight w:val="230"/>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259,657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298,459</w:t>
            </w:r>
          </w:p>
        </w:tc>
      </w:tr>
      <w:tr>
        <w:trPr>
          <w:trHeight w:val="229"/>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165,799</w:t>
            </w:r>
          </w:p>
        </w:tc>
      </w:tr>
      <w:tr>
        <w:trPr>
          <w:trHeight w:val="230"/>
        </w:trPr>
        <w:tc>
          <w:tcPr>
            <w:tcW w:w="67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113,409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123,092</w:t>
            </w:r>
          </w:p>
        </w:tc>
      </w:tr>
      <w:tr>
        <w:trPr>
          <w:trHeight w:val="223"/>
        </w:trPr>
        <w:tc>
          <w:tcPr>
            <w:tcW w:w="67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756,088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749,929</w:t>
            </w:r>
          </w:p>
        </w:tc>
      </w:tr>
      <w:tr>
        <w:trPr>
          <w:trHeight w:val="162"/>
        </w:trPr>
        <w:tc>
          <w:tcPr>
            <w:tcW w:w="6760" w:type="dxa"/>
            <w:vAlign w:val="bottom"/>
            <w:gridSpan w:val="2"/>
          </w:tcPr>
          <w:p>
            <w:pPr>
              <w:spacing w:after="0"/>
              <w:rPr>
                <w:sz w:val="14"/>
                <w:szCs w:val="14"/>
                <w:color w:val="auto"/>
              </w:rPr>
            </w:pPr>
          </w:p>
        </w:tc>
        <w:tc>
          <w:tcPr>
            <w:tcW w:w="5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29"/>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163,184</w:t>
            </w:r>
          </w:p>
        </w:tc>
      </w:tr>
      <w:tr>
        <w:trPr>
          <w:trHeight w:val="22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187,178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181,472</w:t>
            </w:r>
          </w:p>
        </w:tc>
      </w:tr>
      <w:tr>
        <w:trPr>
          <w:trHeight w:val="23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42,178</w:t>
            </w:r>
          </w:p>
        </w:tc>
      </w:tr>
      <w:tr>
        <w:trPr>
          <w:trHeight w:val="22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58,083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65,523</w:t>
            </w:r>
          </w:p>
        </w:tc>
      </w:tr>
      <w:tr>
        <w:trPr>
          <w:trHeight w:val="229"/>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92,529</w:t>
            </w:r>
          </w:p>
        </w:tc>
      </w:tr>
      <w:tr>
        <w:trPr>
          <w:trHeight w:val="230"/>
        </w:trPr>
        <w:tc>
          <w:tcPr>
            <w:tcW w:w="6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1,036,160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1,098,975</w:t>
            </w:r>
          </w:p>
        </w:tc>
      </w:tr>
      <w:tr>
        <w:trPr>
          <w:trHeight w:val="248"/>
        </w:trPr>
        <w:tc>
          <w:tcPr>
            <w:tcW w:w="676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2,307,597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2,393,790</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1280" w:type="dxa"/>
            <w:vAlign w:val="bottom"/>
          </w:tcPr>
          <w:p>
            <w:pPr>
              <w:spacing w:after="0"/>
              <w:rPr>
                <w:sz w:val="9"/>
                <w:szCs w:val="9"/>
                <w:color w:val="auto"/>
              </w:rPr>
            </w:pPr>
          </w:p>
        </w:tc>
        <w:tc>
          <w:tcPr>
            <w:tcW w:w="5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940" w:type="dxa"/>
            <w:vAlign w:val="bottom"/>
          </w:tcPr>
          <w:p>
            <w:pPr>
              <w:spacing w:after="0"/>
              <w:rPr>
                <w:sz w:val="9"/>
                <w:szCs w:val="9"/>
                <w:color w:val="auto"/>
              </w:rPr>
            </w:pPr>
          </w:p>
        </w:tc>
      </w:tr>
      <w:tr>
        <w:trPr>
          <w:trHeight w:val="230"/>
        </w:trPr>
        <w:tc>
          <w:tcPr>
            <w:tcW w:w="1280" w:type="dxa"/>
            <w:vAlign w:val="bottom"/>
            <w:shd w:val="clear" w:color="auto" w:fill="CCEEFF"/>
          </w:tcPr>
          <w:p>
            <w:pPr>
              <w:spacing w:after="0"/>
              <w:rPr>
                <w:sz w:val="19"/>
                <w:szCs w:val="19"/>
                <w:color w:val="auto"/>
              </w:rPr>
            </w:pPr>
          </w:p>
        </w:tc>
        <w:tc>
          <w:tcPr>
            <w:tcW w:w="5480" w:type="dxa"/>
            <w:vAlign w:val="bottom"/>
            <w:shd w:val="clear" w:color="auto" w:fill="CCEEFF"/>
          </w:tcPr>
          <w:p>
            <w:pPr>
              <w:jc w:val="center"/>
              <w:ind w:right="1170"/>
              <w:spacing w:after="0"/>
              <w:rPr>
                <w:sz w:val="20"/>
                <w:szCs w:val="20"/>
                <w:color w:val="auto"/>
              </w:rPr>
            </w:pPr>
            <w:r>
              <w:rPr>
                <w:rFonts w:ascii="Times New Roman" w:cs="Times New Roman" w:eastAsia="Times New Roman" w:hAnsi="Times New Roman"/>
                <w:sz w:val="18"/>
                <w:szCs w:val="18"/>
                <w:b w:val="1"/>
                <w:bCs w:val="1"/>
                <w:color w:val="auto"/>
                <w:w w:val="99"/>
              </w:rPr>
              <w:t>LIABILITIES AND EQUITY</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2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5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29"/>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169,368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193,129</w:t>
            </w:r>
          </w:p>
        </w:tc>
      </w:tr>
      <w:tr>
        <w:trPr>
          <w:trHeight w:val="230"/>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81,253</w:t>
            </w:r>
          </w:p>
        </w:tc>
      </w:tr>
      <w:tr>
        <w:trPr>
          <w:trHeight w:val="229"/>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Wages and benefits payable</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113,532</w:t>
            </w:r>
          </w:p>
        </w:tc>
      </w:tr>
      <w:tr>
        <w:trPr>
          <w:trHeight w:val="230"/>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Taxes payable</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12,208</w:t>
            </w:r>
          </w:p>
        </w:tc>
      </w:tr>
      <w:tr>
        <w:trPr>
          <w:trHeight w:val="230"/>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warranty</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18,406</w:t>
            </w:r>
          </w:p>
        </w:tc>
      </w:tr>
      <w:tr>
        <w:trPr>
          <w:trHeight w:val="229"/>
        </w:trPr>
        <w:tc>
          <w:tcPr>
            <w:tcW w:w="67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Unearned revenue</w:t>
            </w: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120,038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82,816</w:t>
            </w:r>
          </w:p>
        </w:tc>
      </w:tr>
      <w:tr>
        <w:trPr>
          <w:trHeight w:val="223"/>
        </w:trPr>
        <w:tc>
          <w:tcPr>
            <w:tcW w:w="67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501,344</w:t>
            </w:r>
          </w:p>
        </w:tc>
      </w:tr>
      <w:tr>
        <w:trPr>
          <w:trHeight w:val="162"/>
        </w:trPr>
        <w:tc>
          <w:tcPr>
            <w:tcW w:w="6760" w:type="dxa"/>
            <w:vAlign w:val="bottom"/>
            <w:gridSpan w:val="2"/>
          </w:tcPr>
          <w:p>
            <w:pPr>
              <w:spacing w:after="0"/>
              <w:rPr>
                <w:sz w:val="14"/>
                <w:szCs w:val="14"/>
                <w:color w:val="auto"/>
              </w:rPr>
            </w:pPr>
          </w:p>
        </w:tc>
        <w:tc>
          <w:tcPr>
            <w:tcW w:w="5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3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450,228</w:t>
            </w:r>
          </w:p>
        </w:tc>
      </w:tr>
      <w:tr>
        <w:trPr>
          <w:trHeight w:val="230"/>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warranty</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13,616</w:t>
            </w:r>
          </w:p>
        </w:tc>
      </w:tr>
      <w:tr>
        <w:trPr>
          <w:trHeight w:val="23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benefit obligation</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87,863</w:t>
            </w:r>
          </w:p>
        </w:tc>
      </w:tr>
      <w:tr>
        <w:trPr>
          <w:trHeight w:val="22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57,314</w:t>
            </w:r>
          </w:p>
        </w:tc>
      </w:tr>
      <w:tr>
        <w:trPr>
          <w:trHeight w:val="230"/>
        </w:trPr>
        <w:tc>
          <w:tcPr>
            <w:tcW w:w="6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121,280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138,666</w:t>
            </w:r>
          </w:p>
        </w:tc>
      </w:tr>
      <w:tr>
        <w:trPr>
          <w:trHeight w:val="223"/>
        </w:trPr>
        <w:tc>
          <w:tcPr>
            <w:tcW w:w="67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1,174,497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1,251,031</w:t>
            </w:r>
          </w:p>
        </w:tc>
      </w:tr>
      <w:tr>
        <w:trPr>
          <w:trHeight w:val="162"/>
        </w:trPr>
        <w:tc>
          <w:tcPr>
            <w:tcW w:w="6760" w:type="dxa"/>
            <w:vAlign w:val="bottom"/>
            <w:gridSpan w:val="2"/>
          </w:tcPr>
          <w:p>
            <w:pPr>
              <w:spacing w:after="0"/>
              <w:rPr>
                <w:sz w:val="14"/>
                <w:szCs w:val="14"/>
                <w:color w:val="auto"/>
              </w:rPr>
            </w:pPr>
          </w:p>
        </w:tc>
        <w:tc>
          <w:tcPr>
            <w:tcW w:w="5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29"/>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30"/>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Preferred stock, no par value, 10,000 shares authorized, no shares issued or outstanding</w:t>
            </w:r>
          </w:p>
        </w:tc>
        <w:tc>
          <w:tcPr>
            <w:tcW w:w="500" w:type="dxa"/>
            <w:vAlign w:val="bottom"/>
          </w:tcPr>
          <w:p>
            <w:pPr>
              <w:spacing w:after="0"/>
              <w:rPr>
                <w:sz w:val="19"/>
                <w:szCs w:val="19"/>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6760" w:type="dxa"/>
            <w:vAlign w:val="bottom"/>
            <w:gridSpan w:val="2"/>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no par value, 75,000 shares authorized, 45,070 and 45,152 shares issued</w:t>
            </w:r>
          </w:p>
        </w:tc>
        <w:tc>
          <w:tcPr>
            <w:tcW w:w="5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r>
      <w:tr>
        <w:trPr>
          <w:trHeight w:val="243"/>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outstanding</w:t>
            </w:r>
          </w:p>
        </w:tc>
        <w:tc>
          <w:tcPr>
            <w:tcW w:w="5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1,777,476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1,779,775</w:t>
            </w:r>
          </w:p>
        </w:tc>
      </w:tr>
      <w:tr>
        <w:trPr>
          <w:trHeight w:val="229"/>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 net</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(148,098)</w:t>
            </w:r>
          </w:p>
        </w:tc>
      </w:tr>
      <w:tr>
        <w:trPr>
          <w:trHeight w:val="230"/>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(551,661)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(515,600)</w:t>
            </w:r>
          </w:p>
        </w:tc>
      </w:tr>
      <w:tr>
        <w:trPr>
          <w:trHeight w:val="223"/>
        </w:trPr>
        <w:tc>
          <w:tcPr>
            <w:tcW w:w="67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Total Itron, Inc. shareholders' equity</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1,110,110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1,116,077</w:t>
            </w:r>
          </w:p>
        </w:tc>
      </w:tr>
      <w:tr>
        <w:trPr>
          <w:trHeight w:val="230"/>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26,682</w:t>
            </w:r>
          </w:p>
        </w:tc>
      </w:tr>
      <w:tr>
        <w:trPr>
          <w:trHeight w:val="223"/>
        </w:trPr>
        <w:tc>
          <w:tcPr>
            <w:tcW w:w="676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Total equity</w:t>
            </w: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1,133,100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1,142,759</w:t>
            </w:r>
          </w:p>
        </w:tc>
      </w:tr>
      <w:tr>
        <w:trPr>
          <w:trHeight w:val="248"/>
        </w:trPr>
        <w:tc>
          <w:tcPr>
            <w:tcW w:w="676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2,307,597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2,393,790</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820" w:type="dxa"/>
            <w:vAlign w:val="bottom"/>
          </w:tcPr>
          <w:p>
            <w:pPr>
              <w:spacing w:after="0"/>
              <w:rPr>
                <w:sz w:val="15"/>
                <w:szCs w:val="15"/>
                <w:color w:val="auto"/>
              </w:rPr>
            </w:pPr>
          </w:p>
        </w:tc>
        <w:tc>
          <w:tcPr>
            <w:tcW w:w="20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 Itron, Inc.</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82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3"/>
            <w:vMerge w:val="restart"/>
          </w:tcPr>
          <w:p>
            <w:pPr>
              <w:ind w:left="6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5"/>
                <w:szCs w:val="5"/>
                <w:color w:val="auto"/>
              </w:rPr>
            </w:pPr>
          </w:p>
        </w:tc>
        <w:tc>
          <w:tcPr>
            <w:tcW w:w="114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5"/>
                <w:szCs w:val="5"/>
                <w:color w:val="auto"/>
              </w:rPr>
            </w:pPr>
          </w:p>
        </w:tc>
        <w:tc>
          <w:tcPr>
            <w:tcW w:w="1200" w:type="dxa"/>
            <w:vAlign w:val="bottom"/>
            <w:gridSpan w:val="2"/>
            <w:vMerge w:val="restart"/>
          </w:tcPr>
          <w:p>
            <w:pPr>
              <w:jc w:val="center"/>
              <w:ind w:right="220"/>
              <w:spacing w:after="0" w:line="122"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20" w:type="dxa"/>
            <w:vAlign w:val="bottom"/>
          </w:tcPr>
          <w:p>
            <w:pPr>
              <w:spacing w:after="0"/>
              <w:rPr>
                <w:sz w:val="5"/>
                <w:szCs w:val="5"/>
                <w:color w:val="auto"/>
              </w:rPr>
            </w:pPr>
          </w:p>
        </w:tc>
        <w:tc>
          <w:tcPr>
            <w:tcW w:w="124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2"/>
                <w:szCs w:val="2"/>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2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line="20" w:lineRule="exact"/>
              <w:rPr>
                <w:sz w:val="1"/>
                <w:szCs w:val="1"/>
                <w:color w:val="auto"/>
              </w:rPr>
            </w:pPr>
          </w:p>
        </w:tc>
      </w:tr>
      <w:tr>
        <w:trPr>
          <w:trHeight w:val="198"/>
        </w:trPr>
        <w:tc>
          <w:tcPr>
            <w:tcW w:w="2820" w:type="dxa"/>
            <w:vAlign w:val="bottom"/>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January 1, 2022</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45,152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1,779,775</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(148,098)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(515,600)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1,116,077</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26,682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1,142,759</w:t>
            </w:r>
          </w:p>
        </w:tc>
        <w:tc>
          <w:tcPr>
            <w:tcW w:w="0" w:type="dxa"/>
            <w:vAlign w:val="bottom"/>
          </w:tcPr>
          <w:p>
            <w:pPr>
              <w:spacing w:after="0"/>
              <w:rPr>
                <w:sz w:val="1"/>
                <w:szCs w:val="1"/>
                <w:color w:val="auto"/>
              </w:rPr>
            </w:pP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52,815</w:t>
            </w:r>
          </w:p>
        </w:tc>
        <w:tc>
          <w:tcPr>
            <w:tcW w:w="0" w:type="dxa"/>
            <w:vAlign w:val="bottom"/>
          </w:tcPr>
          <w:p>
            <w:pPr>
              <w:spacing w:after="0"/>
              <w:rPr>
                <w:sz w:val="1"/>
                <w:szCs w:val="1"/>
                <w:color w:val="auto"/>
              </w:rPr>
            </w:pP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stock issued and repurchased</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6,127</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Stock repurchased program</w:t>
            </w:r>
          </w:p>
        </w:tc>
        <w:tc>
          <w:tcPr>
            <w:tcW w:w="8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(280)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(16,629)</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(16,629)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(16,629)</w:t>
            </w: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March 31, 2022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45,037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1,770,057</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(95,283)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(514,694)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1,160,080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26,672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1,186,752</w:t>
            </w:r>
          </w:p>
        </w:tc>
        <w:tc>
          <w:tcPr>
            <w:tcW w:w="0" w:type="dxa"/>
            <w:vAlign w:val="bottom"/>
          </w:tcPr>
          <w:p>
            <w:pPr>
              <w:spacing w:after="0"/>
              <w:rPr>
                <w:sz w:val="1"/>
                <w:szCs w:val="1"/>
                <w:color w:val="auto"/>
              </w:rPr>
            </w:pP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(36,967)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(36,967)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(36,865)</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(20,422)</w:t>
            </w:r>
          </w:p>
        </w:tc>
        <w:tc>
          <w:tcPr>
            <w:tcW w:w="0" w:type="dxa"/>
            <w:vAlign w:val="bottom"/>
          </w:tcPr>
          <w:p>
            <w:pPr>
              <w:spacing w:after="0"/>
              <w:rPr>
                <w:sz w:val="1"/>
                <w:szCs w:val="1"/>
                <w:color w:val="auto"/>
              </w:rPr>
            </w:pP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(3,784)</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stock issued and repurchased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6,405</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6,405</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6,405</w:t>
            </w:r>
          </w:p>
        </w:tc>
        <w:tc>
          <w:tcPr>
            <w:tcW w:w="0" w:type="dxa"/>
            <w:vAlign w:val="bottom"/>
          </w:tcPr>
          <w:p>
            <w:pPr>
              <w:spacing w:after="0"/>
              <w:rPr>
                <w:sz w:val="1"/>
                <w:szCs w:val="1"/>
                <w:color w:val="auto"/>
              </w:rPr>
            </w:pPr>
          </w:p>
        </w:tc>
      </w:tr>
      <w:tr>
        <w:trPr>
          <w:trHeight w:val="221"/>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June 30, 2022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45,070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1,777,476</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(115,705)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(551,661)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1,110,110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22,990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1,133,100</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820" w:type="dxa"/>
            <w:vAlign w:val="bottom"/>
          </w:tcPr>
          <w:p>
            <w:pPr>
              <w:spacing w:after="0"/>
              <w:rPr>
                <w:sz w:val="15"/>
                <w:szCs w:val="15"/>
                <w:color w:val="auto"/>
              </w:rPr>
            </w:pPr>
          </w:p>
        </w:tc>
        <w:tc>
          <w:tcPr>
            <w:tcW w:w="20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 Itron, Inc.</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82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3"/>
            <w:vMerge w:val="restart"/>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5"/>
                <w:szCs w:val="5"/>
                <w:color w:val="auto"/>
              </w:rPr>
            </w:pPr>
          </w:p>
        </w:tc>
        <w:tc>
          <w:tcPr>
            <w:tcW w:w="114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5"/>
                <w:szCs w:val="5"/>
                <w:color w:val="auto"/>
              </w:rPr>
            </w:pPr>
          </w:p>
        </w:tc>
        <w:tc>
          <w:tcPr>
            <w:tcW w:w="1200" w:type="dxa"/>
            <w:vAlign w:val="bottom"/>
            <w:gridSpan w:val="2"/>
            <w:vMerge w:val="restart"/>
          </w:tcPr>
          <w:p>
            <w:pPr>
              <w:jc w:val="center"/>
              <w:ind w:right="220"/>
              <w:spacing w:after="0" w:line="122"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20" w:type="dxa"/>
            <w:vAlign w:val="bottom"/>
          </w:tcPr>
          <w:p>
            <w:pPr>
              <w:spacing w:after="0"/>
              <w:rPr>
                <w:sz w:val="5"/>
                <w:szCs w:val="5"/>
                <w:color w:val="auto"/>
              </w:rPr>
            </w:pPr>
          </w:p>
        </w:tc>
        <w:tc>
          <w:tcPr>
            <w:tcW w:w="124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2"/>
                <w:szCs w:val="2"/>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2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line="20" w:lineRule="exact"/>
              <w:rPr>
                <w:sz w:val="1"/>
                <w:szCs w:val="1"/>
                <w:color w:val="auto"/>
              </w:rPr>
            </w:pPr>
          </w:p>
        </w:tc>
      </w:tr>
      <w:tr>
        <w:trPr>
          <w:trHeight w:val="196"/>
        </w:trPr>
        <w:tc>
          <w:tcPr>
            <w:tcW w:w="2820" w:type="dxa"/>
            <w:vAlign w:val="bottom"/>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January 1, 2021</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40,444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1,389,419</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(138,526)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(434,345)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816,548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23,725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840,273</w:t>
            </w:r>
          </w:p>
        </w:tc>
        <w:tc>
          <w:tcPr>
            <w:tcW w:w="0" w:type="dxa"/>
            <w:vAlign w:val="bottom"/>
          </w:tcPr>
          <w:p>
            <w:pPr>
              <w:spacing w:after="0"/>
              <w:rPr>
                <w:sz w:val="1"/>
                <w:szCs w:val="1"/>
                <w:color w:val="auto"/>
              </w:rPr>
            </w:pP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13,580</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(11,783)</w:t>
            </w:r>
          </w:p>
        </w:tc>
        <w:tc>
          <w:tcPr>
            <w:tcW w:w="0" w:type="dxa"/>
            <w:vAlign w:val="bottom"/>
          </w:tcPr>
          <w:p>
            <w:pPr>
              <w:spacing w:after="0"/>
              <w:rPr>
                <w:sz w:val="1"/>
                <w:szCs w:val="1"/>
                <w:color w:val="auto"/>
              </w:rPr>
            </w:pP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stock issued and repurchased</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2,009</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6,270</w:t>
            </w:r>
          </w:p>
        </w:tc>
        <w:tc>
          <w:tcPr>
            <w:tcW w:w="0" w:type="dxa"/>
            <w:vAlign w:val="bottom"/>
          </w:tcPr>
          <w:p>
            <w:pPr>
              <w:spacing w:after="0"/>
              <w:rPr>
                <w:sz w:val="1"/>
                <w:szCs w:val="1"/>
                <w:color w:val="auto"/>
              </w:rPr>
            </w:pP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issued related to equity offering</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389,419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389,419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389,419</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sale of warrants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45,349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45,349</w:t>
            </w: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Purchases of convertible note hedge contracts,</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(63,576)</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(63,576)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(63,576)</w:t>
            </w:r>
          </w:p>
        </w:tc>
        <w:tc>
          <w:tcPr>
            <w:tcW w:w="0" w:type="dxa"/>
            <w:vAlign w:val="bottom"/>
          </w:tcPr>
          <w:p>
            <w:pPr>
              <w:spacing w:after="0"/>
              <w:rPr>
                <w:sz w:val="1"/>
                <w:szCs w:val="1"/>
                <w:color w:val="auto"/>
              </w:rPr>
            </w:pP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of tax</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Registration fee</w:t>
            </w:r>
          </w:p>
        </w:tc>
        <w:tc>
          <w:tcPr>
            <w:tcW w:w="8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0" w:type="dxa"/>
            <w:vAlign w:val="bottom"/>
          </w:tcPr>
          <w:p>
            <w:pPr>
              <w:spacing w:after="0"/>
              <w:rPr>
                <w:sz w:val="1"/>
                <w:szCs w:val="1"/>
                <w:color w:val="auto"/>
              </w:rPr>
            </w:pPr>
          </w:p>
        </w:tc>
      </w:tr>
      <w:tr>
        <w:trPr>
          <w:trHeight w:val="189"/>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at March 31, 2021</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1,768,517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(150,309)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(421,742)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1,196,466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24,702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1,221,168</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(32,445)</w:t>
            </w:r>
          </w:p>
        </w:tc>
        <w:tc>
          <w:tcPr>
            <w:tcW w:w="0" w:type="dxa"/>
            <w:vAlign w:val="bottom"/>
          </w:tcPr>
          <w:p>
            <w:pPr>
              <w:spacing w:after="0"/>
              <w:rPr>
                <w:sz w:val="1"/>
                <w:szCs w:val="1"/>
                <w:color w:val="auto"/>
              </w:rPr>
            </w:pP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5,137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5,137</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stock issued and repurchased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458</w:t>
            </w:r>
          </w:p>
        </w:tc>
        <w:tc>
          <w:tcPr>
            <w:tcW w:w="0" w:type="dxa"/>
            <w:vAlign w:val="bottom"/>
          </w:tcPr>
          <w:p>
            <w:pPr>
              <w:spacing w:after="0"/>
              <w:rPr>
                <w:sz w:val="1"/>
                <w:szCs w:val="1"/>
                <w:color w:val="auto"/>
              </w:rPr>
            </w:pP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6,316</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Registration fee</w:t>
            </w:r>
          </w:p>
        </w:tc>
        <w:tc>
          <w:tcPr>
            <w:tcW w:w="8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90"/>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at June 30, 2021</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45,150</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1,775,315</w:t>
            </w:r>
          </w:p>
        </w:tc>
        <w:tc>
          <w:tcPr>
            <w:tcW w:w="100" w:type="dxa"/>
            <w:vAlign w:val="bottom"/>
          </w:tcPr>
          <w:p>
            <w:pPr>
              <w:spacing w:after="0"/>
              <w:rPr>
                <w:sz w:val="16"/>
                <w:szCs w:val="16"/>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(145,172)</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(454,865)</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1,175,278</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25,380</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1,200,658</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4"/>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77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5"/>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auto"/>
              </w:rPr>
              <w:t>Operating activities</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loss</w:t>
            </w: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(35,969)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(18,865)</w:t>
            </w: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operating activities:</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Depreciation and amortization of intangible assets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33,251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42,919</w:t>
            </w:r>
          </w:p>
        </w:tc>
        <w:tc>
          <w:tcPr>
            <w:tcW w:w="0" w:type="dxa"/>
            <w:vAlign w:val="bottom"/>
          </w:tcPr>
          <w:p>
            <w:pPr>
              <w:spacing w:after="0"/>
              <w:rPr>
                <w:sz w:val="1"/>
                <w:szCs w:val="1"/>
                <w:color w:val="auto"/>
              </w:rPr>
            </w:pPr>
          </w:p>
        </w:tc>
      </w:tr>
      <w:tr>
        <w:trPr>
          <w:trHeight w:val="195"/>
        </w:trPr>
        <w:tc>
          <w:tcPr>
            <w:tcW w:w="77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Non-cash operating lease expense</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8,234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8,647</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Stock-based compensation</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12,532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12,586</w:t>
            </w:r>
          </w:p>
        </w:tc>
        <w:tc>
          <w:tcPr>
            <w:tcW w:w="0" w:type="dxa"/>
            <w:vAlign w:val="bottom"/>
          </w:tcPr>
          <w:p>
            <w:pPr>
              <w:spacing w:after="0"/>
              <w:rPr>
                <w:sz w:val="1"/>
                <w:szCs w:val="1"/>
                <w:color w:val="auto"/>
              </w:rPr>
            </w:pPr>
          </w:p>
        </w:tc>
      </w:tr>
      <w:tr>
        <w:trPr>
          <w:trHeight w:val="195"/>
        </w:trPr>
        <w:tc>
          <w:tcPr>
            <w:tcW w:w="77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Amortization of prepaid debt fees</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1,720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4,315</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Deferred taxes, net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(2,942)</w:t>
            </w:r>
          </w:p>
        </w:tc>
        <w:tc>
          <w:tcPr>
            <w:tcW w:w="0" w:type="dxa"/>
            <w:vAlign w:val="bottom"/>
          </w:tcPr>
          <w:p>
            <w:pPr>
              <w:spacing w:after="0"/>
              <w:rPr>
                <w:sz w:val="1"/>
                <w:szCs w:val="1"/>
                <w:color w:val="auto"/>
              </w:rPr>
            </w:pPr>
          </w:p>
        </w:tc>
      </w:tr>
      <w:tr>
        <w:trPr>
          <w:trHeight w:val="195"/>
        </w:trPr>
        <w:tc>
          <w:tcPr>
            <w:tcW w:w="77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Loss on sale of business</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2,415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26,103</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Loss on extinguishment of debt, net</w:t>
            </w: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195"/>
        </w:trPr>
        <w:tc>
          <w:tcPr>
            <w:tcW w:w="77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Goodwill impairment</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38,480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Restructuring, non-cash</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w:t>
            </w:r>
          </w:p>
        </w:tc>
        <w:tc>
          <w:tcPr>
            <w:tcW w:w="0" w:type="dxa"/>
            <w:vAlign w:val="bottom"/>
          </w:tcPr>
          <w:p>
            <w:pPr>
              <w:spacing w:after="0"/>
              <w:rPr>
                <w:sz w:val="1"/>
                <w:szCs w:val="1"/>
                <w:color w:val="auto"/>
              </w:rPr>
            </w:pPr>
          </w:p>
        </w:tc>
      </w:tr>
      <w:tr>
        <w:trPr>
          <w:trHeight w:val="195"/>
        </w:trPr>
        <w:tc>
          <w:tcPr>
            <w:tcW w:w="77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Other adjustments, net</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13,913</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Changes in operating assets and liabilities, net of acquisition and sale of business: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receivable</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28,924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29,549</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Inventories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current assets</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22,164</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long-term assets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6,207</w:t>
            </w: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payable, other current liabilities, and taxes payable</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(24,604)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(43,115)</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Wages and benefits payable</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(22,264)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17,815</w:t>
            </w: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Unearned revenue</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36,093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17,106</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Warranty</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(4,744)</w:t>
            </w:r>
          </w:p>
        </w:tc>
        <w:tc>
          <w:tcPr>
            <w:tcW w:w="0" w:type="dxa"/>
            <w:vAlign w:val="bottom"/>
          </w:tcPr>
          <w:p>
            <w:pPr>
              <w:spacing w:after="0"/>
              <w:rPr>
                <w:sz w:val="1"/>
                <w:szCs w:val="1"/>
                <w:color w:val="auto"/>
              </w:rPr>
            </w:pPr>
          </w:p>
        </w:tc>
      </w:tr>
      <w:tr>
        <w:trPr>
          <w:trHeight w:val="196"/>
        </w:trPr>
        <w:tc>
          <w:tcPr>
            <w:tcW w:w="77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Other operating, net</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(21,557)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(19,926)</w:t>
            </w:r>
          </w:p>
        </w:tc>
        <w:tc>
          <w:tcPr>
            <w:tcW w:w="0" w:type="dxa"/>
            <w:vAlign w:val="bottom"/>
          </w:tcPr>
          <w:p>
            <w:pPr>
              <w:spacing w:after="0"/>
              <w:rPr>
                <w:sz w:val="1"/>
                <w:szCs w:val="1"/>
                <w:color w:val="auto"/>
              </w:rPr>
            </w:pPr>
          </w:p>
        </w:tc>
      </w:tr>
      <w:tr>
        <w:trPr>
          <w:trHeight w:val="203"/>
        </w:trPr>
        <w:tc>
          <w:tcPr>
            <w:tcW w:w="7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22,656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122,680</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Investing activities</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proceeds related to the sale of business</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55,933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3,142</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Acquisitions of property, plant, and equipment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(20,476)</w:t>
            </w: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Business acquisitions, net of cash and cash equivalents acquired</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investing, net</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1,722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2,819</w:t>
            </w:r>
          </w:p>
        </w:tc>
        <w:tc>
          <w:tcPr>
            <w:tcW w:w="0" w:type="dxa"/>
            <w:vAlign w:val="bottom"/>
          </w:tcPr>
          <w:p>
            <w:pPr>
              <w:spacing w:after="0"/>
              <w:rPr>
                <w:sz w:val="1"/>
                <w:szCs w:val="1"/>
                <w:color w:val="auto"/>
              </w:rPr>
            </w:pPr>
          </w:p>
        </w:tc>
      </w:tr>
      <w:tr>
        <w:trPr>
          <w:trHeight w:val="189"/>
        </w:trPr>
        <w:tc>
          <w:tcPr>
            <w:tcW w:w="77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47,015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(14,515)</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auto"/>
              </w:rPr>
              <w:t>Financing activities</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borrowings</w:t>
            </w: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460,000</w:t>
            </w: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Payments on debt</w:t>
            </w:r>
          </w:p>
        </w:tc>
        <w:tc>
          <w:tcPr>
            <w:tcW w:w="38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(915,000)</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Issuance of common stock</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1,797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3,255</w:t>
            </w: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common stock offering</w:t>
            </w:r>
          </w:p>
        </w:tc>
        <w:tc>
          <w:tcPr>
            <w:tcW w:w="38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389,419</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sale of warrants</w:t>
            </w: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45,349</w:t>
            </w: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Purchases of convertible note hedge contracts</w:t>
            </w:r>
          </w:p>
        </w:tc>
        <w:tc>
          <w:tcPr>
            <w:tcW w:w="38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(84,139)</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(16,972)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Prepaid debt fees</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(12,021)</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financing, net</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4,993</w:t>
            </w:r>
          </w:p>
        </w:tc>
        <w:tc>
          <w:tcPr>
            <w:tcW w:w="0" w:type="dxa"/>
            <w:vAlign w:val="bottom"/>
          </w:tcPr>
          <w:p>
            <w:pPr>
              <w:spacing w:after="0"/>
              <w:rPr>
                <w:sz w:val="1"/>
                <w:szCs w:val="1"/>
                <w:color w:val="auto"/>
              </w:rPr>
            </w:pPr>
          </w:p>
        </w:tc>
      </w:tr>
      <w:tr>
        <w:trPr>
          <w:trHeight w:val="189"/>
        </w:trPr>
        <w:tc>
          <w:tcPr>
            <w:tcW w:w="77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(20,076)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(108,144)</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Effect of foreign exchange rate changes on cash and cash equivalents</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203"/>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Increase in cash and cash equivalents</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45,921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0" w:type="dxa"/>
            <w:vAlign w:val="bottom"/>
          </w:tcPr>
          <w:p>
            <w:pPr>
              <w:spacing w:after="0"/>
              <w:rPr>
                <w:sz w:val="1"/>
                <w:szCs w:val="1"/>
                <w:color w:val="auto"/>
              </w:rPr>
            </w:pPr>
          </w:p>
        </w:tc>
      </w:tr>
      <w:tr>
        <w:trPr>
          <w:trHeight w:val="196"/>
        </w:trPr>
        <w:tc>
          <w:tcPr>
            <w:tcW w:w="7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162,579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206,933</w:t>
            </w:r>
          </w:p>
        </w:tc>
        <w:tc>
          <w:tcPr>
            <w:tcW w:w="0" w:type="dxa"/>
            <w:vAlign w:val="bottom"/>
          </w:tcPr>
          <w:p>
            <w:pPr>
              <w:spacing w:after="0"/>
              <w:rPr>
                <w:sz w:val="1"/>
                <w:szCs w:val="1"/>
                <w:color w:val="auto"/>
              </w:rPr>
            </w:pPr>
          </w:p>
        </w:tc>
      </w:tr>
      <w:tr>
        <w:trPr>
          <w:trHeight w:val="221"/>
        </w:trPr>
        <w:tc>
          <w:tcPr>
            <w:tcW w:w="7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208,500</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207,131</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Supplemental disclosure of cash flow information:</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Cash paid during the period for:</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Income taxes, net</w:t>
            </w: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7,062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3,033</w:t>
            </w:r>
          </w:p>
        </w:tc>
        <w:tc>
          <w:tcPr>
            <w:tcW w:w="0" w:type="dxa"/>
            <w:vAlign w:val="bottom"/>
          </w:tcPr>
          <w:p>
            <w:pPr>
              <w:spacing w:after="0"/>
              <w:rPr>
                <w:sz w:val="1"/>
                <w:szCs w:val="1"/>
                <w:color w:val="auto"/>
              </w:rPr>
            </w:pPr>
          </w:p>
        </w:tc>
      </w:tr>
      <w:tr>
        <w:trPr>
          <w:trHeight w:val="188"/>
        </w:trPr>
        <w:tc>
          <w:tcPr>
            <w:tcW w:w="77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Interest</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717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7,845</w:t>
            </w:r>
          </w:p>
        </w:tc>
        <w:tc>
          <w:tcPr>
            <w:tcW w:w="0" w:type="dxa"/>
            <w:vAlign w:val="bottom"/>
          </w:tcPr>
          <w:p>
            <w:pPr>
              <w:spacing w:after="0"/>
              <w:rPr>
                <w:sz w:val="1"/>
                <w:szCs w:val="1"/>
                <w:color w:val="auto"/>
              </w:rPr>
            </w:pPr>
          </w:p>
        </w:tc>
      </w:tr>
    </w:tbl>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Quarterly Report on Form 10-Q, the terms "we", "us", "our", "Itron", and the "Company" refer to Itron, Inc. and its subsidiaries.</w:t>
      </w:r>
    </w:p>
    <w:p>
      <w:pPr>
        <w:spacing w:after="0" w:line="24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Financial Statement Preparation</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consolidated financial statements presented in this Quarterly Report on Form 10-Q are unaudited and reflect entries necessary for the fair presentation of the Consolidated Statements of Operations and the Consolidated Statements of Comprehensive Income (Loss) for the three and six months ended June 30, 2022 and 2021, Consolidated Statements of Equity for the three months ended June 30, 2022 and 2021 and March 31, 2022 and 2021, the Consolidated Statements of Cash Flows for the six months ended June 30, 2022 and 2021, and the Consolidated Balance Sheets as of June 30, 2022 and December 31, 2021, of Itron, Inc. and its subsidiaries. All entries required for the fair presentation of the financial statements are of a normal recurring nature, except as disclosed. The results of operations for the three and six months ended June 30, 2022 are not necessarily indicative of the results expected for the full year or for any other period.</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information and notes normally included in financial statements prepared in accordance with U.S. generally accepted accounting principles (GAAP) have been partially or completely omitted pursuant to the rules and regulations of the U.S. Securities and Exchange Commission (SEC) regarding interim results. These consolidated financial statements should be read in conjunction with the consolidated financial statements and the notes thereto for the fiscal year ended December 31, 2021 filed with the SEC in our Annual Report on Form 10-K on February 28, 2022 (2021 Annual Report). There have been no significant changes in financial statement preparation or significant accounting policies since December 31, 2021.</w:t>
      </w: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Risks and Uncertainties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COVID-19 pandemic has had global economic impacts including disrupting customer demand and global supply chains, resulting in market volatility. The extent of the recent pandemic and its ongoing impact on our operations is volatile, but is being monitored closely by our management. During the initial months of the pandemic our European factories were closed due to government actions and local conditions, and any further closures that may be imposed on us could impact our results for 2022. New variants of the virus may cause previously lifted restrictions to be reinstated, which could result in more disruptions. Incremental costs we have incurred related to COVID-19, such as personal protective equipment, increased cleaning and sanitizing of our facilities, and other such items, have not been material to date. As economies have reopened, global supply chains have struggled to keep pace with rapidly changing demand. The resulting supply constraints have manifested across a variety of areas including mechanical, electrical, and logistics portions of the supply chain, which has impacted our ability to ship products in a timely manner. In particular, our ability to obtain adequate supply of semiconductor components has impacted our ability to service recovering customer demand. While we believe the current imbalance in supply and demand is temporal, the timeline to recovery is uncertain. Efforts are ongoing with suppliers to increase supply, including the approval of alternate sources. Recently, inflation in our raw materials and component costs, freight charges, and labor costs have increased above historical levels, due to, among other things, the continuing impacts of the pandemic and uncertain economic environment. We may or may not be able to fully recover these increased costs through pricing actions with our customers. At this time, we have not identified any significant decrease in long-term customer demand for our products and services. However, certain of our customer projects have experienced delay in deliveries, with revenue originally forecasted in prior periods shifting to future periods.</w:t>
      </w:r>
    </w:p>
    <w:p>
      <w:pPr>
        <w:spacing w:after="0" w:line="2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have limited direct business exposure in Russia, Belarus and Ukraine, the Russian military actions and the resulting sanctions could adversely affect the global economy, as well as further disrupt the supply chain. A major disruption in the global economy and supply chain could have a material adverse effect on our business, prospects, financial condition, results of operations, and cash flows. The extent and duration of the military action, sanctions, and resulting market and/or supply disruptions are impossible to predict, but could be substantial</w:t>
      </w:r>
      <w:r>
        <w:rPr>
          <w:rFonts w:ascii="Times New Roman" w:cs="Times New Roman" w:eastAsia="Times New Roman" w:hAnsi="Times New Roman"/>
          <w:sz w:val="18"/>
          <w:szCs w:val="18"/>
          <w:color w:val="333333"/>
        </w:rPr>
        <w: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May 2021, the Financial Accounting Standards Board (FASB) issued Accounting Standards Update (ASU) 2021-04 amending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260), Debt-Modifications and Extinguishments (Subtopic 470-50), Compensation - Stock Compensation (Topic 718), and Derivatives and Hedging - Contracts in Entity's Own Equity (Subtopic 815-40). </w:t>
      </w:r>
      <w:r>
        <w:rPr>
          <w:rFonts w:ascii="Times New Roman" w:cs="Times New Roman" w:eastAsia="Times New Roman" w:hAnsi="Times New Roman"/>
          <w:sz w:val="18"/>
          <w:szCs w:val="18"/>
          <w:color w:val="auto"/>
        </w:rPr>
        <w:t>The amendment affects entities when a freestanding equity-classified written call option is modified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exchanged and remains equity classified after the modification or exchange. We adopted this amendment as of the effective date of January 1, 2022. The adoption of this amendment did not have a material impact on our financial statements.</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July 2021, the FASB issued ASU 2021-05, </w:t>
      </w:r>
      <w:r>
        <w:rPr>
          <w:rFonts w:ascii="Times New Roman" w:cs="Times New Roman" w:eastAsia="Times New Roman" w:hAnsi="Times New Roman"/>
          <w:sz w:val="18"/>
          <w:szCs w:val="18"/>
          <w:i w:val="1"/>
          <w:iCs w:val="1"/>
          <w:color w:val="auto"/>
        </w:rPr>
        <w:t>Leases (Topic 842): Lessors-Certain Leases with Variable Lease Payments</w:t>
      </w:r>
      <w:r>
        <w:rPr>
          <w:rFonts w:ascii="Times New Roman" w:cs="Times New Roman" w:eastAsia="Times New Roman" w:hAnsi="Times New Roman"/>
          <w:sz w:val="18"/>
          <w:szCs w:val="18"/>
          <w:color w:val="auto"/>
        </w:rPr>
        <w:t>. The amendments in this Update modify the lease classification requirements for lessors to align them with practice under Topic 840, particularly in the area of day-one loss accounting. Lessors should classify and account for a lease with variable lease payments that do not depend on a reference index or a rate as an operating lease if certain criteria are met. The effective date for this amendment was January 1, 2022. The adoption of this amendment did not have a material impact on our financial statements.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2021, the FASB issued ASU 2021-10 amending </w:t>
      </w:r>
      <w:r>
        <w:rPr>
          <w:rFonts w:ascii="Times New Roman" w:cs="Times New Roman" w:eastAsia="Times New Roman" w:hAnsi="Times New Roman"/>
          <w:sz w:val="18"/>
          <w:szCs w:val="18"/>
          <w:i w:val="1"/>
          <w:iCs w:val="1"/>
          <w:color w:val="auto"/>
        </w:rPr>
        <w:t>Government Assistance: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832)</w:t>
      </w:r>
      <w:r>
        <w:rPr>
          <w:rFonts w:ascii="Times New Roman" w:cs="Times New Roman" w:eastAsia="Times New Roman" w:hAnsi="Times New Roman"/>
          <w:sz w:val="18"/>
          <w:szCs w:val="18"/>
          <w:color w:val="auto"/>
        </w:rPr>
        <w:t>. The FASB issued this Update to increase the transparency of government assistance including the disclosure of (1) the types of assistance, (2) an entity's accounting for the assistance, and (3) the effect of the assistance on an entity's financial statements. The effective date for this amendment was January 1, 2022. The adoption of this amendment did not have a material impact on our financial statements.</w:t>
      </w: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Recent Accounting Standards Not Yet Adopted</w:t>
      </w:r>
    </w:p>
    <w:p>
      <w:pPr>
        <w:spacing w:after="0" w:line="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 xml:space="preserve">In October 2021, the FASB issued ASU 2021-08 amending </w:t>
      </w:r>
      <w:r>
        <w:rPr>
          <w:rFonts w:ascii="Times New Roman" w:cs="Times New Roman" w:eastAsia="Times New Roman" w:hAnsi="Times New Roman"/>
          <w:sz w:val="17"/>
          <w:szCs w:val="17"/>
          <w:i w:val="1"/>
          <w:iCs w:val="1"/>
          <w:color w:val="auto"/>
        </w:rPr>
        <w:t>Business Combination: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Topic 805),</w:t>
      </w:r>
      <w:r>
        <w:rPr>
          <w:rFonts w:ascii="Times New Roman" w:cs="Times New Roman" w:eastAsia="Times New Roman" w:hAnsi="Times New Roman"/>
          <w:sz w:val="17"/>
          <w:szCs w:val="17"/>
          <w:color w:val="auto"/>
        </w:rPr>
        <w:t xml:space="preserve"> which was necessary due to 2014-09, </w:t>
      </w:r>
      <w:r>
        <w:rPr>
          <w:rFonts w:ascii="Times New Roman" w:cs="Times New Roman" w:eastAsia="Times New Roman" w:hAnsi="Times New Roman"/>
          <w:sz w:val="17"/>
          <w:szCs w:val="17"/>
          <w:i w:val="1"/>
          <w:iCs w:val="1"/>
          <w:color w:val="auto"/>
        </w:rPr>
        <w:t>Revenue from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Contracts with Customers (Topic 606). </w:t>
      </w:r>
      <w:r>
        <w:rPr>
          <w:rFonts w:ascii="Times New Roman" w:cs="Times New Roman" w:eastAsia="Times New Roman" w:hAnsi="Times New Roman"/>
          <w:sz w:val="17"/>
          <w:szCs w:val="17"/>
          <w:color w:val="auto"/>
        </w:rPr>
        <w:t>The FASB issued this Update to improve the accounting for acquired revenue contracts with customers in a business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combination by addressing diversity in practice and inconsistency related to (1) recognition of an acquired contract liability and (2) payment terms and their effect on subsequent revenue recognized by the acquirer. The effective date for this amendment is January 1, 2023 and all interim periods thereafter. These amendments are to be applied prospectively to business combinations occurring on or after the effective date of the amendments. We currently plan to apply the practical expedients as needed for any future acquisitions. The practical expedients cover contracts that were modified prior to acquisition date as well as determining which date an acquirer would have to determine the standalone selling price of each performance obligation in an acquired contract.</w:t>
      </w:r>
    </w:p>
    <w:p>
      <w:pPr>
        <w:spacing w:after="0" w:line="19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(EPS):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2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available to common shareholders</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(36,967)</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(33,123)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(36,061)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(20,520)</w:t>
            </w:r>
          </w:p>
        </w:tc>
        <w:tc>
          <w:tcPr>
            <w:tcW w:w="0" w:type="dxa"/>
            <w:vAlign w:val="bottom"/>
          </w:tcPr>
          <w:p>
            <w:pPr>
              <w:spacing w:after="0"/>
              <w:rPr>
                <w:sz w:val="1"/>
                <w:szCs w:val="1"/>
                <w:color w:val="auto"/>
              </w:rPr>
            </w:pPr>
          </w:p>
        </w:tc>
      </w:tr>
      <w:tr>
        <w:trPr>
          <w:trHeight w:val="257"/>
        </w:trPr>
        <w:tc>
          <w:tcPr>
            <w:tcW w:w="4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45,066</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45,142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45,042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43,344</w:t>
            </w:r>
          </w:p>
        </w:tc>
        <w:tc>
          <w:tcPr>
            <w:tcW w:w="0" w:type="dxa"/>
            <w:vAlign w:val="bottom"/>
          </w:tcPr>
          <w:p>
            <w:pPr>
              <w:spacing w:after="0"/>
              <w:rPr>
                <w:sz w:val="1"/>
                <w:szCs w:val="1"/>
                <w:color w:val="auto"/>
              </w:rPr>
            </w:pPr>
          </w:p>
        </w:tc>
      </w:tr>
      <w:tr>
        <w:trPr>
          <w:trHeight w:val="213"/>
        </w:trPr>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Dilutive effect of stock-based awards</w:t>
            </w:r>
          </w:p>
        </w:tc>
        <w:tc>
          <w:tcPr>
            <w:tcW w:w="10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Dilutive effect of convertible notes</w:t>
            </w:r>
          </w:p>
        </w:tc>
        <w:tc>
          <w:tcPr>
            <w:tcW w:w="10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10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45,066</w:t>
            </w:r>
          </w:p>
        </w:tc>
        <w:tc>
          <w:tcPr>
            <w:tcW w:w="10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45,142</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45,042</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43,344</w:t>
            </w:r>
          </w:p>
        </w:tc>
        <w:tc>
          <w:tcPr>
            <w:tcW w:w="0" w:type="dxa"/>
            <w:vAlign w:val="bottom"/>
          </w:tcPr>
          <w:p>
            <w:pPr>
              <w:spacing w:after="0"/>
              <w:rPr>
                <w:sz w:val="1"/>
                <w:szCs w:val="1"/>
                <w:color w:val="auto"/>
              </w:rPr>
            </w:pPr>
          </w:p>
        </w:tc>
      </w:tr>
      <w:tr>
        <w:trPr>
          <w:trHeight w:val="234"/>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common share - Basic</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(0.82)</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(0.47)</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loss per common share - Diluted</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380" w:type="dxa"/>
            <w:vAlign w:val="bottom"/>
            <w:vMerge w:val="continue"/>
          </w:tcPr>
          <w:p>
            <w:pPr>
              <w:spacing w:after="0"/>
              <w:rPr>
                <w:sz w:val="16"/>
                <w:szCs w:val="16"/>
                <w:color w:val="auto"/>
              </w:rPr>
            </w:pP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(0.82)</w:t>
            </w: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(0.73)</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(0.80)</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(0.47)</w:t>
            </w:r>
          </w:p>
        </w:tc>
        <w:tc>
          <w:tcPr>
            <w:tcW w:w="0" w:type="dxa"/>
            <w:vAlign w:val="bottom"/>
          </w:tcPr>
          <w:p>
            <w:pPr>
              <w:spacing w:after="0"/>
              <w:rPr>
                <w:sz w:val="1"/>
                <w:szCs w:val="1"/>
                <w:color w:val="auto"/>
              </w:rPr>
            </w:pPr>
          </w:p>
        </w:tc>
      </w:tr>
      <w:tr>
        <w:trPr>
          <w:trHeight w:val="23"/>
        </w:trPr>
        <w:tc>
          <w:tcPr>
            <w:tcW w:w="43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Stock-based Awards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our common stock at the average market price during the period. Related proceeds include the amount the employee must pay upon exercise and the future compensation cost associated with the stock award. Approximately 0.9 million and 0.8 million stock-based awards were excluded from the calculation of diluted EPS for the three and six months ended June 30, 2022 because they were anti-dilutive. Approximately 0.4 million and 0.5 million stock-based awards were excluded from the calculation of diluted EPS for the three and six months ended June 30, 2021 because they were anti-dilutive. These stock-based awards could be dilutive in future periods.</w:t>
      </w:r>
    </w:p>
    <w:p>
      <w:pPr>
        <w:spacing w:after="0" w:line="2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Convertible Notes and Warrants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our Convertible Notes issued in March 2021, the dilutive effect is calculated using the if-converted method. We are required, pursuant to the indenture governing our Convertible Notes, to settle the principal amount of the Convertible Notes in cash and may elect to settle the remaining conversion obligation (stock price in excess of conversion price) in cash, shares, or a combination thereof. Under the if-converted method, we include the number of shares required to satisfy the remaining conversion obligation, assuming all the Convertible Notes were converted. The average closing prices of our common stock for the quarter ended June 30, 2022 were used as the basis for determining the dilutive effect on EPS. The quarterly average closing prices for our common stock did not exceed the conversion price of $126.00, and therefore all associated shares were anti-dilutive.</w:t>
      </w: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conjunction with the issuance of the Convertible Notes, we sold warrants to purchase 3.7 million shares of Itron common stock. The warrants have a strike price of $180.00 per share. For calculating the dilutive effect of the warrants, we use the treasury stock method. With this method, we assume exercise of the warrants at the beginning of the period, or at time of issuance if later, and the issuance of common stock upon exercise. Proceeds from the exercise of the warrants are assumed to be used to repurchase shares of our stock at the average market price during the period. The incremental shares, representing the number of shares assumed to be exercised with the warrants less the number of shares repurchased, are included in diluted weighted average common shares outstanding. For periods where the warrants strike price of $180.00 per share is greater than the average share price of Itron stock for the period, the warrants would be anti-dilutive. For the three and six months ended June 30, 2022, the quarterly average closing prices of our common stock did not exceed the warrant strike price and therefore 3.7 million shares were considered anti-dilutive.</w:t>
      </w: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Convertible Note Hedge Transactions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issuance of the Convertible Notes, we entered into privately negotiated call option contracts on our common stock (the Convertible Note Hedge Transactions) with certain commercial banks (the Counterparties). The Convertible Note Hedge Transactions cover, subject to anti-dilution adjustments substantially similar to those in the Convertible Notes, approximately 3.7 million shares of our common stock, the same number of shares initially underlying the Convertible Notes, at a strike price of approximately $126.00, subject to customary adjustments. The Convertible Note Hedge Transactions will expire upon the maturity of the Convertible Notes, subject to earlier exercise or termination. Exercise of the Convertible Note Hedge Transactions would reduce the number of shares of our common stock outstanding and therefore would be anti-dilutive.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Certain Balance Sheet Components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accounts receivable from contracts with customers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Accounts receivable, net</w:t>
            </w:r>
          </w:p>
        </w:tc>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9"/>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60" w:type="dxa"/>
            <w:vAlign w:val="bottom"/>
          </w:tcPr>
          <w:p>
            <w:pPr>
              <w:spacing w:after="0"/>
              <w:rPr>
                <w:sz w:val="19"/>
                <w:szCs w:val="19"/>
                <w:color w:val="auto"/>
              </w:rPr>
            </w:pPr>
          </w:p>
        </w:tc>
        <w:tc>
          <w:tcPr>
            <w:tcW w:w="19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60" w:type="dxa"/>
            <w:vAlign w:val="bottom"/>
          </w:tcPr>
          <w:p>
            <w:pPr>
              <w:spacing w:after="0"/>
              <w:rPr>
                <w:sz w:val="19"/>
                <w:szCs w:val="19"/>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3"/>
        </w:trPr>
        <w:tc>
          <w:tcPr>
            <w:tcW w:w="6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receivables (net of allowance of $5,630 and $5,730)</w:t>
            </w: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222,537</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261,124</w:t>
            </w:r>
          </w:p>
        </w:tc>
      </w:tr>
      <w:tr>
        <w:trPr>
          <w:trHeight w:val="213"/>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Unbilled receivables</w:t>
            </w: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37,120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37,335</w:t>
            </w:r>
          </w:p>
        </w:tc>
      </w:tr>
      <w:tr>
        <w:trPr>
          <w:trHeight w:val="237"/>
        </w:trPr>
        <w:tc>
          <w:tcPr>
            <w:tcW w:w="6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accounts receivable, net</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259,657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298,459</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Allowance for credit losses account activity</w:t>
            </w:r>
          </w:p>
        </w:tc>
        <w:tc>
          <w:tcPr>
            <w:tcW w:w="280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Borders>
              <w:bottom w:val="single" w:sz="8" w:color="auto"/>
            </w:tcBorders>
            <w:gridSpan w:val="6"/>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00" w:type="dxa"/>
            <w:vAlign w:val="bottom"/>
          </w:tcPr>
          <w:p>
            <w:pPr>
              <w:ind w:left="6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660"/>
              <w:spacing w:after="0"/>
              <w:rPr>
                <w:sz w:val="20"/>
                <w:szCs w:val="20"/>
                <w:color w:val="auto"/>
              </w:rPr>
            </w:pPr>
            <w:r>
              <w:rPr>
                <w:rFonts w:ascii="Times New Roman" w:cs="Times New Roman" w:eastAsia="Times New Roman" w:hAnsi="Times New Roman"/>
                <w:sz w:val="16"/>
                <w:szCs w:val="16"/>
                <w:b w:val="1"/>
                <w:bCs w:val="1"/>
                <w:color w:val="auto"/>
              </w:rPr>
              <w:t>2021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5,598</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5,730</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w:t>
            </w:r>
          </w:p>
        </w:tc>
        <w:tc>
          <w:tcPr>
            <w:tcW w:w="0" w:type="dxa"/>
            <w:vAlign w:val="bottom"/>
          </w:tcPr>
          <w:p>
            <w:pPr>
              <w:spacing w:after="0"/>
              <w:rPr>
                <w:sz w:val="1"/>
                <w:szCs w:val="1"/>
                <w:color w:val="auto"/>
              </w:rPr>
            </w:pPr>
          </w:p>
        </w:tc>
      </w:tr>
      <w:tr>
        <w:trPr>
          <w:trHeight w:val="213"/>
        </w:trPr>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Provision for (release of) doubtful accounts, net</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recovered (written-off), net</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213"/>
        </w:trPr>
        <w:tc>
          <w:tcPr>
            <w:tcW w:w="43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1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37"/>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5,630</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5,630</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6"/>
                <w:szCs w:val="16"/>
                <w:i w:val="1"/>
                <w:iCs w:val="1"/>
                <w:color w:val="auto"/>
              </w:rPr>
              <w:t>Inventories</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438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0" w:type="dxa"/>
            <w:vAlign w:val="bottom"/>
          </w:tcPr>
          <w:p>
            <w:pPr>
              <w:spacing w:after="0"/>
              <w:rPr>
                <w:sz w:val="1"/>
                <w:szCs w:val="1"/>
                <w:color w:val="auto"/>
              </w:rPr>
            </w:pPr>
          </w:p>
        </w:tc>
      </w:tr>
      <w:tr>
        <w:trPr>
          <w:trHeight w:val="21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w:t>
            </w: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138,519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122,434</w:t>
            </w:r>
          </w:p>
        </w:tc>
        <w:tc>
          <w:tcPr>
            <w:tcW w:w="0" w:type="dxa"/>
            <w:vAlign w:val="bottom"/>
          </w:tcPr>
          <w:p>
            <w:pPr>
              <w:spacing w:after="0"/>
              <w:rPr>
                <w:sz w:val="1"/>
                <w:szCs w:val="1"/>
                <w:color w:val="auto"/>
              </w:rPr>
            </w:pPr>
          </w:p>
        </w:tc>
      </w:tr>
      <w:tr>
        <w:trPr>
          <w:trHeight w:val="213"/>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 in process</w:t>
            </w: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7,856</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29,731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35,509</w:t>
            </w:r>
          </w:p>
        </w:tc>
        <w:tc>
          <w:tcPr>
            <w:tcW w:w="0" w:type="dxa"/>
            <w:vAlign w:val="bottom"/>
          </w:tcPr>
          <w:p>
            <w:pPr>
              <w:spacing w:after="0"/>
              <w:rPr>
                <w:sz w:val="1"/>
                <w:szCs w:val="1"/>
                <w:color w:val="auto"/>
              </w:rPr>
            </w:pPr>
          </w:p>
        </w:tc>
      </w:tr>
      <w:tr>
        <w:trPr>
          <w:trHeight w:val="210"/>
        </w:trPr>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inventories</w:t>
            </w: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174,522</w:t>
            </w:r>
          </w:p>
        </w:tc>
        <w:tc>
          <w:tcPr>
            <w:tcW w:w="120" w:type="dxa"/>
            <w:vAlign w:val="bottom"/>
          </w:tcPr>
          <w:p>
            <w:pPr>
              <w:spacing w:after="0"/>
              <w:rPr>
                <w:sz w:val="18"/>
                <w:szCs w:val="18"/>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165,799</w:t>
            </w:r>
          </w:p>
        </w:tc>
        <w:tc>
          <w:tcPr>
            <w:tcW w:w="0" w:type="dxa"/>
            <w:vAlign w:val="bottom"/>
          </w:tcPr>
          <w:p>
            <w:pPr>
              <w:spacing w:after="0"/>
              <w:rPr>
                <w:sz w:val="1"/>
                <w:szCs w:val="1"/>
                <w:color w:val="auto"/>
              </w:rPr>
            </w:pPr>
          </w:p>
        </w:tc>
      </w:tr>
      <w:tr>
        <w:trPr>
          <w:trHeight w:val="20"/>
        </w:trPr>
        <w:tc>
          <w:tcPr>
            <w:tcW w:w="4380" w:type="dxa"/>
            <w:vAlign w:val="bottom"/>
            <w:vMerge w:val="restart"/>
          </w:tcPr>
          <w:p>
            <w:pPr>
              <w:ind w:left="240"/>
              <w:spacing w:after="0"/>
              <w:rPr>
                <w:sz w:val="20"/>
                <w:szCs w:val="20"/>
                <w:color w:val="auto"/>
              </w:rPr>
            </w:pPr>
            <w:r>
              <w:rPr>
                <w:rFonts w:ascii="Times New Roman" w:cs="Times New Roman" w:eastAsia="Times New Roman" w:hAnsi="Times New Roman"/>
                <w:sz w:val="16"/>
                <w:szCs w:val="16"/>
                <w:i w:val="1"/>
                <w:iCs w:val="1"/>
                <w:color w:val="auto"/>
              </w:rPr>
              <w:t>Property, plant, and equipment, net</w:t>
            </w:r>
          </w:p>
        </w:tc>
        <w:tc>
          <w:tcPr>
            <w:tcW w:w="1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7"/>
        </w:trPr>
        <w:tc>
          <w:tcPr>
            <w:tcW w:w="438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0" w:type="dxa"/>
            <w:vAlign w:val="bottom"/>
          </w:tcPr>
          <w:p>
            <w:pPr>
              <w:spacing w:after="0"/>
              <w:rPr>
                <w:sz w:val="1"/>
                <w:szCs w:val="1"/>
                <w:color w:val="auto"/>
              </w:rPr>
            </w:pPr>
          </w:p>
        </w:tc>
      </w:tr>
      <w:tr>
        <w:trPr>
          <w:trHeight w:val="21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and equipment</w:t>
            </w: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299,761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314,502</w:t>
            </w:r>
          </w:p>
        </w:tc>
        <w:tc>
          <w:tcPr>
            <w:tcW w:w="0" w:type="dxa"/>
            <w:vAlign w:val="bottom"/>
          </w:tcPr>
          <w:p>
            <w:pPr>
              <w:spacing w:after="0"/>
              <w:rPr>
                <w:sz w:val="1"/>
                <w:szCs w:val="1"/>
                <w:color w:val="auto"/>
              </w:rPr>
            </w:pPr>
          </w:p>
        </w:tc>
      </w:tr>
      <w:tr>
        <w:trPr>
          <w:trHeight w:val="213"/>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Computers and software</w:t>
            </w: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112,470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111,540</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Buildings, furniture, and improvements</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134,272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131,764</w:t>
            </w:r>
          </w:p>
        </w:tc>
        <w:tc>
          <w:tcPr>
            <w:tcW w:w="0" w:type="dxa"/>
            <w:vAlign w:val="bottom"/>
          </w:tcPr>
          <w:p>
            <w:pPr>
              <w:spacing w:after="0"/>
              <w:rPr>
                <w:sz w:val="1"/>
                <w:szCs w:val="1"/>
                <w:color w:val="auto"/>
              </w:rPr>
            </w:pPr>
          </w:p>
        </w:tc>
      </w:tr>
      <w:tr>
        <w:trPr>
          <w:trHeight w:val="213"/>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8,952</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 in progress, including purchased equipment</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39,527</w:t>
            </w:r>
          </w:p>
        </w:tc>
        <w:tc>
          <w:tcPr>
            <w:tcW w:w="0" w:type="dxa"/>
            <w:vAlign w:val="bottom"/>
          </w:tcPr>
          <w:p>
            <w:pPr>
              <w:spacing w:after="0"/>
              <w:rPr>
                <w:sz w:val="1"/>
                <w:szCs w:val="1"/>
                <w:color w:val="auto"/>
              </w:rPr>
            </w:pPr>
          </w:p>
        </w:tc>
      </w:tr>
      <w:tr>
        <w:trPr>
          <w:trHeight w:val="207"/>
        </w:trPr>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cost</w:t>
            </w: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586,605</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606,285</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Accumulated depreciation</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(435,942)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(443,101)</w:t>
            </w:r>
          </w:p>
        </w:tc>
        <w:tc>
          <w:tcPr>
            <w:tcW w:w="0" w:type="dxa"/>
            <w:vAlign w:val="bottom"/>
          </w:tcPr>
          <w:p>
            <w:pPr>
              <w:spacing w:after="0"/>
              <w:rPr>
                <w:sz w:val="1"/>
                <w:szCs w:val="1"/>
                <w:color w:val="auto"/>
              </w:rPr>
            </w:pPr>
          </w:p>
        </w:tc>
      </w:tr>
      <w:tr>
        <w:trPr>
          <w:trHeight w:val="210"/>
        </w:trPr>
        <w:tc>
          <w:tcPr>
            <w:tcW w:w="43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150,663</w:t>
            </w:r>
          </w:p>
        </w:tc>
        <w:tc>
          <w:tcPr>
            <w:tcW w:w="120" w:type="dxa"/>
            <w:vAlign w:val="bottom"/>
          </w:tcPr>
          <w:p>
            <w:pPr>
              <w:spacing w:after="0"/>
              <w:rPr>
                <w:sz w:val="18"/>
                <w:szCs w:val="18"/>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163,184</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gridSpan w:val="4"/>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438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Depreciation expense</w:t>
            </w:r>
          </w:p>
        </w:tc>
        <w:tc>
          <w:tcPr>
            <w:tcW w:w="280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tcBorders>
              <w:bottom w:val="single" w:sz="8" w:color="auto"/>
            </w:tcBorders>
            <w:gridSpan w:val="6"/>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00" w:type="dxa"/>
            <w:vAlign w:val="bottom"/>
          </w:tcPr>
          <w:p>
            <w:pPr>
              <w:ind w:left="6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660"/>
              <w:spacing w:after="0"/>
              <w:rPr>
                <w:sz w:val="20"/>
                <w:szCs w:val="20"/>
                <w:color w:val="auto"/>
              </w:rPr>
            </w:pPr>
            <w:r>
              <w:rPr>
                <w:rFonts w:ascii="Times New Roman" w:cs="Times New Roman" w:eastAsia="Times New Roman" w:hAnsi="Times New Roman"/>
                <w:sz w:val="16"/>
                <w:szCs w:val="16"/>
                <w:b w:val="1"/>
                <w:bCs w:val="1"/>
                <w:color w:val="auto"/>
              </w:rPr>
              <w:t>2021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expense</w:t>
            </w:r>
          </w:p>
        </w:tc>
        <w:tc>
          <w:tcPr>
            <w:tcW w:w="1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9,929</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12,112</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20,213</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Intangible Assets and Liabilities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carrying amount and accumulated amortization (accretion) of our intangible assets and liabilities, other than goodwill,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4"/>
                <w:szCs w:val="14"/>
                <w:color w:val="auto"/>
              </w:rPr>
            </w:pPr>
          </w:p>
        </w:tc>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(Amortization)</w:t>
            </w:r>
          </w:p>
        </w:tc>
        <w:tc>
          <w:tcPr>
            <w:tcW w:w="280" w:type="dxa"/>
            <w:vAlign w:val="bottom"/>
          </w:tcPr>
          <w:p>
            <w:pPr>
              <w:spacing w:after="0"/>
              <w:rPr>
                <w:sz w:val="14"/>
                <w:szCs w:val="14"/>
                <w:color w:val="auto"/>
              </w:rPr>
            </w:pPr>
          </w:p>
        </w:tc>
        <w:tc>
          <w:tcPr>
            <w:tcW w:w="1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Net</w:t>
            </w:r>
          </w:p>
        </w:tc>
        <w:tc>
          <w:tcPr>
            <w:tcW w:w="260" w:type="dxa"/>
            <w:vAlign w:val="bottom"/>
          </w:tcPr>
          <w:p>
            <w:pPr>
              <w:spacing w:after="0"/>
              <w:rPr>
                <w:sz w:val="14"/>
                <w:szCs w:val="14"/>
                <w:color w:val="auto"/>
              </w:rPr>
            </w:pP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60" w:type="dxa"/>
            <w:vAlign w:val="bottom"/>
          </w:tcPr>
          <w:p>
            <w:pPr>
              <w:spacing w:after="0"/>
              <w:rPr>
                <w:sz w:val="14"/>
                <w:szCs w:val="14"/>
                <w:color w:val="auto"/>
              </w:rPr>
            </w:pPr>
          </w:p>
        </w:tc>
        <w:tc>
          <w:tcPr>
            <w:tcW w:w="13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(Amortization)</w:t>
            </w:r>
          </w:p>
        </w:tc>
        <w:tc>
          <w:tcPr>
            <w:tcW w:w="300" w:type="dxa"/>
            <w:vAlign w:val="bottom"/>
          </w:tcPr>
          <w:p>
            <w:pPr>
              <w:spacing w:after="0"/>
              <w:rPr>
                <w:sz w:val="14"/>
                <w:szCs w:val="14"/>
                <w:color w:val="auto"/>
              </w:rPr>
            </w:pPr>
          </w:p>
        </w:tc>
        <w:tc>
          <w:tcPr>
            <w:tcW w:w="90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30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Accretion</w:t>
            </w:r>
          </w:p>
        </w:tc>
        <w:tc>
          <w:tcPr>
            <w:tcW w:w="2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Accretion</w:t>
            </w:r>
          </w:p>
        </w:tc>
        <w:tc>
          <w:tcPr>
            <w:tcW w:w="3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Intangible Assets</w:t>
            </w: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Core-developed technology</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499,042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(489,108)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505,429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(491,047)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14,382</w:t>
            </w:r>
          </w:p>
        </w:tc>
        <w:tc>
          <w:tcPr>
            <w:tcW w:w="0" w:type="dxa"/>
            <w:vAlign w:val="bottom"/>
          </w:tcPr>
          <w:p>
            <w:pPr>
              <w:spacing w:after="0"/>
              <w:rPr>
                <w:sz w:val="1"/>
                <w:szCs w:val="1"/>
                <w:color w:val="auto"/>
              </w:rPr>
            </w:pPr>
          </w:p>
        </w:tc>
      </w:tr>
      <w:tr>
        <w:trPr>
          <w:trHeight w:val="213"/>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contracts and relationships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322,882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(257,302)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336,421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(261,043)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75,378</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Trademarks and trade names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(69,938)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2,418</w:t>
            </w:r>
          </w:p>
        </w:tc>
        <w:tc>
          <w:tcPr>
            <w:tcW w:w="0" w:type="dxa"/>
            <w:vAlign w:val="bottom"/>
          </w:tcPr>
          <w:p>
            <w:pPr>
              <w:spacing w:after="0"/>
              <w:rPr>
                <w:sz w:val="1"/>
                <w:szCs w:val="1"/>
                <w:color w:val="auto"/>
              </w:rPr>
            </w:pPr>
          </w:p>
        </w:tc>
      </w:tr>
      <w:tr>
        <w:trPr>
          <w:trHeight w:val="213"/>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12,017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(11,738)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12,021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(11,670)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0" w:type="dxa"/>
            <w:vAlign w:val="bottom"/>
          </w:tcPr>
          <w:p>
            <w:pPr>
              <w:spacing w:after="0"/>
              <w:rPr>
                <w:sz w:val="1"/>
                <w:szCs w:val="1"/>
                <w:color w:val="auto"/>
              </w:rPr>
            </w:pPr>
          </w:p>
        </w:tc>
      </w:tr>
      <w:tr>
        <w:trPr>
          <w:trHeight w:val="237"/>
        </w:trPr>
        <w:tc>
          <w:tcPr>
            <w:tcW w:w="3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intangible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906,116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(828,086)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78,030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928,422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(835,893)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92,529</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Intangible Liabilities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contracts and relationships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(23,900)</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23,670</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(23,900)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23,441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0" w:type="dxa"/>
            <w:vAlign w:val="bottom"/>
          </w:tcPr>
          <w:p>
            <w:pPr>
              <w:spacing w:after="0"/>
              <w:rPr>
                <w:sz w:val="1"/>
                <w:szCs w:val="1"/>
                <w:color w:val="auto"/>
              </w:rPr>
            </w:pPr>
          </w:p>
        </w:tc>
      </w:tr>
      <w:tr>
        <w:trPr>
          <w:trHeight w:val="21"/>
        </w:trPr>
        <w:tc>
          <w:tcPr>
            <w:tcW w:w="3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intangible assets and liabilities activity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280" w:type="dxa"/>
            <w:vAlign w:val="bottom"/>
            <w:tcBorders>
              <w:bottom w:val="single" w:sz="8" w:color="auto"/>
            </w:tcBorders>
          </w:tcPr>
          <w:p>
            <w:pPr>
              <w:spacing w:after="0"/>
              <w:rPr>
                <w:sz w:val="18"/>
                <w:szCs w:val="18"/>
                <w:color w:val="auto"/>
              </w:rPr>
            </w:pPr>
          </w:p>
        </w:tc>
      </w:tr>
      <w:tr>
        <w:trPr>
          <w:trHeight w:val="214"/>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21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gross beginning balance</w:t>
            </w: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928,422</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1,000,037</w:t>
            </w:r>
          </w:p>
        </w:tc>
      </w:tr>
      <w:tr>
        <w:trPr>
          <w:trHeight w:val="213"/>
        </w:trPr>
        <w:tc>
          <w:tcPr>
            <w:tcW w:w="6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(22,306)</w:t>
            </w: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(9,082)</w:t>
            </w:r>
          </w:p>
        </w:tc>
      </w:tr>
      <w:tr>
        <w:trPr>
          <w:trHeight w:val="234"/>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gross ending balance</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906,116</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990,955</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6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liabilities, gross beginning balance</w:t>
            </w: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(23,900)</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(23,900)</w:t>
            </w:r>
          </w:p>
        </w:tc>
      </w:tr>
      <w:tr>
        <w:trPr>
          <w:trHeight w:val="213"/>
        </w:trPr>
        <w:tc>
          <w:tcPr>
            <w:tcW w:w="6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52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5"/>
        </w:trPr>
        <w:tc>
          <w:tcPr>
            <w:tcW w:w="6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liabilities, gross ending balance</w:t>
            </w:r>
          </w:p>
        </w:tc>
        <w:tc>
          <w:tcPr>
            <w:tcW w:w="52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(23,900)</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Assumed intangible liabilities reflect the present value of the projected cash outflows for an existing contract where remaining costs are expected to exceed projected revenues.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future annual amortization (accretion) is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240" w:type="dxa"/>
            <w:vAlign w:val="bottom"/>
          </w:tcPr>
          <w:p>
            <w:pPr>
              <w:spacing w:after="0"/>
              <w:rPr>
                <w:sz w:val="16"/>
                <w:szCs w:val="16"/>
                <w:color w:val="auto"/>
              </w:rPr>
            </w:pPr>
          </w:p>
        </w:tc>
        <w:tc>
          <w:tcPr>
            <w:tcW w:w="15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00" w:type="dxa"/>
            <w:vAlign w:val="bottom"/>
          </w:tcPr>
          <w:p>
            <w:pPr>
              <w:spacing w:after="0"/>
              <w:rPr>
                <w:sz w:val="16"/>
                <w:szCs w:val="16"/>
                <w:color w:val="auto"/>
              </w:rPr>
            </w:pPr>
          </w:p>
        </w:tc>
        <w:tc>
          <w:tcPr>
            <w:tcW w:w="14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Accretion</w:t>
            </w:r>
          </w:p>
        </w:tc>
        <w:tc>
          <w:tcPr>
            <w:tcW w:w="140" w:type="dxa"/>
            <w:vAlign w:val="bottom"/>
          </w:tcPr>
          <w:p>
            <w:pPr>
              <w:spacing w:after="0"/>
              <w:rPr>
                <w:sz w:val="16"/>
                <w:szCs w:val="16"/>
                <w:color w:val="auto"/>
              </w:rPr>
            </w:pPr>
          </w:p>
        </w:tc>
        <w:tc>
          <w:tcPr>
            <w:tcW w:w="15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Estimated Annual</w:t>
            </w:r>
          </w:p>
        </w:tc>
        <w:tc>
          <w:tcPr>
            <w:tcW w:w="0" w:type="dxa"/>
            <w:vAlign w:val="bottom"/>
          </w:tcPr>
          <w:p>
            <w:pPr>
              <w:spacing w:after="0"/>
              <w:rPr>
                <w:sz w:val="1"/>
                <w:szCs w:val="1"/>
                <w:color w:val="auto"/>
              </w:rPr>
            </w:pPr>
          </w:p>
        </w:tc>
      </w:tr>
      <w:tr>
        <w:trPr>
          <w:trHeight w:val="214"/>
        </w:trPr>
        <w:tc>
          <w:tcPr>
            <w:tcW w:w="608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Amortization, net</w:t>
            </w:r>
          </w:p>
        </w:tc>
        <w:tc>
          <w:tcPr>
            <w:tcW w:w="0" w:type="dxa"/>
            <w:vAlign w:val="bottom"/>
          </w:tcPr>
          <w:p>
            <w:pPr>
              <w:spacing w:after="0"/>
              <w:rPr>
                <w:sz w:val="1"/>
                <w:szCs w:val="1"/>
                <w:color w:val="auto"/>
              </w:rPr>
            </w:pPr>
          </w:p>
        </w:tc>
      </w:tr>
      <w:tr>
        <w:trPr>
          <w:trHeight w:val="210"/>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 (amount remaining at June 30, 2022)</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12,910</w:t>
            </w:r>
          </w:p>
        </w:tc>
        <w:tc>
          <w:tcPr>
            <w:tcW w:w="0" w:type="dxa"/>
            <w:vAlign w:val="bottom"/>
          </w:tcPr>
          <w:p>
            <w:pPr>
              <w:spacing w:after="0"/>
              <w:rPr>
                <w:sz w:val="1"/>
                <w:szCs w:val="1"/>
                <w:color w:val="auto"/>
              </w:rPr>
            </w:pPr>
          </w:p>
        </w:tc>
      </w:tr>
      <w:tr>
        <w:trPr>
          <w:trHeight w:val="21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18,967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18,967</w:t>
            </w: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15,032</w:t>
            </w:r>
          </w:p>
        </w:tc>
        <w:tc>
          <w:tcPr>
            <w:tcW w:w="0" w:type="dxa"/>
            <w:vAlign w:val="bottom"/>
          </w:tcPr>
          <w:p>
            <w:pPr>
              <w:spacing w:after="0"/>
              <w:rPr>
                <w:sz w:val="1"/>
                <w:szCs w:val="1"/>
                <w:color w:val="auto"/>
              </w:rPr>
            </w:pPr>
          </w:p>
        </w:tc>
      </w:tr>
      <w:tr>
        <w:trPr>
          <w:trHeight w:val="21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14,300</w:t>
            </w: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10,303</w:t>
            </w:r>
          </w:p>
        </w:tc>
        <w:tc>
          <w:tcPr>
            <w:tcW w:w="0" w:type="dxa"/>
            <w:vAlign w:val="bottom"/>
          </w:tcPr>
          <w:p>
            <w:pPr>
              <w:spacing w:after="0"/>
              <w:rPr>
                <w:sz w:val="1"/>
                <w:szCs w:val="1"/>
                <w:color w:val="auto"/>
              </w:rPr>
            </w:pPr>
          </w:p>
        </w:tc>
      </w:tr>
      <w:tr>
        <w:trPr>
          <w:trHeight w:val="21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6,288</w:t>
            </w:r>
          </w:p>
        </w:tc>
        <w:tc>
          <w:tcPr>
            <w:tcW w:w="0" w:type="dxa"/>
            <w:vAlign w:val="bottom"/>
          </w:tcPr>
          <w:p>
            <w:pPr>
              <w:spacing w:after="0"/>
              <w:rPr>
                <w:sz w:val="1"/>
                <w:szCs w:val="1"/>
                <w:color w:val="auto"/>
              </w:rPr>
            </w:pPr>
          </w:p>
        </w:tc>
      </w:tr>
      <w:tr>
        <w:trPr>
          <w:trHeight w:val="234"/>
        </w:trPr>
        <w:tc>
          <w:tcPr>
            <w:tcW w:w="60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intangible assets subject to amortization (accretion)</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78,030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77,800</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Goodwill</w:t>
      </w: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reflects changes in the carrying amount of goodwill for the six months ended June 30, 2022:</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8"/>
                <w:szCs w:val="18"/>
                <w:color w:val="auto"/>
              </w:rPr>
            </w:pPr>
          </w:p>
        </w:tc>
        <w:tc>
          <w:tcPr>
            <w:tcW w:w="17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Device Solutions</w:t>
            </w:r>
          </w:p>
        </w:tc>
        <w:tc>
          <w:tcPr>
            <w:tcW w:w="160" w:type="dxa"/>
            <w:vAlign w:val="bottom"/>
          </w:tcPr>
          <w:p>
            <w:pPr>
              <w:spacing w:after="0"/>
              <w:rPr>
                <w:sz w:val="18"/>
                <w:szCs w:val="18"/>
                <w:color w:val="auto"/>
              </w:rPr>
            </w:pPr>
          </w:p>
        </w:tc>
        <w:tc>
          <w:tcPr>
            <w:tcW w:w="18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Networked Solutions</w:t>
            </w:r>
          </w:p>
        </w:tc>
        <w:tc>
          <w:tcPr>
            <w:tcW w:w="340" w:type="dxa"/>
            <w:vAlign w:val="bottom"/>
          </w:tcPr>
          <w:p>
            <w:pPr>
              <w:spacing w:after="0"/>
              <w:rPr>
                <w:sz w:val="18"/>
                <w:szCs w:val="18"/>
                <w:color w:val="auto"/>
              </w:rPr>
            </w:pPr>
          </w:p>
        </w:tc>
        <w:tc>
          <w:tcPr>
            <w:tcW w:w="16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Outcomes</w:t>
            </w:r>
          </w:p>
        </w:tc>
        <w:tc>
          <w:tcPr>
            <w:tcW w:w="260" w:type="dxa"/>
            <w:vAlign w:val="bottom"/>
          </w:tcPr>
          <w:p>
            <w:pPr>
              <w:spacing w:after="0"/>
              <w:rPr>
                <w:sz w:val="18"/>
                <w:szCs w:val="18"/>
                <w:color w:val="auto"/>
              </w:rPr>
            </w:pPr>
          </w:p>
        </w:tc>
        <w:tc>
          <w:tcPr>
            <w:tcW w:w="16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 Company</w:t>
            </w:r>
          </w:p>
        </w:tc>
      </w:tr>
      <w:tr>
        <w:trPr>
          <w:trHeight w:val="213"/>
        </w:trPr>
        <w:tc>
          <w:tcPr>
            <w:tcW w:w="3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balance at January 1, 2022</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39,377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918,005</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141,593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1,098,975</w:t>
            </w:r>
          </w:p>
        </w:tc>
      </w:tr>
      <w:tr>
        <w:trPr>
          <w:trHeight w:val="213"/>
        </w:trPr>
        <w:tc>
          <w:tcPr>
            <w:tcW w:w="3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Adjustment to goodwill acquired</w:t>
            </w:r>
          </w:p>
        </w:tc>
        <w:tc>
          <w:tcPr>
            <w:tcW w:w="24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9"/>
        </w:trPr>
        <w:tc>
          <w:tcPr>
            <w:tcW w:w="3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Goodwill impairment</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(38,480)</w:t>
            </w:r>
          </w:p>
        </w:tc>
      </w:tr>
      <w:tr>
        <w:trPr>
          <w:trHeight w:val="213"/>
        </w:trPr>
        <w:tc>
          <w:tcPr>
            <w:tcW w:w="3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(20,318)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(24,312)</w:t>
            </w:r>
          </w:p>
        </w:tc>
      </w:tr>
      <w:tr>
        <w:trPr>
          <w:trHeight w:val="235"/>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balance at June 30, 2022</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897,664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138,496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1,036,160</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On October 12, 2021, we acquired SELC Group Limited (SELC), from Sensus Metering Systems (LUXCO3) S.ár.l. During the six months ended June 30, 2022, an adjustment was recorded to the goodwill acquired.</w:t>
      </w:r>
    </w:p>
    <w:p>
      <w:pPr>
        <w:spacing w:after="0" w:line="189"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As the result of increases in raw material, component, labor and other costs, coupled with a decrease in forecasted revenue within the Device Solutions operating segment and reporting unit, which we determined during the second quarter of 2022, we performed an interim goodwill impairment test. At the conclusion of the test, a goodwill impairment of $38.5 million was recognized in our Corporate unallocated segment as of June 30, 2022. No interim impairment test was determined to be necessary for the Networked Solutions or Outcomes reporting units. Refer to Note 1: Summary of Significant Accounting Policies in Part II, Item 8: Financial Statements and Supplementary Data of our Annual Report on Form 10-K for the fiscal year ended December 31, 2021 for a description of our reporting units and our method used to determine the fair values of our reporting units and to determine the amount of any goodwill impairment.</w:t>
      </w:r>
    </w:p>
    <w:p>
      <w:pPr>
        <w:spacing w:after="0" w:line="212"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Note 6:</w:t>
        <w:tab/>
        <w:t>Debt</w:t>
      </w: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components of our borrowings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7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60" w:type="dxa"/>
            <w:vAlign w:val="bottom"/>
          </w:tcPr>
          <w:p>
            <w:pPr>
              <w:spacing w:after="0"/>
              <w:rPr>
                <w:sz w:val="18"/>
                <w:szCs w:val="18"/>
                <w:color w:val="auto"/>
              </w:rPr>
            </w:pPr>
          </w:p>
        </w:tc>
        <w:tc>
          <w:tcPr>
            <w:tcW w:w="19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0"/>
        </w:trPr>
        <w:tc>
          <w:tcPr>
            <w:tcW w:w="20" w:type="dxa"/>
            <w:vAlign w:val="bottom"/>
          </w:tcPr>
          <w:p>
            <w:pPr>
              <w:spacing w:after="0"/>
              <w:rPr>
                <w:sz w:val="18"/>
                <w:szCs w:val="18"/>
                <w:color w:val="auto"/>
              </w:rPr>
            </w:pPr>
          </w:p>
        </w:tc>
        <w:tc>
          <w:tcPr>
            <w:tcW w:w="6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Credit facility</w:t>
            </w:r>
          </w:p>
        </w:tc>
        <w:tc>
          <w:tcPr>
            <w:tcW w:w="36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Multicurrency revolving line of credit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Convertible notes</w:t>
            </w: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460,000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460,000</w:t>
            </w:r>
          </w:p>
        </w:tc>
      </w:tr>
      <w:tr>
        <w:trPr>
          <w:trHeight w:val="212"/>
        </w:trPr>
        <w:tc>
          <w:tcPr>
            <w:tcW w:w="20" w:type="dxa"/>
            <w:vAlign w:val="bottom"/>
          </w:tcPr>
          <w:p>
            <w:pPr>
              <w:spacing w:after="0"/>
              <w:rPr>
                <w:sz w:val="18"/>
                <w:szCs w:val="18"/>
                <w:color w:val="auto"/>
              </w:rPr>
            </w:pPr>
          </w:p>
        </w:tc>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debt</w:t>
            </w: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460,000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460,000</w:t>
            </w:r>
          </w:p>
        </w:tc>
      </w:tr>
      <w:tr>
        <w:trPr>
          <w:trHeight w:val="213"/>
        </w:trPr>
        <w:tc>
          <w:tcPr>
            <w:tcW w:w="20" w:type="dxa"/>
            <w:vAlign w:val="bottom"/>
          </w:tcPr>
          <w:p>
            <w:pPr>
              <w:spacing w:after="0"/>
              <w:rPr>
                <w:sz w:val="18"/>
                <w:szCs w:val="18"/>
                <w:color w:val="auto"/>
              </w:rPr>
            </w:pPr>
          </w:p>
        </w:tc>
        <w:tc>
          <w:tcPr>
            <w:tcW w:w="676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Less: unamortized prepaid debt fees - convertible notes</w:t>
            </w: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8,631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9,772</w:t>
            </w:r>
          </w:p>
        </w:tc>
      </w:tr>
      <w:tr>
        <w:trPr>
          <w:trHeight w:val="235"/>
        </w:trPr>
        <w:tc>
          <w:tcPr>
            <w:tcW w:w="20" w:type="dxa"/>
            <w:vAlign w:val="bottom"/>
          </w:tcPr>
          <w:p>
            <w:pPr>
              <w:spacing w:after="0"/>
              <w:rPr>
                <w:sz w:val="19"/>
                <w:szCs w:val="19"/>
                <w:color w:val="auto"/>
              </w:rPr>
            </w:pPr>
          </w:p>
        </w:tc>
        <w:tc>
          <w:tcPr>
            <w:tcW w:w="6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Long-term debt, net</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451,369</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450,228</w:t>
            </w:r>
          </w:p>
        </w:tc>
      </w:tr>
      <w:tr>
        <w:trPr>
          <w:trHeight w:val="20"/>
        </w:trPr>
        <w:tc>
          <w:tcPr>
            <w:tcW w:w="20" w:type="dxa"/>
            <w:vAlign w:val="bottom"/>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9" w:lineRule="exact"/>
        <w:rPr>
          <w:sz w:val="20"/>
          <w:szCs w:val="20"/>
          <w:color w:val="auto"/>
        </w:rPr>
      </w:pPr>
    </w:p>
    <w:p>
      <w:pPr>
        <w:jc w:val="both"/>
        <w:ind w:left="20"/>
        <w:spacing w:after="0" w:line="251" w:lineRule="auto"/>
        <w:rPr>
          <w:sz w:val="20"/>
          <w:szCs w:val="20"/>
          <w:color w:val="auto"/>
        </w:rPr>
      </w:pPr>
      <w:r>
        <w:rPr>
          <w:rFonts w:ascii="Times New Roman" w:cs="Times New Roman" w:eastAsia="Times New Roman" w:hAnsi="Times New Roman"/>
          <w:sz w:val="18"/>
          <w:szCs w:val="18"/>
          <w:color w:val="auto"/>
        </w:rPr>
        <w:t>On October 18, 2019, we amended our credit facility that was initially entered on January 5, 2018 (as amended the 2018 credit facility). The 2018 credit facility provides for committed credit facilities in the amount of $1.2 billion U.S. dollars. The 2018 credit facility consists of a $650 million U.S. dollar term loan (the term loan) and a multicurrency revolving line of credit (the revolver) with a principal amount of up to $500 million. The revolver also contains a $300 million standby letter of credit sub-facility and a $50 million swingline sub-facility. The October 18, 2019 amendment extended the maturity date to October 18, 2024 and re-amortized the term loan based on the new balance as of the amendment date. The amendment also modified the required interest payments and made it based on total net leverage instead of total leverage. Through the third quarter of 2020, amounts not borrowed under the revolver were subject to a commitment fee, which was paid in arrears on the last day of each fiscal quarter, ranging from 0.15% to 0.25% and drawn amounts were subject to a margin ranging from 1.00% to 1.75%.</w:t>
      </w:r>
    </w:p>
    <w:p>
      <w:pPr>
        <w:spacing w:after="0" w:line="221"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On October 19, 2020, we completed a second amendment to our 2018 credit facility. This amendment adjusts the maximum total net leverage ratio thresholds for the period beginning with the fourth quarter of 2020 through the fourth quarter of 2021 to allow for increased operational flexibility. The maximum leverage ratio is increased to 4.75:1 for the fourth quarter of 2020 and the first quarter of 2021 and 4.50:1 for the second quarter through the fourth quarter of 2021. An additional level of pricing was added to the existing pricing grid and is effective throughout the remaining term of the 2018 credit facility. Beginning with the fourth quarter of 2020, the commitment fee ranges from 0.15% to 0.30% and drawn amounts are subject to a margin ranging from 1.00% to 2.00%. Debt fees of approximately $1.4 million were incurred for the amendment, as well as other legal and advisory fees. Both the term loan and the revolver can be repaid without penalty. Amounts repaid on the term loan may not be reborrowed, and amounts borrowed under the revolver may be repaid and reborrowed until the revolver's maturity, at which time all outstanding loans together with all accrued and unpaid interest must be repaid.</w:t>
      </w:r>
    </w:p>
    <w:p>
      <w:pPr>
        <w:sectPr>
          <w:pgSz w:w="11900" w:h="16838" w:orient="portrait"/>
          <w:cols w:equalWidth="0" w:num="1">
            <w:col w:w="11260"/>
          </w:cols>
          <w:pgMar w:left="30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8, 2021, we entered into a third amendment to our 2018 credit facility, which modified provisions to permit cash settlement upon the conversion of the Convertible Notes, the Convertible Note Hedge Transactions and Warrant Transactions and also to adjust certain settlement provisions for convertible indebtedness. Refer to Note 7: Derivative Financial Instruments for further details of the Convertible Note Hedge Transactions and Warrant Transactions.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25, 2022, we entered into a fourth amendment to our 2018 credit facility, which modifies to allow for the addback of non-cash expenses related to restructuring charges incurred during the quarter ended December 31, 2021 and also adjusts the maximum total net leverage ratio thresholds for the period beginning with the first quarter of 2022 through the fourth quarter of 2022 to allow for increased operational flexibility. The maximum leverage ratio is increased to 4.75:1 for the first through third quarters of 2022 and 4.50:1 for the fourth quarter of 2022.</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2018 credit facility permits us and certain of our foreign subsidiaries to borrow in U.S. dollars, euros, or, with lender approval, other currencies readily convertible into U.S. dollars. All obligations under the 2018 credit facility are guaranteed by Itron, Inc. and material U.S. domestic subsidiaries and are secured by a pledge of substantially all of the assets of Itron, Inc. and material U.S. domestic subsidiaries. This includes a pledge of 100% of the capital stock of material U.S. domestic subsidiaries and up to 66% of the voting stock (100% of the non-voting stock) of first-tier foreign subsidiaries. In addition, the obligations of any foreign subsidiary who is a foreign borrower, as defined by the 2018 credit facility, are guaranteed by the foreign subsidiary and by its direct and indirect foreign parents. The 2018 credit facility includes debt covenants, which contain certain financial thresholds and place certain restrictions on the incurrence of debt, investments, and the issuance of dividends. We were in compliance with the debt covenants under the 2018 credit facility at June 30, 2022.</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2018 credit facility, we elect applicable market interest rates for both the term loan and any outstanding revolving loans. We also pay an applicable margin, which is based on our total net leverage ratio as defined in the credit agreement. The applicable rates per annum may be based on either:</w:t>
      </w:r>
    </w:p>
    <w:p>
      <w:pPr>
        <w:jc w:val="both"/>
        <w:ind w:right="20" w:firstLine="8"/>
        <w:spacing w:after="0" w:line="255" w:lineRule="auto"/>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LIBOR rate or EURIBOR rate (subject to a floor of 0%), plus an applicable margin, or (2) the Alternate Base Rate, plus an applicable margin. The Alternate Base Rate election is equal to the greatest of three rates: (i) the prime rate, (ii) the Federal Reserve effective rate plus 0.50%, or (iii) one-month LIBOR plus 1.00%.</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2022, there were no outstanding loan balances under the Credit Facility, and $64.7 million was utilized by outstanding standby letters of credit, resulting in $435.3 million available for additional borrowings or standby letters of credit within the revolver. At June 30, 2022, $235.3 million was available for additional standby letters of credit under the letter of credit sub-facility, and no amounts were outstanding under the swingline sub-facility.</w:t>
      </w: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12, 2021, we closed the sale of the Convertible Notes in a private placement to qualified institutional buyers, resulting in net proceeds to us of $448.5 million after deducting initial purchasers’ discounts of the offering. The Convertible Notes do not bear regular interest, and the principal amount does not accrete. The Convertible Notes will mature on March 15, 2026, unless earlier repurchased, redeemed, or converted in accordance with their terms. No sinking fund is provided for the Convertible Notes.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initial conversion rate of the Convertible Notes is 7.9365 shares of our common stock per $1,000 principal amount of notes, which is equivalent to an initial conversion price of approximately $126.00 per share. The conversion rate of the Convertible Notes is subject to adjustment upon the occurrence of certain specified events. In addition, upon the occurrence of a make-whole fundamental change (as defined in the indenture governing the Convertible Notes) or upon a notice of redemption, we will, in certain circumstances, increase the conversion rate for a holder that elects to convert its Convertible Notes in connection with such make-whole fundamental change or notice of redemption, as the case may be.</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Prior to the close of business on the business day immediately preceding December 15, 2025, the Convertible Notes are convertible at the option of the holders only under the following circumstances: (1) during any calendar quarter commencing after the calendar quarter ending on June 30, 2021 (and only during such calendar quarter), if the last reported sale price of the common stock for at least 20 trading days (whether or not consecutive) during the period of 30 consecutive trading days ending on the last trading day of the immediately preceding calendar quarter is greater than or equal to 130% of the conversion price on each applicable trading day; (2) during the five business-day period after any five consecutive trading-day period (the measurement period) in which the trading price per $1,000 principal amount of Convertible Notes for each trading day of the measurement period was less than 98% of the product of the last reported sale price of the common stock and the conversion rate on each such trading day; (3) upon the occurrence of specified corporate events; or (4) upon redemption by us. On or after December 15, 2025, until the close of business on the second scheduled trading day immediately preceding March 15, 2026, holders of the Convertible Notes may convert all or a portion of their notes at any time. Upon conversion, we will pay cash up to the aggregate principal amount of Convertible Notes to be converted and pay and/or deliver, as the case may be, cash, shares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common stock or a combination of cash and shares of common stock, at our election, in respect of the remainder, if any, of our conversion obligation in excess of the aggregate principal amount of the Convertible Notes being converted.</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or after March 20, 2024 and prior to December 15, 2025, we may redeem for cash all or part of the Convertible Notes, at our option, if the last reported sales price of common stock has been at least 130% of the conversion price then in effect for at least 20 trading days (whether or not consecutive), including the trading day immediately preceding the date on which we provide notice of redemption, during any 30 consecutive trading days ending on, and including, the trading day immediately before the date we send the related notice of the redemption. The redemption price of each Convertible Notes to be redeemed will be the principal amount of such note, plus accrued and unpaid special interest, if any. Upon the occurrence of a fundamental change (as defined in the indenture governing the Convertible Notes), subject to a limited exception described in the indenture governing the Convertible Notes, holders may require us to repurchase all or a portion of their notes for cash at a price equal to plus accrued and unpaid special interest to, but not including, the fundamental change repurchase date (as defined in the indenture governing the Convertible Notes).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Convertible Notes are senior unsecured obligations and rank equally in right of payment with all of our existing and future unsubordinated debt and senior in right of payment to any future debt that is expressly subordinated in right of payment to the Convertible Notes. The Convertible Notes will be effectively subordinated to any of our existing and future secured debt to the extent of the assets securing such indebtedness. The Convertible Notes will be structurally subordinated to all existing debt and any future debt and any other liabilities of our subsidiaries.</w:t>
      </w:r>
    </w:p>
    <w:p>
      <w:pPr>
        <w:spacing w:after="0" w:line="2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Debt Maturities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required minimum principal payments on our long-term debt in aggregate over the next five years is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Minimum Payments</w:t>
            </w:r>
          </w:p>
        </w:tc>
      </w:tr>
      <w:tr>
        <w:trPr>
          <w:trHeight w:val="211"/>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8"/>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 (amount remaining at June 30, 2022)</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460,000</w:t>
            </w:r>
          </w:p>
        </w:tc>
      </w:tr>
      <w:tr>
        <w:trPr>
          <w:trHeight w:val="213"/>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9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minimum payments on debt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460,000</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7:</w:t>
        <w:tab/>
        <w:t>Derivative Financial Instruments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our risk management strategy, we use derivative instruments to hedge certain foreign currency and interest rate exposures. Refer to Note 13: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Equity and Note 14: Fair Value of Financial Instruments for additional disclosures on our derivative instruments.</w:t>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values of our derivative instruments are determined using the income approach and significant other observable inputs (and are classified as "Level 2" in the fair value hierarchy). We have used observable market inputs based on the type of derivative and the nature of the underlying instrument. The key inputs include interest rate yield curves (swap rates and futures) and foreign exchange spot and forward rates, all of which are available in an active market. We have utilized the mid-market pricing convention for these inputs. We include, as a discount to the derivative asset, the effect of our counterparty credit risk based on current published credit default swap rates when the net fair value of our derivative instruments is in a net asset position. We consider our own nonperformance risk when the net fair value of our derivative instruments is in a net liability position by discounting our derivative liabilities to reflect the potential credit risk to our counterparty through applying a current market indicative credit spread to all cash flows.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our derivative instruments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780" w:type="dxa"/>
            <w:vAlign w:val="bottom"/>
            <w:tcBorders>
              <w:bottom w:val="single" w:sz="8" w:color="auto"/>
            </w:tcBorders>
          </w:tcPr>
          <w:p>
            <w:pPr>
              <w:spacing w:after="0"/>
              <w:rPr>
                <w:sz w:val="18"/>
                <w:szCs w:val="18"/>
                <w:color w:val="auto"/>
              </w:rPr>
            </w:pPr>
          </w:p>
        </w:tc>
      </w:tr>
      <w:tr>
        <w:trPr>
          <w:trHeight w:val="214"/>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Assets</w:t>
            </w:r>
          </w:p>
        </w:tc>
        <w:tc>
          <w:tcPr>
            <w:tcW w:w="34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17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0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 under ASC 815-20</w:t>
            </w:r>
          </w:p>
        </w:tc>
        <w:tc>
          <w:tcPr>
            <w:tcW w:w="1700" w:type="dxa"/>
            <w:vAlign w:val="bottom"/>
          </w:tcPr>
          <w:p>
            <w:pPr>
              <w:spacing w:after="0"/>
              <w:rPr>
                <w:sz w:val="18"/>
                <w:szCs w:val="18"/>
                <w:color w:val="auto"/>
              </w:rPr>
            </w:pPr>
          </w:p>
        </w:tc>
        <w:tc>
          <w:tcPr>
            <w:tcW w:w="1000" w:type="dxa"/>
            <w:vAlign w:val="bottom"/>
            <w:gridSpan w:val="3"/>
          </w:tcPr>
          <w:p>
            <w:pPr>
              <w:ind w:left="1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780" w:type="dxa"/>
            <w:vAlign w:val="bottom"/>
          </w:tcPr>
          <w:p>
            <w:pPr>
              <w:spacing w:after="0"/>
              <w:rPr>
                <w:sz w:val="18"/>
                <w:szCs w:val="18"/>
                <w:color w:val="auto"/>
              </w:rPr>
            </w:pPr>
          </w:p>
        </w:tc>
      </w:tr>
      <w:tr>
        <w:trPr>
          <w:trHeight w:val="218"/>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exchange forward contracts</w:t>
            </w:r>
          </w:p>
        </w:tc>
        <w:tc>
          <w:tcPr>
            <w:tcW w:w="34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Other current assets</w:t>
            </w:r>
          </w:p>
        </w:tc>
        <w:tc>
          <w:tcPr>
            <w:tcW w:w="1700" w:type="dxa"/>
            <w:vAlign w:val="bottom"/>
            <w:tcBorders>
              <w:bottom w:val="single" w:sz="8" w:color="auto"/>
            </w:tcBorders>
            <w:shd w:val="clear" w:color="auto" w:fill="CCEEFF"/>
          </w:tcPr>
          <w:p>
            <w:pPr>
              <w:jc w:val="right"/>
              <w:ind w:right="15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07"/>
        </w:trPr>
        <w:tc>
          <w:tcPr>
            <w:tcW w:w="332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Total asset derivatives</w:t>
            </w:r>
          </w:p>
        </w:tc>
        <w:tc>
          <w:tcPr>
            <w:tcW w:w="3440" w:type="dxa"/>
            <w:vAlign w:val="bottom"/>
          </w:tcPr>
          <w:p>
            <w:pPr>
              <w:spacing w:after="0"/>
              <w:rPr>
                <w:sz w:val="17"/>
                <w:szCs w:val="17"/>
                <w:color w:val="auto"/>
              </w:rPr>
            </w:pPr>
          </w:p>
        </w:tc>
        <w:tc>
          <w:tcPr>
            <w:tcW w:w="1700" w:type="dxa"/>
            <w:vAlign w:val="bottom"/>
            <w:tcBorders>
              <w:bottom w:val="single" w:sz="8" w:color="auto"/>
            </w:tcBorders>
          </w:tcPr>
          <w:p>
            <w:pPr>
              <w:jc w:val="right"/>
              <w:ind w:right="15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26"/>
        </w:trPr>
        <w:tc>
          <w:tcPr>
            <w:tcW w:w="3320" w:type="dxa"/>
            <w:vAlign w:val="bottom"/>
            <w:shd w:val="clear" w:color="auto" w:fill="CCEEFF"/>
          </w:tcPr>
          <w:p>
            <w:pPr>
              <w:spacing w:after="0"/>
              <w:rPr>
                <w:sz w:val="19"/>
                <w:szCs w:val="19"/>
                <w:color w:val="auto"/>
              </w:rPr>
            </w:pPr>
          </w:p>
        </w:tc>
        <w:tc>
          <w:tcPr>
            <w:tcW w:w="34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14"/>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Liabilities</w:t>
            </w:r>
          </w:p>
        </w:tc>
        <w:tc>
          <w:tcPr>
            <w:tcW w:w="3440" w:type="dxa"/>
            <w:vAlign w:val="bottom"/>
            <w:tcBorders>
              <w:bottom w:val="single" w:sz="8" w:color="auto"/>
            </w:tcBorders>
          </w:tcPr>
          <w:p>
            <w:pPr>
              <w:spacing w:after="0"/>
              <w:rPr>
                <w:sz w:val="18"/>
                <w:szCs w:val="18"/>
                <w:color w:val="auto"/>
              </w:rPr>
            </w:pPr>
          </w:p>
        </w:tc>
        <w:tc>
          <w:tcPr>
            <w:tcW w:w="170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780" w:type="dxa"/>
            <w:vAlign w:val="bottom"/>
            <w:tcBorders>
              <w:bottom w:val="single" w:sz="8" w:color="CCEEFF"/>
            </w:tcBorders>
          </w:tcPr>
          <w:p>
            <w:pPr>
              <w:spacing w:after="0"/>
              <w:rPr>
                <w:sz w:val="18"/>
                <w:szCs w:val="18"/>
                <w:color w:val="auto"/>
              </w:rPr>
            </w:pPr>
          </w:p>
        </w:tc>
      </w:tr>
      <w:tr>
        <w:trPr>
          <w:trHeight w:val="211"/>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 under ASC 815-20</w:t>
            </w:r>
          </w:p>
        </w:tc>
        <w:tc>
          <w:tcPr>
            <w:tcW w:w="1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13"/>
        </w:trPr>
        <w:tc>
          <w:tcPr>
            <w:tcW w:w="3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Foreign exchange forward contracts</w:t>
            </w:r>
          </w:p>
        </w:tc>
        <w:tc>
          <w:tcPr>
            <w:tcW w:w="3440" w:type="dxa"/>
            <w:vAlign w:val="bottom"/>
            <w:tcBorders>
              <w:bottom w:val="single" w:sz="8" w:color="CCEEFF"/>
            </w:tcBorders>
          </w:tcPr>
          <w:p>
            <w:pPr>
              <w:ind w:left="8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700" w:type="dxa"/>
            <w:vAlign w:val="bottom"/>
            <w:tcBorders>
              <w:bottom w:val="single" w:sz="8" w:color="auto"/>
            </w:tcBorders>
          </w:tcPr>
          <w:p>
            <w:pPr>
              <w:jc w:val="right"/>
              <w:ind w:right="15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234"/>
        </w:trPr>
        <w:tc>
          <w:tcPr>
            <w:tcW w:w="33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b w:val="1"/>
                <w:bCs w:val="1"/>
                <w:color w:val="auto"/>
              </w:rPr>
              <w:t>Total liability derivatives</w:t>
            </w:r>
          </w:p>
        </w:tc>
        <w:tc>
          <w:tcPr>
            <w:tcW w:w="344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5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changes in accumulated other comprehensive income (loss) (AOCI), net of tax, for our derivative and nonderivative hedging instruments designated as hedging instruments, net of tax,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unrealized loss on hedging instruments at January 1,</w:t>
            </w: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(16,001)</w:t>
            </w:r>
          </w:p>
        </w:tc>
      </w:tr>
      <w:tr>
        <w:trPr>
          <w:trHeight w:val="213"/>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Unrealized gain (loss) on derivative instruments</w:t>
            </w:r>
          </w:p>
        </w:tc>
        <w:tc>
          <w:tcPr>
            <w:tcW w:w="520" w:type="dxa"/>
            <w:vAlign w:val="bottom"/>
          </w:tcPr>
          <w:p>
            <w:pPr>
              <w:spacing w:after="0"/>
              <w:rPr>
                <w:sz w:val="18"/>
                <w:szCs w:val="18"/>
                <w:color w:val="auto"/>
              </w:rPr>
            </w:pPr>
          </w:p>
        </w:tc>
        <w:tc>
          <w:tcPr>
            <w:tcW w:w="1780" w:type="dxa"/>
            <w:vAlign w:val="bottom"/>
            <w:gridSpan w:val="2"/>
          </w:tcPr>
          <w:p>
            <w:pPr>
              <w:ind w:left="14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w:t>
            </w:r>
          </w:p>
        </w:tc>
      </w:tr>
      <w:tr>
        <w:trPr>
          <w:trHeight w:val="21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Realized (gains) losses reclassified into net income (loss)</w:t>
            </w:r>
          </w:p>
        </w:tc>
        <w:tc>
          <w:tcPr>
            <w:tcW w:w="5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w:t>
            </w:r>
          </w:p>
        </w:tc>
      </w:tr>
      <w:tr>
        <w:trPr>
          <w:trHeight w:val="207"/>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unrealized loss on hedging instruments at June 30,</w:t>
            </w: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(14,590)</w:t>
            </w:r>
          </w:p>
        </w:tc>
        <w:tc>
          <w:tcPr>
            <w:tcW w:w="12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(14,693)</w:t>
            </w:r>
          </w:p>
        </w:tc>
      </w:tr>
      <w:tr>
        <w:trPr>
          <w:trHeight w:val="23"/>
        </w:trPr>
        <w:tc>
          <w:tcPr>
            <w:tcW w:w="67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Reclassification of amounts related to hedging instruments are included in interest expense in the Consolidated Statements of Operations. Included in the net unrealized gain (loss) on hedging instruments at June 30, 2022 and 2021 is a loss of $14.4 million, net of tax, related to our nonderivative net investment hedge, which terminated in 2011. This loss on our net investment hedge will remain in AOCI until earnings are impacted by a sale or liquidation of the associated foreign operation.</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effect of netting arrangements on our financial position related to the offsetting of our recognized derivative assets and liabilities under master netting arrangements or similar agreements is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Offsetting of Derivative Assets</w:t>
            </w:r>
          </w:p>
        </w:tc>
        <w:tc>
          <w:tcPr>
            <w:tcW w:w="520" w:type="dxa"/>
            <w:vAlign w:val="bottom"/>
          </w:tcPr>
          <w:p>
            <w:pPr>
              <w:spacing w:after="0"/>
              <w:rPr>
                <w:sz w:val="16"/>
                <w:szCs w:val="16"/>
                <w:color w:val="auto"/>
              </w:rPr>
            </w:pPr>
          </w:p>
        </w:tc>
        <w:tc>
          <w:tcPr>
            <w:tcW w:w="1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Gross Amounts of</w:t>
            </w:r>
          </w:p>
        </w:tc>
        <w:tc>
          <w:tcPr>
            <w:tcW w:w="100" w:type="dxa"/>
            <w:vAlign w:val="bottom"/>
          </w:tcPr>
          <w:p>
            <w:pPr>
              <w:spacing w:after="0"/>
              <w:rPr>
                <w:sz w:val="16"/>
                <w:szCs w:val="16"/>
                <w:color w:val="auto"/>
              </w:rPr>
            </w:pPr>
          </w:p>
        </w:tc>
        <w:tc>
          <w:tcPr>
            <w:tcW w:w="402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Gross Amounts Not Offset in the Consolidated Balance</w:t>
            </w:r>
          </w:p>
        </w:tc>
        <w:tc>
          <w:tcPr>
            <w:tcW w:w="3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19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4020" w:type="dxa"/>
            <w:vAlign w:val="bottom"/>
            <w:gridSpan w:val="5"/>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Sheets</w:t>
            </w:r>
          </w:p>
        </w:tc>
        <w:tc>
          <w:tcPr>
            <w:tcW w:w="3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68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1920" w:type="dxa"/>
            <w:vAlign w:val="bottom"/>
            <w:gridSpan w:val="2"/>
            <w:vMerge w:val="restart"/>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Recognized Assets</w:t>
            </w:r>
          </w:p>
        </w:tc>
        <w:tc>
          <w:tcPr>
            <w:tcW w:w="100" w:type="dxa"/>
            <w:vAlign w:val="bottom"/>
          </w:tcPr>
          <w:p>
            <w:pPr>
              <w:spacing w:after="0"/>
              <w:rPr>
                <w:sz w:val="10"/>
                <w:szCs w:val="10"/>
                <w:color w:val="auto"/>
              </w:rPr>
            </w:pPr>
          </w:p>
        </w:tc>
        <w:tc>
          <w:tcPr>
            <w:tcW w:w="4020" w:type="dxa"/>
            <w:vAlign w:val="bottom"/>
            <w:gridSpan w:val="5"/>
            <w:vMerge w:val="continue"/>
          </w:tcPr>
          <w:p>
            <w:pPr>
              <w:spacing w:after="0"/>
              <w:rPr>
                <w:sz w:val="10"/>
                <w:szCs w:val="10"/>
                <w:color w:val="auto"/>
              </w:rPr>
            </w:pPr>
          </w:p>
        </w:tc>
        <w:tc>
          <w:tcPr>
            <w:tcW w:w="3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20" w:type="dxa"/>
            <w:vAlign w:val="bottom"/>
            <w:gridSpan w:val="2"/>
            <w:vMerge w:val="continue"/>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2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Presented in the</w:t>
            </w:r>
          </w:p>
        </w:tc>
        <w:tc>
          <w:tcPr>
            <w:tcW w:w="100" w:type="dxa"/>
            <w:vAlign w:val="bottom"/>
          </w:tcPr>
          <w:p>
            <w:pPr>
              <w:spacing w:after="0"/>
              <w:rPr>
                <w:sz w:val="14"/>
                <w:szCs w:val="14"/>
                <w:color w:val="auto"/>
              </w:rPr>
            </w:pPr>
          </w:p>
        </w:tc>
        <w:tc>
          <w:tcPr>
            <w:tcW w:w="1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Derivative Financial</w:t>
            </w: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20" w:type="dxa"/>
            <w:vAlign w:val="bottom"/>
          </w:tcPr>
          <w:p>
            <w:pPr>
              <w:spacing w:after="0"/>
              <w:rPr>
                <w:sz w:val="14"/>
                <w:szCs w:val="14"/>
                <w:color w:val="auto"/>
              </w:rPr>
            </w:pPr>
          </w:p>
        </w:tc>
        <w:tc>
          <w:tcPr>
            <w:tcW w:w="19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Consolidated Balance</w:t>
            </w:r>
          </w:p>
        </w:tc>
        <w:tc>
          <w:tcPr>
            <w:tcW w:w="10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Cash Collateral Received</w:t>
            </w:r>
          </w:p>
        </w:tc>
        <w:tc>
          <w:tcPr>
            <w:tcW w:w="320" w:type="dxa"/>
            <w:vAlign w:val="bottom"/>
          </w:tcPr>
          <w:p>
            <w:pPr>
              <w:spacing w:after="0"/>
              <w:rPr>
                <w:sz w:val="14"/>
                <w:szCs w:val="14"/>
                <w:color w:val="auto"/>
              </w:rPr>
            </w:pPr>
          </w:p>
        </w:tc>
        <w:tc>
          <w:tcPr>
            <w:tcW w:w="164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Net Amount</w:t>
            </w:r>
          </w:p>
        </w:tc>
        <w:tc>
          <w:tcPr>
            <w:tcW w:w="0" w:type="dxa"/>
            <w:vAlign w:val="bottom"/>
          </w:tcPr>
          <w:p>
            <w:pPr>
              <w:spacing w:after="0"/>
              <w:rPr>
                <w:sz w:val="1"/>
                <w:szCs w:val="1"/>
                <w:color w:val="auto"/>
              </w:rPr>
            </w:pPr>
          </w:p>
        </w:tc>
      </w:tr>
      <w:tr>
        <w:trPr>
          <w:trHeight w:val="214"/>
        </w:trPr>
        <w:tc>
          <w:tcPr>
            <w:tcW w:w="268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9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Sheets</w:t>
            </w:r>
          </w:p>
        </w:tc>
        <w:tc>
          <w:tcPr>
            <w:tcW w:w="100" w:type="dxa"/>
            <w:vAlign w:val="bottom"/>
          </w:tcPr>
          <w:p>
            <w:pPr>
              <w:spacing w:after="0"/>
              <w:rPr>
                <w:sz w:val="18"/>
                <w:szCs w:val="18"/>
                <w:color w:val="auto"/>
              </w:rPr>
            </w:pPr>
          </w:p>
        </w:tc>
        <w:tc>
          <w:tcPr>
            <w:tcW w:w="1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00" w:type="dxa"/>
            <w:vAlign w:val="bottom"/>
          </w:tcPr>
          <w:p>
            <w:pPr>
              <w:spacing w:after="0"/>
              <w:rPr>
                <w:sz w:val="18"/>
                <w:szCs w:val="18"/>
                <w:color w:val="auto"/>
              </w:rPr>
            </w:pPr>
          </w:p>
        </w:tc>
        <w:tc>
          <w:tcPr>
            <w:tcW w:w="19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30, 2022</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top w:val="single" w:sz="8" w:color="auto"/>
            </w:tcBorders>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0"/>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2021</w:t>
            </w:r>
          </w:p>
        </w:tc>
        <w:tc>
          <w:tcPr>
            <w:tcW w:w="5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ind w:left="16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43"/>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Offsetting of Derivative Liabilities</w:t>
            </w:r>
          </w:p>
        </w:tc>
        <w:tc>
          <w:tcPr>
            <w:tcW w:w="520" w:type="dxa"/>
            <w:vAlign w:val="bottom"/>
          </w:tcPr>
          <w:p>
            <w:pPr>
              <w:spacing w:after="0"/>
              <w:rPr>
                <w:sz w:val="24"/>
                <w:szCs w:val="24"/>
                <w:color w:val="auto"/>
              </w:rPr>
            </w:pPr>
          </w:p>
        </w:tc>
        <w:tc>
          <w:tcPr>
            <w:tcW w:w="1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Gross Amounts of</w:t>
            </w:r>
          </w:p>
        </w:tc>
        <w:tc>
          <w:tcPr>
            <w:tcW w:w="100" w:type="dxa"/>
            <w:vAlign w:val="bottom"/>
          </w:tcPr>
          <w:p>
            <w:pPr>
              <w:spacing w:after="0"/>
              <w:rPr>
                <w:sz w:val="24"/>
                <w:szCs w:val="24"/>
                <w:color w:val="auto"/>
              </w:rPr>
            </w:pPr>
          </w:p>
        </w:tc>
        <w:tc>
          <w:tcPr>
            <w:tcW w:w="402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Gross Amounts Not Offset in the Consolidated Balance</w:t>
            </w: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19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4020" w:type="dxa"/>
            <w:vAlign w:val="bottom"/>
            <w:gridSpan w:val="5"/>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Sheets</w:t>
            </w:r>
          </w:p>
        </w:tc>
        <w:tc>
          <w:tcPr>
            <w:tcW w:w="3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68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1920" w:type="dxa"/>
            <w:vAlign w:val="bottom"/>
            <w:gridSpan w:val="2"/>
            <w:vMerge w:val="restart"/>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Recognized Liabilities</w:t>
            </w:r>
          </w:p>
        </w:tc>
        <w:tc>
          <w:tcPr>
            <w:tcW w:w="100" w:type="dxa"/>
            <w:vAlign w:val="bottom"/>
          </w:tcPr>
          <w:p>
            <w:pPr>
              <w:spacing w:after="0"/>
              <w:rPr>
                <w:sz w:val="10"/>
                <w:szCs w:val="10"/>
                <w:color w:val="auto"/>
              </w:rPr>
            </w:pPr>
          </w:p>
        </w:tc>
        <w:tc>
          <w:tcPr>
            <w:tcW w:w="4020" w:type="dxa"/>
            <w:vAlign w:val="bottom"/>
            <w:gridSpan w:val="5"/>
            <w:vMerge w:val="continue"/>
          </w:tcPr>
          <w:p>
            <w:pPr>
              <w:spacing w:after="0"/>
              <w:rPr>
                <w:sz w:val="10"/>
                <w:szCs w:val="10"/>
                <w:color w:val="auto"/>
              </w:rPr>
            </w:pPr>
          </w:p>
        </w:tc>
        <w:tc>
          <w:tcPr>
            <w:tcW w:w="3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20" w:type="dxa"/>
            <w:vAlign w:val="bottom"/>
            <w:gridSpan w:val="2"/>
            <w:vMerge w:val="continue"/>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2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Presented in the</w:t>
            </w:r>
          </w:p>
        </w:tc>
        <w:tc>
          <w:tcPr>
            <w:tcW w:w="100" w:type="dxa"/>
            <w:vAlign w:val="bottom"/>
          </w:tcPr>
          <w:p>
            <w:pPr>
              <w:spacing w:after="0"/>
              <w:rPr>
                <w:sz w:val="14"/>
                <w:szCs w:val="14"/>
                <w:color w:val="auto"/>
              </w:rPr>
            </w:pPr>
          </w:p>
        </w:tc>
        <w:tc>
          <w:tcPr>
            <w:tcW w:w="1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Derivative Financial</w:t>
            </w: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20" w:type="dxa"/>
            <w:vAlign w:val="bottom"/>
          </w:tcPr>
          <w:p>
            <w:pPr>
              <w:spacing w:after="0"/>
              <w:rPr>
                <w:sz w:val="14"/>
                <w:szCs w:val="14"/>
                <w:color w:val="auto"/>
              </w:rPr>
            </w:pPr>
          </w:p>
        </w:tc>
        <w:tc>
          <w:tcPr>
            <w:tcW w:w="19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Consolidated Balance</w:t>
            </w:r>
          </w:p>
        </w:tc>
        <w:tc>
          <w:tcPr>
            <w:tcW w:w="10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Cash Collateral Pledged</w:t>
            </w:r>
          </w:p>
        </w:tc>
        <w:tc>
          <w:tcPr>
            <w:tcW w:w="320" w:type="dxa"/>
            <w:vAlign w:val="bottom"/>
          </w:tcPr>
          <w:p>
            <w:pPr>
              <w:spacing w:after="0"/>
              <w:rPr>
                <w:sz w:val="14"/>
                <w:szCs w:val="14"/>
                <w:color w:val="auto"/>
              </w:rPr>
            </w:pPr>
          </w:p>
        </w:tc>
        <w:tc>
          <w:tcPr>
            <w:tcW w:w="164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Net Amount</w:t>
            </w:r>
          </w:p>
        </w:tc>
        <w:tc>
          <w:tcPr>
            <w:tcW w:w="0" w:type="dxa"/>
            <w:vAlign w:val="bottom"/>
          </w:tcPr>
          <w:p>
            <w:pPr>
              <w:spacing w:after="0"/>
              <w:rPr>
                <w:sz w:val="1"/>
                <w:szCs w:val="1"/>
                <w:color w:val="auto"/>
              </w:rPr>
            </w:pPr>
          </w:p>
        </w:tc>
      </w:tr>
      <w:tr>
        <w:trPr>
          <w:trHeight w:val="214"/>
        </w:trPr>
        <w:tc>
          <w:tcPr>
            <w:tcW w:w="268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9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Sheets</w:t>
            </w:r>
          </w:p>
        </w:tc>
        <w:tc>
          <w:tcPr>
            <w:tcW w:w="100" w:type="dxa"/>
            <w:vAlign w:val="bottom"/>
          </w:tcPr>
          <w:p>
            <w:pPr>
              <w:spacing w:after="0"/>
              <w:rPr>
                <w:sz w:val="18"/>
                <w:szCs w:val="18"/>
                <w:color w:val="auto"/>
              </w:rPr>
            </w:pPr>
          </w:p>
        </w:tc>
        <w:tc>
          <w:tcPr>
            <w:tcW w:w="1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00" w:type="dxa"/>
            <w:vAlign w:val="bottom"/>
          </w:tcPr>
          <w:p>
            <w:pPr>
              <w:spacing w:after="0"/>
              <w:rPr>
                <w:sz w:val="18"/>
                <w:szCs w:val="18"/>
                <w:color w:val="auto"/>
              </w:rPr>
            </w:pPr>
          </w:p>
        </w:tc>
        <w:tc>
          <w:tcPr>
            <w:tcW w:w="19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30, 2022</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top w:val="single" w:sz="8" w:color="auto"/>
            </w:tcBorders>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10"/>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2021</w:t>
            </w:r>
          </w:p>
        </w:tc>
        <w:tc>
          <w:tcPr>
            <w:tcW w:w="5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ind w:left="16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bl>
    <w:p>
      <w:pPr>
        <w:spacing w:after="0" w:line="3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derivative assets and liabilities subject to netting arrangements include foreign exchange forward and interest rate contracts with three counterparties at June 30, 2022 and three counterparties at December 31, 2021. No derivative asset or liability balance with any of our counterparties was individually significant at June 30, 2022 or December 31, 2021. Our derivative contracts with each of these counterparties exist under agreements that provide for the net settlement of all contracts through a single payment in a single currency in the event of default. We have no pledges of cash collateral against our obligations, and we have not received pledges of cash collateral from our counterparties under the associated derivative contracts.</w:t>
      </w: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Cash Flow Hedges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result of our forecasted inventory purchases in a non-functional currency, we are exposed to foreign exchange risk. We hedge portions of these purchases. During February 2021, we entered into foreign exchange option contracts for a total notional amount of $76.5 million at a cost of $1.1 million. The contracts matured ratably through the year with final maturity occurring in October 2021. Changes in the fair values of the option contracts are recognized as a component of other comprehensive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income (OCI) and are recognized in product cost of revenues when the hedged item affects earnings. We have not entered into any similar arrangements in 2022.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before-tax effects of our accounting for derivative instruments designated as hedges on AOCI were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00" w:type="dxa"/>
            <w:vAlign w:val="bottom"/>
            <w:vMerge w:val="restart"/>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rPr>
              <w:t>Derivatives in ASC 815-20</w:t>
            </w:r>
          </w:p>
        </w:tc>
        <w:tc>
          <w:tcPr>
            <w:tcW w:w="2640" w:type="dxa"/>
            <w:vAlign w:val="bottom"/>
            <w:gridSpan w:val="4"/>
            <w:vMerge w:val="restart"/>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rPr>
              <w:t>Amount of Gain (Loss)</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20" w:type="dxa"/>
            <w:vAlign w:val="bottom"/>
            <w:gridSpan w:val="5"/>
          </w:tcPr>
          <w:p>
            <w:pPr>
              <w:ind w:left="1540"/>
              <w:spacing w:after="0"/>
              <w:rPr>
                <w:sz w:val="20"/>
                <w:szCs w:val="20"/>
                <w:color w:val="auto"/>
              </w:rPr>
            </w:pPr>
            <w:r>
              <w:rPr>
                <w:rFonts w:ascii="Times New Roman" w:cs="Times New Roman" w:eastAsia="Times New Roman" w:hAnsi="Times New Roman"/>
                <w:sz w:val="16"/>
                <w:szCs w:val="16"/>
                <w:b w:val="1"/>
                <w:bCs w:val="1"/>
                <w:color w:val="auto"/>
              </w:rPr>
              <w:t>Gain (Loss) Reclassified from</w:t>
            </w: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800" w:type="dxa"/>
            <w:vAlign w:val="bottom"/>
            <w:vMerge w:val="continue"/>
          </w:tcPr>
          <w:p>
            <w:pPr>
              <w:spacing w:after="0"/>
              <w:rPr>
                <w:sz w:val="8"/>
                <w:szCs w:val="8"/>
                <w:color w:val="auto"/>
              </w:rPr>
            </w:pPr>
          </w:p>
        </w:tc>
        <w:tc>
          <w:tcPr>
            <w:tcW w:w="2640" w:type="dxa"/>
            <w:vAlign w:val="bottom"/>
            <w:gridSpan w:val="4"/>
            <w:vMerge w:val="continue"/>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360" w:type="dxa"/>
            <w:vAlign w:val="bottom"/>
            <w:gridSpan w:val="3"/>
            <w:vMerge w:val="restart"/>
          </w:tcPr>
          <w:p>
            <w:pPr>
              <w:ind w:left="1940"/>
              <w:spacing w:after="0"/>
              <w:rPr>
                <w:sz w:val="20"/>
                <w:szCs w:val="20"/>
                <w:color w:val="auto"/>
              </w:rPr>
            </w:pPr>
            <w:r>
              <w:rPr>
                <w:rFonts w:ascii="Times New Roman" w:cs="Times New Roman" w:eastAsia="Times New Roman" w:hAnsi="Times New Roman"/>
                <w:sz w:val="16"/>
                <w:szCs w:val="16"/>
                <w:b w:val="1"/>
                <w:bCs w:val="1"/>
                <w:color w:val="auto"/>
              </w:rPr>
              <w:t>AOCI into Income</w:t>
            </w: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800" w:type="dxa"/>
            <w:vAlign w:val="bottom"/>
            <w:vMerge w:val="restart"/>
          </w:tcPr>
          <w:p>
            <w:pPr>
              <w:jc w:val="center"/>
              <w:ind w:left="239"/>
              <w:spacing w:after="0" w:line="162" w:lineRule="exact"/>
              <w:rPr>
                <w:sz w:val="20"/>
                <w:szCs w:val="20"/>
                <w:color w:val="auto"/>
              </w:rPr>
            </w:pPr>
            <w:r>
              <w:rPr>
                <w:rFonts w:ascii="Times New Roman" w:cs="Times New Roman" w:eastAsia="Times New Roman" w:hAnsi="Times New Roman"/>
                <w:sz w:val="16"/>
                <w:szCs w:val="16"/>
                <w:b w:val="1"/>
                <w:bCs w:val="1"/>
                <w:color w:val="auto"/>
                <w:w w:val="99"/>
              </w:rPr>
              <w:t>Cash Flow</w:t>
            </w:r>
          </w:p>
        </w:tc>
        <w:tc>
          <w:tcPr>
            <w:tcW w:w="2640" w:type="dxa"/>
            <w:vAlign w:val="bottom"/>
            <w:gridSpan w:val="4"/>
            <w:vMerge w:val="restart"/>
          </w:tcPr>
          <w:p>
            <w:pPr>
              <w:jc w:val="center"/>
              <w:ind w:left="739"/>
              <w:spacing w:after="0" w:line="162" w:lineRule="exact"/>
              <w:rPr>
                <w:sz w:val="20"/>
                <w:szCs w:val="20"/>
                <w:color w:val="auto"/>
              </w:rPr>
            </w:pPr>
            <w:r>
              <w:rPr>
                <w:rFonts w:ascii="Times New Roman" w:cs="Times New Roman" w:eastAsia="Times New Roman" w:hAnsi="Times New Roman"/>
                <w:sz w:val="16"/>
                <w:szCs w:val="16"/>
                <w:b w:val="1"/>
                <w:bCs w:val="1"/>
                <w:color w:val="auto"/>
              </w:rPr>
              <w:t>Recognized in OCI on</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360" w:type="dxa"/>
            <w:vAlign w:val="bottom"/>
            <w:tcBorders>
              <w:bottom w:val="single" w:sz="8" w:color="auto"/>
            </w:tcBorders>
            <w:gridSpan w:val="3"/>
            <w:vMerge w:val="continue"/>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800" w:type="dxa"/>
            <w:vAlign w:val="bottom"/>
            <w:vMerge w:val="continue"/>
          </w:tcPr>
          <w:p>
            <w:pPr>
              <w:spacing w:after="0" w:line="20" w:lineRule="exact"/>
              <w:rPr>
                <w:sz w:val="1"/>
                <w:szCs w:val="1"/>
                <w:color w:val="auto"/>
              </w:rPr>
            </w:pPr>
          </w:p>
        </w:tc>
        <w:tc>
          <w:tcPr>
            <w:tcW w:w="2640" w:type="dxa"/>
            <w:vAlign w:val="bottom"/>
            <w:gridSpan w:val="4"/>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gridSpan w:val="2"/>
            <w:vMerge w:val="restart"/>
          </w:tcPr>
          <w:p>
            <w:pPr>
              <w:ind w:left="82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980" w:type="dxa"/>
            <w:vAlign w:val="bottom"/>
          </w:tcPr>
          <w:p>
            <w:pPr>
              <w:spacing w:after="0" w:line="20" w:lineRule="exact"/>
              <w:rPr>
                <w:sz w:val="1"/>
                <w:szCs w:val="1"/>
                <w:color w:val="auto"/>
              </w:rPr>
            </w:pPr>
          </w:p>
        </w:tc>
        <w:tc>
          <w:tcPr>
            <w:tcW w:w="8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800" w:type="dxa"/>
            <w:vAlign w:val="bottom"/>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rPr>
              <w:t>Hedging Relationships</w:t>
            </w:r>
          </w:p>
        </w:tc>
        <w:tc>
          <w:tcPr>
            <w:tcW w:w="1260" w:type="dxa"/>
            <w:vAlign w:val="bottom"/>
          </w:tcPr>
          <w:p>
            <w:pPr>
              <w:spacing w:after="0"/>
              <w:rPr>
                <w:sz w:val="18"/>
                <w:szCs w:val="18"/>
                <w:color w:val="auto"/>
              </w:rPr>
            </w:pPr>
          </w:p>
        </w:tc>
        <w:tc>
          <w:tcPr>
            <w:tcW w:w="1380" w:type="dxa"/>
            <w:vAlign w:val="bottom"/>
            <w:gridSpan w:val="3"/>
          </w:tcPr>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2"/>
            <w:vMerge w:val="continue"/>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gridSpan w:val="3"/>
            <w:vMerge w:val="continue"/>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4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50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3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9"/>
        </w:trPr>
        <w:tc>
          <w:tcPr>
            <w:tcW w:w="2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Foreign exchange options</w:t>
            </w:r>
          </w:p>
        </w:tc>
        <w:tc>
          <w:tcPr>
            <w:tcW w:w="126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(1,058)</w:t>
            </w:r>
          </w:p>
        </w:tc>
        <w:tc>
          <w:tcPr>
            <w:tcW w:w="1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 cost of revenues</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3"/>
        </w:trPr>
        <w:tc>
          <w:tcPr>
            <w:tcW w:w="2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Cross currency swap contract</w:t>
            </w:r>
          </w:p>
        </w:tc>
        <w:tc>
          <w:tcPr>
            <w:tcW w:w="126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(1,744)</w:t>
            </w:r>
          </w:p>
        </w:tc>
        <w:tc>
          <w:tcPr>
            <w:tcW w:w="120" w:type="dxa"/>
            <w:vAlign w:val="bottom"/>
          </w:tcPr>
          <w:p>
            <w:pPr>
              <w:spacing w:after="0"/>
              <w:rPr>
                <w:sz w:val="18"/>
                <w:szCs w:val="18"/>
                <w:color w:val="auto"/>
              </w:rPr>
            </w:pPr>
          </w:p>
        </w:tc>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980" w:type="dxa"/>
            <w:vAlign w:val="bottom"/>
          </w:tcPr>
          <w:p>
            <w:pPr>
              <w:spacing w:after="0"/>
              <w:rPr>
                <w:sz w:val="18"/>
                <w:szCs w:val="18"/>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32"/>
        </w:trPr>
        <w:tc>
          <w:tcPr>
            <w:tcW w:w="2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Cross currency swap contract</w:t>
            </w:r>
          </w:p>
        </w:tc>
        <w:tc>
          <w:tcPr>
            <w:tcW w:w="12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98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w:t>
            </w:r>
          </w:p>
        </w:tc>
        <w:tc>
          <w:tcPr>
            <w:tcW w:w="0" w:type="dxa"/>
            <w:vAlign w:val="bottom"/>
          </w:tcPr>
          <w:p>
            <w:pPr>
              <w:spacing w:after="0"/>
              <w:rPr>
                <w:sz w:val="1"/>
                <w:szCs w:val="1"/>
                <w:color w:val="auto"/>
              </w:rPr>
            </w:pPr>
          </w:p>
        </w:tc>
      </w:tr>
      <w:tr>
        <w:trPr>
          <w:trHeight w:val="470"/>
        </w:trPr>
        <w:tc>
          <w:tcPr>
            <w:tcW w:w="2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rate swap contract</w:t>
            </w:r>
          </w:p>
        </w:tc>
        <w:tc>
          <w:tcPr>
            <w:tcW w:w="126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shd w:val="clear" w:color="auto" w:fill="CCEEFF"/>
          </w:tcPr>
          <w:p>
            <w:pPr>
              <w:spacing w:after="0"/>
              <w:rPr>
                <w:sz w:val="19"/>
                <w:szCs w:val="19"/>
                <w:color w:val="auto"/>
              </w:rPr>
            </w:pPr>
          </w:p>
        </w:tc>
        <w:tc>
          <w:tcPr>
            <w:tcW w:w="2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0" w:type="dxa"/>
            <w:vAlign w:val="bottom"/>
          </w:tcPr>
          <w:p>
            <w:pPr>
              <w:spacing w:after="0"/>
              <w:rPr>
                <w:sz w:val="1"/>
                <w:szCs w:val="1"/>
                <w:color w:val="auto"/>
              </w:rPr>
            </w:pPr>
          </w:p>
        </w:tc>
      </w:tr>
      <w:tr>
        <w:trPr>
          <w:trHeight w:val="213"/>
        </w:trPr>
        <w:tc>
          <w:tcPr>
            <w:tcW w:w="2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 rate swap contract</w:t>
            </w:r>
          </w:p>
        </w:tc>
        <w:tc>
          <w:tcPr>
            <w:tcW w:w="126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980" w:type="dxa"/>
            <w:vAlign w:val="bottom"/>
          </w:tcPr>
          <w:p>
            <w:pPr>
              <w:spacing w:after="0"/>
              <w:rPr>
                <w:sz w:val="18"/>
                <w:szCs w:val="18"/>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(1,681)</w:t>
            </w: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Foreign exchange options</w:t>
            </w:r>
          </w:p>
        </w:tc>
        <w:tc>
          <w:tcPr>
            <w:tcW w:w="12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shd w:val="clear" w:color="auto" w:fill="CCEEFF"/>
          </w:tcPr>
          <w:p>
            <w:pPr>
              <w:spacing w:after="0"/>
              <w:rPr>
                <w:sz w:val="19"/>
                <w:szCs w:val="19"/>
                <w:color w:val="auto"/>
              </w:rPr>
            </w:pPr>
          </w:p>
        </w:tc>
        <w:tc>
          <w:tcPr>
            <w:tcW w:w="2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 cost of revenues</w:t>
            </w:r>
          </w:p>
        </w:tc>
        <w:tc>
          <w:tcPr>
            <w:tcW w:w="9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3"/>
        </w:trPr>
        <w:tc>
          <w:tcPr>
            <w:tcW w:w="2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Cross currency swap contract</w:t>
            </w:r>
          </w:p>
        </w:tc>
        <w:tc>
          <w:tcPr>
            <w:tcW w:w="126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20" w:type="dxa"/>
            <w:vAlign w:val="bottom"/>
          </w:tcPr>
          <w:p>
            <w:pPr>
              <w:spacing w:after="0"/>
              <w:rPr>
                <w:sz w:val="18"/>
                <w:szCs w:val="18"/>
                <w:color w:val="auto"/>
              </w:rPr>
            </w:pPr>
          </w:p>
        </w:tc>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980" w:type="dxa"/>
            <w:vAlign w:val="bottom"/>
          </w:tcPr>
          <w:p>
            <w:pPr>
              <w:spacing w:after="0"/>
              <w:rPr>
                <w:sz w:val="18"/>
                <w:szCs w:val="18"/>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32"/>
        </w:trPr>
        <w:tc>
          <w:tcPr>
            <w:tcW w:w="2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Cross currency swap contract</w:t>
            </w:r>
          </w:p>
        </w:tc>
        <w:tc>
          <w:tcPr>
            <w:tcW w:w="12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98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Derivatives Not Designated as Hedging Relationships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also exposed to foreign exchange risk when we enter into non-functional currency transactions, both intercompany and third party. At each period-end, non-functional currency monetary assets and liabilities are revalued with the change recognized within other income (expense) in our Consolidated Statements of Operations. We enter into monthly foreign exchange forward contracts, which are not designated for hedge accounting, with the intent to reduce earnings volatility associated with currency exposures. As of June 30, 2022, a total of 36 contracts were offsetting our exposures from the euro, pound sterling, Indonesian rupiah, Canadian dollar, Australian dollar and various other currencies, with notional amounts ranging from $111,352 to $57.7 million.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our derivative instruments not designated as hedges on the Consolidated Statements of Operations was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 under</w:t>
            </w:r>
          </w:p>
        </w:tc>
        <w:tc>
          <w:tcPr>
            <w:tcW w:w="2620" w:type="dxa"/>
            <w:vAlign w:val="bottom"/>
            <w:gridSpan w:val="2"/>
            <w:vMerge w:val="restart"/>
          </w:tcPr>
          <w:p>
            <w:pPr>
              <w:ind w:left="98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200" w:type="dxa"/>
            <w:vAlign w:val="bottom"/>
          </w:tcPr>
          <w:p>
            <w:pPr>
              <w:spacing w:after="0"/>
              <w:rPr>
                <w:sz w:val="16"/>
                <w:szCs w:val="16"/>
                <w:color w:val="auto"/>
              </w:rPr>
            </w:pPr>
          </w:p>
        </w:tc>
        <w:tc>
          <w:tcPr>
            <w:tcW w:w="4260" w:type="dxa"/>
            <w:vAlign w:val="bottom"/>
            <w:gridSpan w:val="3"/>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Gain (Loss) Recognized on Derivatives in Other Income</w:t>
            </w:r>
          </w:p>
        </w:tc>
        <w:tc>
          <w:tcPr>
            <w:tcW w:w="0" w:type="dxa"/>
            <w:vAlign w:val="bottom"/>
          </w:tcPr>
          <w:p>
            <w:pPr>
              <w:spacing w:after="0"/>
              <w:rPr>
                <w:sz w:val="1"/>
                <w:szCs w:val="1"/>
                <w:color w:val="auto"/>
              </w:rPr>
            </w:pPr>
          </w:p>
        </w:tc>
      </w:tr>
      <w:tr>
        <w:trPr>
          <w:trHeight w:val="214"/>
        </w:trPr>
        <w:tc>
          <w:tcPr>
            <w:tcW w:w="4160" w:type="dxa"/>
            <w:vAlign w:val="bottom"/>
          </w:tcPr>
          <w:p>
            <w:pPr>
              <w:ind w:left="1700"/>
              <w:spacing w:after="0"/>
              <w:rPr>
                <w:sz w:val="20"/>
                <w:szCs w:val="20"/>
                <w:color w:val="auto"/>
              </w:rPr>
            </w:pPr>
            <w:r>
              <w:rPr>
                <w:rFonts w:ascii="Times New Roman" w:cs="Times New Roman" w:eastAsia="Times New Roman" w:hAnsi="Times New Roman"/>
                <w:sz w:val="16"/>
                <w:szCs w:val="16"/>
                <w:b w:val="1"/>
                <w:bCs w:val="1"/>
                <w:color w:val="auto"/>
              </w:rPr>
              <w:t>ASC 815-20</w:t>
            </w:r>
          </w:p>
        </w:tc>
        <w:tc>
          <w:tcPr>
            <w:tcW w:w="26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2680" w:type="dxa"/>
            <w:vAlign w:val="bottom"/>
            <w:gridSpan w:val="2"/>
          </w:tcPr>
          <w:p>
            <w:pPr>
              <w:ind w:left="1680"/>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50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020" w:type="dxa"/>
            <w:vAlign w:val="bottom"/>
            <w:tcBorders>
              <w:top w:val="single" w:sz="8" w:color="auto"/>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66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0"/>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Foreign exchange forward contracts</w:t>
            </w:r>
          </w:p>
        </w:tc>
        <w:tc>
          <w:tcPr>
            <w:tcW w:w="26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118</w:t>
            </w:r>
          </w:p>
        </w:tc>
        <w:tc>
          <w:tcPr>
            <w:tcW w:w="66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0" w:type="dxa"/>
            <w:vAlign w:val="bottom"/>
          </w:tcPr>
          <w:p>
            <w:pPr>
              <w:spacing w:after="0"/>
              <w:rPr>
                <w:sz w:val="1"/>
                <w:szCs w:val="1"/>
                <w:color w:val="auto"/>
              </w:rPr>
            </w:pPr>
          </w:p>
        </w:tc>
      </w:tr>
      <w:tr>
        <w:trPr>
          <w:trHeight w:val="429"/>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Foreign exchange forward contracts</w:t>
            </w:r>
          </w:p>
        </w:tc>
        <w:tc>
          <w:tcPr>
            <w:tcW w:w="26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6"/>
                <w:szCs w:val="16"/>
                <w:color w:val="auto"/>
              </w:rPr>
              <w:t>(39)</w:t>
            </w:r>
          </w:p>
        </w:tc>
        <w:tc>
          <w:tcPr>
            <w:tcW w:w="66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will continue to monitor and assess our interest rate and foreign exchange risk and may institute additional derivative instruments to manage such risk in the future.</w:t>
      </w:r>
    </w:p>
    <w:p>
      <w:pPr>
        <w:spacing w:after="0" w:line="1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Convertible Note Hedge Transactions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paid an aggregate amount of $84.1 million for the Convertible Note Hedge Transactions. The Convertible Note Hedge Transactions cover, subject to anti-dilution adjustments substantially similar to those in the Convertible Notes, approximately 3.7 million shares of our common stock, the same number of shares initially underlying the Convertible Notes, at a strike price of approximately $126.00, subject to customary adjustments. The Convertible Note Hedge Transactions will expire upon the maturity of the Convertible Notes, subject to earlier exercise or termination. The Convertible Note Hedge Transactions are expected generally to reduce the potential dilutive effect of the conversion of the Convertible Notes and/or offset any cash payments we are required to make in excess of the principal amount of the converted notes, as the case may be, in the event that the market price per share of our common stock, as measured under the terms of the Convertible Note Hedge Transactions, is greater than the strike price of those Convertible Note Hedge Transactions. The Convertible Note Hedge Transactions meet the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criteria in Accounting Standards Codification (ASC) 815-40 to be classified within Stockholders' Equity, and therefore the transactions are not revalued after their issuance.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made a tax election to integrate the Convertible Notes and the call options. We are retaining the identification statements in our books and records, together with a schedule providing the accruals on the synthetic debt instruments. The accounting impact of this tax election makes the call options deductible as original issue discount for tax purposes over the term of the Convertible Note, and results in a $20.6 million deferred tax asset recognized through equity.</w:t>
      </w:r>
    </w:p>
    <w:p>
      <w:pPr>
        <w:spacing w:after="0" w:line="2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Warrant Transactions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concurrently with entering into the Convertible Note Hedge Transactions, we separately entered into privately-negotiated Warrant Transactions (the Warrant Transactions), whereby we sold to the Counterparties warrants to acquire, collectively, subject to anti-dilution adjustments, 3.7 million shares of our common stock at an initial strike price of $180.00 per share, which represents a premium of 100% over the public offering price in the common stock issuance. We received aggregate proceeds of $45.3 million from the Warrant Transactions with the Counterparties, with such proceeds partially offsetting the costs of entering into the Convertible Note Hedge Transactions. The warrants expire in June 2026. If the market value per share of our common stock, as measured under the Warrants Transactions, exceeds the strike price of the warrants, the warrants will have a dilutive effect on our earnings per share, unless we elect, subject to certain conditions, to settle the warrants in cash. The warrants meet the criteria in ASC 815-40 to be classified within Stockholders' Equity, therefore the warrants are not revalued after issuance.</w:t>
      </w:r>
    </w:p>
    <w:p>
      <w:pPr>
        <w:spacing w:after="0" w:line="21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Defined Benefit Pension Plans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sponsor both funded and unfunded defined benefit pension plans offering death and disability, retirement, and special termination benefits for certain of our international employees, primarily in Germany, France, Indonesia, India, and Italy. The defined benefit obligation is calculated annually by using the projected unit credit method. The measurement date for the pension plans was December 31,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on the Consolidated Balance Sheets consist of:</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60" w:type="dxa"/>
            <w:vAlign w:val="bottom"/>
          </w:tcPr>
          <w:p>
            <w:pPr>
              <w:spacing w:after="0"/>
              <w:rPr>
                <w:sz w:val="18"/>
                <w:szCs w:val="18"/>
                <w:color w:val="auto"/>
              </w:rPr>
            </w:pPr>
          </w:p>
        </w:tc>
        <w:tc>
          <w:tcPr>
            <w:tcW w:w="19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3"/>
        </w:trPr>
        <w:tc>
          <w:tcPr>
            <w:tcW w:w="6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36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r>
      <w:tr>
        <w:trPr>
          <w:trHeight w:val="213"/>
        </w:trPr>
        <w:tc>
          <w:tcPr>
            <w:tcW w:w="6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portion of pension benefit obligation in wages and benefits payable</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3,393</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3,088</w:t>
            </w:r>
          </w:p>
        </w:tc>
      </w:tr>
      <w:tr>
        <w:trPr>
          <w:trHeight w:val="219"/>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Pension benefit obligation held for sale within other current liabilities</w:t>
            </w:r>
          </w:p>
        </w:tc>
        <w:tc>
          <w:tcPr>
            <w:tcW w:w="36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11,513</w:t>
            </w:r>
          </w:p>
        </w:tc>
      </w:tr>
      <w:tr>
        <w:trPr>
          <w:trHeight w:val="213"/>
        </w:trPr>
        <w:tc>
          <w:tcPr>
            <w:tcW w:w="6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Long-term portion of pension benefit obligation</w:t>
            </w: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77,396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87,863</w:t>
            </w:r>
          </w:p>
        </w:tc>
      </w:tr>
      <w:tr>
        <w:trPr>
          <w:trHeight w:val="235"/>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Pension benefit obligation, net</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80,789</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102,464</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2, 2021, Itron entered into an agreement to sell certain of its Gas device businesses and operations to Dresser Utility Solutions (Dresser). The related disposal group was classified as held for sale during the fourth quarter of 2021. The disposal group was removed from our balance sheet when the transaction closed on February 28, 2022. Refer to Note 17: Sale of Business for additional information on the transaction.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asset investment strategy focuses on maintaining a portfolio using primarily insurance funds, which are accounted for as investments and measured at fair value, in order to achieve our long-term investment objectives on a risk-adjusted basis. Our general funding policy for these qualified pension plans is to contribute amounts sufficient to satisfy regulatory funding standards of the respective countries for each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periodic pension benefit cost for our plans include the following components: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284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tcBorders>
              <w:bottom w:val="single" w:sz="8" w:color="auto"/>
            </w:tcBorders>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40" w:type="dxa"/>
            <w:vAlign w:val="bottom"/>
            <w:tcBorders>
              <w:bottom w:val="single" w:sz="8" w:color="auto"/>
            </w:tcBorders>
          </w:tcPr>
          <w:p>
            <w:pPr>
              <w:spacing w:after="0"/>
              <w:rPr>
                <w:sz w:val="18"/>
                <w:szCs w:val="18"/>
                <w:color w:val="auto"/>
              </w:rPr>
            </w:pPr>
          </w:p>
        </w:tc>
      </w:tr>
      <w:tr>
        <w:trPr>
          <w:trHeight w:val="21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540" w:type="dxa"/>
            <w:vAlign w:val="bottom"/>
            <w:tcBorders>
              <w:bottom w:val="single" w:sz="8" w:color="auto"/>
            </w:tcBorders>
          </w:tcPr>
          <w:p>
            <w:pPr>
              <w:spacing w:after="0"/>
              <w:rPr>
                <w:sz w:val="18"/>
                <w:szCs w:val="18"/>
                <w:color w:val="auto"/>
              </w:rPr>
            </w:pPr>
          </w:p>
        </w:tc>
      </w:tr>
      <w:tr>
        <w:trPr>
          <w:trHeight w:val="21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2,251</w:t>
            </w:r>
          </w:p>
        </w:tc>
      </w:tr>
      <w:tr>
        <w:trPr>
          <w:trHeight w:val="213"/>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w:t>
            </w:r>
          </w:p>
        </w:tc>
      </w:tr>
      <w:tr>
        <w:trPr>
          <w:trHeight w:val="21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r>
      <w:tr>
        <w:trPr>
          <w:trHeight w:val="213"/>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prior service costs</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actuarial net loss</w:t>
            </w:r>
          </w:p>
        </w:tc>
        <w:tc>
          <w:tcPr>
            <w:tcW w:w="1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1,389</w:t>
            </w:r>
          </w:p>
        </w:tc>
      </w:tr>
      <w:tr>
        <w:trPr>
          <w:trHeight w:val="210"/>
        </w:trPr>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periodic benefit cost</w:t>
            </w:r>
          </w:p>
        </w:tc>
        <w:tc>
          <w:tcPr>
            <w:tcW w:w="110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1,265</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2,074</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2,672</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4,198</w:t>
            </w:r>
          </w:p>
        </w:tc>
      </w:tr>
      <w:tr>
        <w:trPr>
          <w:trHeight w:val="20"/>
        </w:trPr>
        <w:tc>
          <w:tcPr>
            <w:tcW w:w="43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net periodic benefit cost, other than the service cost component, are included in total other income (expense) on the Consolidated Statements of Operations.</w:t>
      </w:r>
    </w:p>
    <w:p>
      <w:pPr>
        <w:spacing w:after="0" w:line="18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grant stock-based compensation awards, including restricted stock units, phantom stock, and unrestricted stock units, under the Second Amended and Restated 2010 Stock Incentive Plan (Stock Incentive Plan). Prior to December 31, 2020, stock options were also granted as part of the stock-based compensation awards. In the Stock Incentive Plan, we have 12,623,538 shares of common stock reserved and authorized for issuance subject to stock splits, dividends, and other similar events. At June 30, 2022, 4,650,545 shares were available for grant. We issue new shares of common stock upon the exercise of stock options or when vesting conditions on restricted stock units are fully satisfied. These shares are subject to a fungible share provision such that the authorized share available for grant is reduced by (i) one share for every one share subject to a stock option or share appreciation right granted under the Plan and (ii) 1.7 shares for every one share of common stock that was subject to an award other than an option or share appreciation right.</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award phantom stock units, which are settled in cash upon vesting and accounted for as liability-based awards, with no impact to the shares available for grant.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we maintain the Employee Stock Purchase Plan (ESPP), for which 108,827 shares of common stock were available for future issuance at June 30, 2022.</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ESPP activity and stock-based grants other than stock options and restricted stock units were not significant for the three and six months ended June 30, 2022 and 2021.</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stock-based compensation expense and the related tax benefit were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284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Borders>
              <w:bottom w:val="single" w:sz="8" w:color="auto"/>
            </w:tcBorders>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80" w:type="dxa"/>
            <w:vAlign w:val="bottom"/>
            <w:tcBorders>
              <w:bottom w:val="single" w:sz="8" w:color="auto"/>
            </w:tcBorders>
          </w:tcPr>
          <w:p>
            <w:pPr>
              <w:spacing w:after="0"/>
              <w:rPr>
                <w:sz w:val="18"/>
                <w:szCs w:val="18"/>
                <w:color w:val="auto"/>
              </w:rPr>
            </w:pPr>
          </w:p>
        </w:tc>
      </w:tr>
      <w:tr>
        <w:trPr>
          <w:trHeight w:val="21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580" w:type="dxa"/>
            <w:vAlign w:val="bottom"/>
            <w:tcBorders>
              <w:bottom w:val="single" w:sz="8" w:color="auto"/>
            </w:tcBorders>
          </w:tcPr>
          <w:p>
            <w:pPr>
              <w:spacing w:after="0"/>
              <w:rPr>
                <w:sz w:val="18"/>
                <w:szCs w:val="18"/>
                <w:color w:val="auto"/>
              </w:rPr>
            </w:pPr>
          </w:p>
        </w:tc>
      </w:tr>
      <w:tr>
        <w:trPr>
          <w:trHeight w:val="21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r>
      <w:tr>
        <w:trPr>
          <w:trHeight w:val="213"/>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5,869</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5,511</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11,453</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11,442</w:t>
            </w:r>
          </w:p>
        </w:tc>
      </w:tr>
      <w:tr>
        <w:trPr>
          <w:trHeight w:val="21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Unrestricted stock awards</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r>
      <w:tr>
        <w:trPr>
          <w:trHeight w:val="213"/>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Phantom stock units</w:t>
            </w:r>
          </w:p>
        </w:tc>
        <w:tc>
          <w:tcPr>
            <w:tcW w:w="1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1,225</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2,342</w:t>
            </w:r>
          </w:p>
        </w:tc>
      </w:tr>
      <w:tr>
        <w:trPr>
          <w:trHeight w:val="237"/>
        </w:trPr>
        <w:tc>
          <w:tcPr>
            <w:tcW w:w="43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stock-based compensation</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6,987</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7,313</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13,304</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14,928</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41"/>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Related tax benefit</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1,434</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2,803</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2,681</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stock option activity is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200" w:type="dxa"/>
            <w:vAlign w:val="bottom"/>
          </w:tcPr>
          <w:p>
            <w:pPr>
              <w:spacing w:after="0"/>
              <w:rPr>
                <w:sz w:val="16"/>
                <w:szCs w:val="16"/>
                <w:color w:val="auto"/>
              </w:rPr>
            </w:pPr>
          </w:p>
        </w:tc>
        <w:tc>
          <w:tcPr>
            <w:tcW w:w="168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13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14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4"/>
                <w:szCs w:val="14"/>
                <w:color w:val="auto"/>
              </w:rPr>
            </w:pPr>
          </w:p>
        </w:tc>
        <w:tc>
          <w:tcPr>
            <w:tcW w:w="15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Average Exercise</w:t>
            </w:r>
          </w:p>
        </w:tc>
        <w:tc>
          <w:tcPr>
            <w:tcW w:w="18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200" w:type="dxa"/>
            <w:vAlign w:val="bottom"/>
          </w:tcPr>
          <w:p>
            <w:pPr>
              <w:spacing w:after="0"/>
              <w:rPr>
                <w:sz w:val="14"/>
                <w:szCs w:val="14"/>
                <w:color w:val="auto"/>
              </w:rPr>
            </w:pPr>
          </w:p>
        </w:tc>
        <w:tc>
          <w:tcPr>
            <w:tcW w:w="1680" w:type="dxa"/>
            <w:vAlign w:val="bottom"/>
            <w:gridSpan w:val="3"/>
            <w:vMerge w:val="continue"/>
          </w:tcPr>
          <w:p>
            <w:pPr>
              <w:spacing w:after="0"/>
              <w:rPr>
                <w:sz w:val="14"/>
                <w:szCs w:val="14"/>
                <w:color w:val="auto"/>
              </w:rPr>
            </w:pPr>
          </w:p>
        </w:tc>
        <w:tc>
          <w:tcPr>
            <w:tcW w:w="136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rPr>
              <w:t>Average Grant</w:t>
            </w:r>
          </w:p>
        </w:tc>
        <w:tc>
          <w:tcPr>
            <w:tcW w:w="0" w:type="dxa"/>
            <w:vAlign w:val="bottom"/>
          </w:tcPr>
          <w:p>
            <w:pPr>
              <w:spacing w:after="0"/>
              <w:rPr>
                <w:sz w:val="1"/>
                <w:szCs w:val="1"/>
                <w:color w:val="auto"/>
              </w:rPr>
            </w:pPr>
          </w:p>
        </w:tc>
      </w:tr>
      <w:tr>
        <w:trPr>
          <w:trHeight w:val="214"/>
        </w:trPr>
        <w:tc>
          <w:tcPr>
            <w:tcW w:w="30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Price per Share</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Contractual Life</w:t>
            </w:r>
          </w:p>
        </w:tc>
        <w:tc>
          <w:tcPr>
            <w:tcW w:w="200" w:type="dxa"/>
            <w:vAlign w:val="bottom"/>
          </w:tcPr>
          <w:p>
            <w:pPr>
              <w:spacing w:after="0"/>
              <w:rPr>
                <w:sz w:val="18"/>
                <w:szCs w:val="18"/>
                <w:color w:val="auto"/>
              </w:rPr>
            </w:pPr>
          </w:p>
        </w:tc>
        <w:tc>
          <w:tcPr>
            <w:tcW w:w="1680" w:type="dxa"/>
            <w:vAlign w:val="bottom"/>
            <w:gridSpan w:val="3"/>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Intrinsic Value</w:t>
            </w:r>
          </w:p>
        </w:tc>
        <w:tc>
          <w:tcPr>
            <w:tcW w:w="13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Date Fair Value</w:t>
            </w:r>
          </w:p>
        </w:tc>
        <w:tc>
          <w:tcPr>
            <w:tcW w:w="0" w:type="dxa"/>
            <w:vAlign w:val="bottom"/>
          </w:tcPr>
          <w:p>
            <w:pPr>
              <w:spacing w:after="0"/>
              <w:rPr>
                <w:sz w:val="1"/>
                <w:szCs w:val="1"/>
                <w:color w:val="auto"/>
              </w:rPr>
            </w:pPr>
          </w:p>
        </w:tc>
      </w:tr>
      <w:tr>
        <w:trPr>
          <w:trHeight w:val="209"/>
        </w:trPr>
        <w:tc>
          <w:tcPr>
            <w:tcW w:w="3060" w:type="dxa"/>
            <w:vAlign w:val="bottom"/>
          </w:tcPr>
          <w:p>
            <w:pPr>
              <w:spacing w:after="0"/>
              <w:rPr>
                <w:sz w:val="18"/>
                <w:szCs w:val="18"/>
                <w:color w:val="auto"/>
              </w:rPr>
            </w:pPr>
          </w:p>
        </w:tc>
        <w:tc>
          <w:tcPr>
            <w:tcW w:w="13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auto"/>
                <w:w w:val="97"/>
              </w:rPr>
              <w:t>(Years)</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January 1, 2021</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61.95</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Exercised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66.97</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83.33</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June 30, 2021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61.25</w:t>
            </w:r>
          </w:p>
        </w:tc>
        <w:tc>
          <w:tcPr>
            <w:tcW w:w="10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January 1, 2022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61.18</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Exercised</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87.27</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Canceled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June 30, 2022</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60.69</w:t>
            </w:r>
          </w:p>
        </w:tc>
        <w:tc>
          <w:tcPr>
            <w:tcW w:w="100" w:type="dxa"/>
            <w:vAlign w:val="bottom"/>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0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Exercisable, June 30, 2022</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57.95</w:t>
            </w:r>
          </w:p>
        </w:tc>
        <w:tc>
          <w:tcPr>
            <w:tcW w:w="100" w:type="dxa"/>
            <w:vAlign w:val="bottom"/>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0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June 30, 2022, total unrecognized stock-based compensation expense related to nonvested stock options was $0.4 million, which is expected to be recognized over a weighted average period of approximately 0.7 years.</w:t>
      </w:r>
    </w:p>
    <w:p>
      <w:pPr>
        <w:spacing w:after="0" w:line="1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activity:</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2200" w:type="dxa"/>
            <w:vAlign w:val="bottom"/>
            <w:vMerge w:val="restart"/>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340" w:type="dxa"/>
            <w:vAlign w:val="bottom"/>
          </w:tcPr>
          <w:p>
            <w:pPr>
              <w:spacing w:after="0"/>
              <w:rPr>
                <w:sz w:val="16"/>
                <w:szCs w:val="16"/>
                <w:color w:val="auto"/>
              </w:rPr>
            </w:pPr>
          </w:p>
        </w:tc>
        <w:tc>
          <w:tcPr>
            <w:tcW w:w="1840" w:type="dxa"/>
            <w:vAlign w:val="bottom"/>
            <w:vMerge w:val="restart"/>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fair value</w:t>
            </w:r>
          </w:p>
        </w:tc>
        <w:tc>
          <w:tcPr>
            <w:tcW w:w="2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gridSpan w:val="2"/>
          </w:tcPr>
          <w:p>
            <w:pPr>
              <w:jc w:val="center"/>
              <w:ind w:right="420"/>
              <w:spacing w:after="0" w:line="162" w:lineRule="exact"/>
              <w:rPr>
                <w:sz w:val="20"/>
                <w:szCs w:val="20"/>
                <w:color w:val="auto"/>
              </w:rPr>
            </w:pPr>
            <w:r>
              <w:rPr>
                <w:rFonts w:ascii="Times New Roman" w:cs="Times New Roman" w:eastAsia="Times New Roman" w:hAnsi="Times New Roman"/>
                <w:sz w:val="16"/>
                <w:szCs w:val="16"/>
                <w:b w:val="1"/>
                <w:bCs w:val="1"/>
                <w:color w:val="auto"/>
              </w:rPr>
              <w:t>Average Grant</w:t>
            </w:r>
          </w:p>
        </w:tc>
        <w:tc>
          <w:tcPr>
            <w:tcW w:w="34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400" w:type="dxa"/>
            <w:vAlign w:val="bottom"/>
            <w:vMerge w:val="continue"/>
          </w:tcPr>
          <w:p>
            <w:pPr>
              <w:spacing w:after="0"/>
              <w:rPr>
                <w:sz w:val="18"/>
                <w:szCs w:val="18"/>
                <w:color w:val="auto"/>
              </w:rPr>
            </w:pPr>
          </w:p>
        </w:tc>
        <w:tc>
          <w:tcPr>
            <w:tcW w:w="22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Restricted Stock Units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8"/>
              </w:rPr>
              <w:t>Date Fair Value</w:t>
            </w:r>
          </w:p>
        </w:tc>
        <w:tc>
          <w:tcPr>
            <w:tcW w:w="340" w:type="dxa"/>
            <w:vAlign w:val="bottom"/>
          </w:tcPr>
          <w:p>
            <w:pPr>
              <w:spacing w:after="0"/>
              <w:rPr>
                <w:sz w:val="18"/>
                <w:szCs w:val="18"/>
                <w:color w:val="auto"/>
              </w:rPr>
            </w:pPr>
          </w:p>
        </w:tc>
        <w:tc>
          <w:tcPr>
            <w:tcW w:w="18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Intrinsic Value</w:t>
            </w:r>
          </w:p>
        </w:tc>
        <w:tc>
          <w:tcPr>
            <w:tcW w:w="0" w:type="dxa"/>
            <w:vAlign w:val="bottom"/>
          </w:tcPr>
          <w:p>
            <w:pPr>
              <w:spacing w:after="0"/>
              <w:rPr>
                <w:sz w:val="1"/>
                <w:szCs w:val="1"/>
                <w:color w:val="auto"/>
              </w:rPr>
            </w:pPr>
          </w:p>
        </w:tc>
      </w:tr>
      <w:tr>
        <w:trPr>
          <w:trHeight w:val="211"/>
        </w:trPr>
        <w:tc>
          <w:tcPr>
            <w:tcW w:w="4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January 1, 2021</w:t>
            </w: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360"/>
              <w:spacing w:after="0" w:line="219" w:lineRule="exact"/>
              <w:rPr>
                <w:sz w:val="20"/>
                <w:szCs w:val="20"/>
                <w:color w:val="auto"/>
              </w:rPr>
            </w:pPr>
            <w:r>
              <w:rPr>
                <w:rFonts w:ascii="Times New Roman" w:cs="Times New Roman" w:eastAsia="Times New Roman" w:hAnsi="Times New Roman"/>
                <w:sz w:val="16"/>
                <w:szCs w:val="16"/>
                <w:color w:val="auto"/>
              </w:rPr>
              <w:t xml:space="preserve">Released </w:t>
            </w:r>
            <w:r>
              <w:rPr>
                <w:rFonts w:ascii="Times New Roman" w:cs="Times New Roman" w:eastAsia="Times New Roman" w:hAnsi="Times New Roman"/>
                <w:sz w:val="21"/>
                <w:szCs w:val="21"/>
                <w:color w:val="auto"/>
                <w:vertAlign w:val="superscript"/>
              </w:rPr>
              <w:t>(1)</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19,474</w:t>
            </w:r>
          </w:p>
        </w:tc>
        <w:tc>
          <w:tcPr>
            <w:tcW w:w="0" w:type="dxa"/>
            <w:vAlign w:val="bottom"/>
          </w:tcPr>
          <w:p>
            <w:pPr>
              <w:spacing w:after="0"/>
              <w:rPr>
                <w:sz w:val="1"/>
                <w:szCs w:val="1"/>
                <w:color w:val="auto"/>
              </w:rPr>
            </w:pPr>
          </w:p>
        </w:tc>
      </w:tr>
      <w:tr>
        <w:trPr>
          <w:trHeight w:val="213"/>
        </w:trPr>
        <w:tc>
          <w:tcPr>
            <w:tcW w:w="4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June 30, 2021</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January 1, 2022</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360"/>
              <w:spacing w:after="0" w:line="219" w:lineRule="exact"/>
              <w:rPr>
                <w:sz w:val="20"/>
                <w:szCs w:val="20"/>
                <w:color w:val="auto"/>
              </w:rPr>
            </w:pPr>
            <w:r>
              <w:rPr>
                <w:rFonts w:ascii="Times New Roman" w:cs="Times New Roman" w:eastAsia="Times New Roman" w:hAnsi="Times New Roman"/>
                <w:sz w:val="16"/>
                <w:szCs w:val="16"/>
                <w:color w:val="auto"/>
              </w:rPr>
              <w:t xml:space="preserve">Released </w:t>
            </w:r>
            <w:r>
              <w:rPr>
                <w:rFonts w:ascii="Times New Roman" w:cs="Times New Roman" w:eastAsia="Times New Roman" w:hAnsi="Times New Roman"/>
                <w:sz w:val="21"/>
                <w:szCs w:val="21"/>
                <w:color w:val="auto"/>
                <w:vertAlign w:val="superscript"/>
              </w:rPr>
              <w:t>(1)</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8,430</w:t>
            </w:r>
          </w:p>
        </w:tc>
        <w:tc>
          <w:tcPr>
            <w:tcW w:w="0" w:type="dxa"/>
            <w:vAlign w:val="bottom"/>
          </w:tcPr>
          <w:p>
            <w:pPr>
              <w:spacing w:after="0"/>
              <w:rPr>
                <w:sz w:val="1"/>
                <w:szCs w:val="1"/>
                <w:color w:val="auto"/>
              </w:rPr>
            </w:pPr>
          </w:p>
        </w:tc>
      </w:tr>
      <w:tr>
        <w:trPr>
          <w:trHeight w:val="213"/>
        </w:trPr>
        <w:tc>
          <w:tcPr>
            <w:tcW w:w="4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73.03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June 30, 2022</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 but not released, June 30, 2022</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Shares released is presented as gross shares and does not reflect shares withheld by us for employee payroll tax obligations.</w:t>
      </w:r>
    </w:p>
    <w:p>
      <w:pPr>
        <w:spacing w:after="0" w:line="23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June 30, 2022, total unrecognized compensation expense on restricted stock units was $32.1 million, which is expected to be recognized over a weighted average period of approximately 1.8 years.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assumptions used to estimate the fair value of performance-based restricted stock units granted with a</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 and market condition and the resulting weighted average fair value are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20" w:type="dxa"/>
            <w:vAlign w:val="bottom"/>
          </w:tcPr>
          <w:p>
            <w:pPr>
              <w:spacing w:after="0"/>
              <w:rPr>
                <w:sz w:val="18"/>
                <w:szCs w:val="18"/>
                <w:color w:val="auto"/>
              </w:rPr>
            </w:pPr>
          </w:p>
        </w:tc>
        <w:tc>
          <w:tcPr>
            <w:tcW w:w="2940" w:type="dxa"/>
            <w:vAlign w:val="bottom"/>
            <w:tcBorders>
              <w:bottom w:val="single" w:sz="8" w:color="auto"/>
            </w:tcBorders>
            <w:gridSpan w:val="4"/>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80" w:type="dxa"/>
            <w:vAlign w:val="bottom"/>
            <w:tcBorders>
              <w:bottom w:val="single" w:sz="8" w:color="auto"/>
            </w:tcBorders>
          </w:tcPr>
          <w:p>
            <w:pPr>
              <w:spacing w:after="0"/>
              <w:rPr>
                <w:sz w:val="18"/>
                <w:szCs w:val="18"/>
                <w:color w:val="auto"/>
              </w:rPr>
            </w:pPr>
          </w:p>
        </w:tc>
      </w:tr>
      <w:tr>
        <w:trPr>
          <w:trHeight w:val="211"/>
        </w:trPr>
        <w:tc>
          <w:tcPr>
            <w:tcW w:w="76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680" w:type="dxa"/>
            <w:vAlign w:val="bottom"/>
            <w:tcBorders>
              <w:bottom w:val="single" w:sz="8" w:color="auto"/>
            </w:tcBorders>
          </w:tcPr>
          <w:p>
            <w:pPr>
              <w:spacing w:after="0"/>
              <w:rPr>
                <w:sz w:val="18"/>
                <w:szCs w:val="18"/>
                <w:color w:val="auto"/>
              </w:rPr>
            </w:pPr>
          </w:p>
        </w:tc>
      </w:tr>
      <w:tr>
        <w:trPr>
          <w:trHeight w:val="211"/>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55.7 %</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50.5 %</w:t>
            </w:r>
          </w:p>
        </w:tc>
      </w:tr>
      <w:tr>
        <w:trPr>
          <w:trHeight w:val="213"/>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1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r>
      <w:tr>
        <w:trPr>
          <w:trHeight w:val="21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term (years)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57"/>
        </w:trPr>
        <w:tc>
          <w:tcPr>
            <w:tcW w:w="76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16"/>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fair value</w:t>
            </w: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57.88</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113.75</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determine the interim tax benefit (provision) by applying an estimate of the annual effective tax rate to the year-to-date pretax book income (loss) and adjusting for discrete items during the reporting period, if any. Tax jurisdictions with losses for which tax benefits cannot be realized, as well as significant unusual or infrequently occurring items that are separately reported, are excluded from the annual effective tax rate.</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tax rate for the three and six months ended June 30, 2022 of (2)% and (14)%, respectively, differed from the federal statutory rate of 21% due to the impact of valuation allowances on deferred tax assets, the forecasted mix of earnings in domestic and international jurisdictions, GILTI (Global Intangible Low-Taxed Income) and Subpart F tax, net of Section 250 deduction (largely driven by research and development capitalization), discrete tax expense related to the Dresser divestiture, a discrete tax benefit due to goodwill impairment, an expense related to stock-based compensation, tax credits, and uncertain tax positions.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tax rate for the three and six months ended June 30, 2021 of 1% and (31)%, respectively, differed from the federal statutory rate of 21% primarily due to reserves recognized on deferred sales price receivables in the second quarter related to the 2020 divestiture of the majority of our Latin American business activities. This item was recognized for tax as a discrete and resulted in no tax benefit. Other rate drivers include losses in jurisdictions for which no benefit is recognized because of valuation allowances on deferred tax assets, the forecasted mix of earnings in domestic and international jurisdictions, a benefit related to stock-based compensation, and uncertain tax positions.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Beginning January 1, 2022, the Tax Cuts and Jobs Act of 2017 eliminates the option to deduct research and development expenditures currently and requires taxpayers to capitalize and amortize them over five or fifteen years. Although Congress is considering legislation that would defer the capitalization and amortization requirement, there is no assurance that the provision will be repealed or otherwise modified. As a result of research and development conducted outside of the U.S., we expect additional GILTI (Global Intangible Low-Taxed Income) tax, net of Section 250 deduction for 2022. The income tax provision has been prepared according to this currently enacted tax legislation, but a change in tax law with regards to capitalization of research and development expenditures would have a material beneficial impact on our annual effective tax rate.</w:t>
      </w:r>
    </w:p>
    <w:p>
      <w:pPr>
        <w:spacing w:after="0" w:line="2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classify interest expense and penalties related to unrecognized tax liabilities and interest income on tax overpayments as components of income tax expense. The net interest and penalties expense amounts recognized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2900" w:type="dxa"/>
            <w:vAlign w:val="bottom"/>
            <w:tcBorders>
              <w:bottom w:val="single" w:sz="8" w:color="auto"/>
            </w:tcBorders>
            <w:gridSpan w:val="4"/>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interest and penalties expense</w:t>
            </w: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interest and penalties recognized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140" w:type="dxa"/>
            <w:vAlign w:val="bottom"/>
          </w:tcPr>
          <w:p>
            <w:pPr>
              <w:spacing w:after="0"/>
              <w:rPr>
                <w:sz w:val="18"/>
                <w:szCs w:val="18"/>
                <w:color w:val="auto"/>
              </w:rPr>
            </w:pPr>
          </w:p>
        </w:tc>
        <w:tc>
          <w:tcPr>
            <w:tcW w:w="19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3"/>
        </w:trPr>
        <w:tc>
          <w:tcPr>
            <w:tcW w:w="3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interest</w:t>
            </w:r>
          </w:p>
        </w:tc>
        <w:tc>
          <w:tcPr>
            <w:tcW w:w="314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3,407</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2,964</w:t>
            </w:r>
          </w:p>
        </w:tc>
      </w:tr>
      <w:tr>
        <w:trPr>
          <w:trHeight w:val="210"/>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penalties</w:t>
            </w:r>
          </w:p>
        </w:tc>
        <w:tc>
          <w:tcPr>
            <w:tcW w:w="31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Unrecognized tax benefits related to uncertain tax positions and the amount of unrecognized tax benefits that, if recognized, would affect our effective tax rate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640" w:type="dxa"/>
            <w:vAlign w:val="bottom"/>
          </w:tcPr>
          <w:p>
            <w:pPr>
              <w:spacing w:after="0"/>
              <w:rPr>
                <w:sz w:val="18"/>
                <w:szCs w:val="18"/>
                <w:color w:val="auto"/>
              </w:rPr>
            </w:pPr>
          </w:p>
        </w:tc>
        <w:tc>
          <w:tcPr>
            <w:tcW w:w="19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3"/>
        </w:trPr>
        <w:tc>
          <w:tcPr>
            <w:tcW w:w="6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Unrecognized tax benefits related to uncertain tax positions</w:t>
            </w:r>
          </w:p>
        </w:tc>
        <w:tc>
          <w:tcPr>
            <w:tcW w:w="64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139,214</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139,529</w:t>
            </w:r>
          </w:p>
        </w:tc>
      </w:tr>
      <w:tr>
        <w:trPr>
          <w:trHeight w:val="210"/>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 amount of unrecognized tax benefits that, if recognized, would affect our effective tax rate</w:t>
            </w:r>
          </w:p>
        </w:tc>
        <w:tc>
          <w:tcPr>
            <w:tcW w:w="6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139,207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139,503</w:t>
            </w:r>
          </w:p>
        </w:tc>
      </w:tr>
    </w:tbl>
    <w:p>
      <w:pPr>
        <w:spacing w:after="0" w:line="3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2022, we are under examination by certain tax authorities. We believe we have appropriately accrued for the expected outcome of all tax matters and do not currently anticipate that the ultimate resolution of these examinations will have a material adverse effect on our financial condition, future results of operations, or cash flows.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upon the timing and outcome of examinations, litigation, the impact of legislative, regulatory, and judicial developments, and the impact of these items on the statute of limitations, it is reasonably possible that the related unrecognized tax benefits could change from those recognized within the next twelve months. However, at this time, an estimate of the range of reasonably possible adjustments to the balance of unrecognized tax benefits cannot be made.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file income tax returns in various jurisdictions. The material jurisdictions where we are subject to examination include, among others, the United States, France, Germany, Italy, Indonesia, and the United Kingdom.</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27, 2020, the U.S. Federal government passed the Coronavirus Aid, Relief, and Economic Security (CARES) Act to provide economic relief from COVID-19. The CARES Act also provides employer payroll tax credits for wages paid to employees who are unable to work during the COVID-19 outbreak and options to defer payroll tax payments. The Company has elected to defer remittances of payroll and other taxes into the future as provided for under the Act.</w:t>
      </w:r>
    </w:p>
    <w:p>
      <w:pPr>
        <w:spacing w:after="0" w:line="20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11:</w:t>
        <w:tab/>
        <w:t>Commitments and Contingencies</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Guarantees and Indemnifications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often required to obtain standby letters of credit (LOCs) or bonds in support of our obligations for customer contracts. These standby LOCs or bonds typically provide a guarantee to the customer for our future performance, which usually covers the installation phase of a contract and may, on occasion, cover the operations and maintenance phase of outsourcing contracts.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available lines of credit, outstanding standby LOCs, and bonds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60" w:type="dxa"/>
            <w:vAlign w:val="bottom"/>
          </w:tcPr>
          <w:p>
            <w:pPr>
              <w:spacing w:after="0"/>
              <w:rPr>
                <w:sz w:val="18"/>
                <w:szCs w:val="18"/>
                <w:color w:val="auto"/>
              </w:rPr>
            </w:pPr>
          </w:p>
        </w:tc>
        <w:tc>
          <w:tcPr>
            <w:tcW w:w="19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0"/>
        </w:trPr>
        <w:tc>
          <w:tcPr>
            <w:tcW w:w="6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Credit facility</w:t>
            </w:r>
          </w:p>
        </w:tc>
        <w:tc>
          <w:tcPr>
            <w:tcW w:w="36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r>
      <w:tr>
        <w:trPr>
          <w:trHeight w:val="219"/>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Multicurrency revolving line of credit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13"/>
        </w:trPr>
        <w:tc>
          <w:tcPr>
            <w:tcW w:w="6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Standby LOCs issued and outstanding</w:t>
            </w: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(64,651)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(64,374)</w:t>
            </w:r>
          </w:p>
        </w:tc>
      </w:tr>
      <w:tr>
        <w:trPr>
          <w:trHeight w:val="234"/>
        </w:trPr>
        <w:tc>
          <w:tcPr>
            <w:tcW w:w="67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available for additional borrowings under the multicurrency revolving line of credit</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435,349</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435,626</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6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38"/>
        </w:trPr>
        <w:tc>
          <w:tcPr>
            <w:tcW w:w="6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available for additional standby LOCs under sub-facility</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235,349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235,626</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6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Unsecured multicurrency revolving lines of credit with various financial institutions</w:t>
            </w: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13"/>
        </w:trPr>
        <w:tc>
          <w:tcPr>
            <w:tcW w:w="6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Multicurrency revolving lines of credit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101,168</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94,845</w:t>
            </w:r>
          </w:p>
        </w:tc>
      </w:tr>
      <w:tr>
        <w:trPr>
          <w:trHeight w:val="219"/>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Standby LOCs issued and outstanding</w:t>
            </w: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(19,957)</w:t>
            </w:r>
          </w:p>
        </w:tc>
      </w:tr>
      <w:tr>
        <w:trPr>
          <w:trHeight w:val="213"/>
        </w:trPr>
        <w:tc>
          <w:tcPr>
            <w:tcW w:w="6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Short-term borrowings</w:t>
            </w:r>
          </w:p>
        </w:tc>
        <w:tc>
          <w:tcPr>
            <w:tcW w:w="360" w:type="dxa"/>
            <w:vAlign w:val="bottom"/>
          </w:tcPr>
          <w:p>
            <w:pPr>
              <w:spacing w:after="0"/>
              <w:rPr>
                <w:sz w:val="18"/>
                <w:szCs w:val="18"/>
                <w:color w:val="auto"/>
              </w:rPr>
            </w:pPr>
          </w:p>
        </w:tc>
        <w:tc>
          <w:tcPr>
            <w:tcW w:w="1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5"/>
        </w:trPr>
        <w:tc>
          <w:tcPr>
            <w:tcW w:w="676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available for additional borrowings and LOCs</w:t>
            </w: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90,179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74,888</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6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3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Unsecured surety bonds in force</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277,216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281,270</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any such standby LOC or bond is called, we would be obligated to reimburse the issuer of the standby LOC or bond; however, as of August 4, 2022, we do not believe any outstanding standby LOCs or bonds will be called.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promptly notifies us in writing of the claim and (b) we have the sole control of the defense and all related settlement negotiations. We may also provide an indemnification to our customers for third-party claims resulting from damages caused by the negligence or willful misconduct of our employees/agents in connection with the performance of certain contracts. The terms of our indemnifications generally do not limit the maximum potential payments. It is not possible to predict the maximum potential amount of future payments under these or similar agreements.</w:t>
      </w:r>
    </w:p>
    <w:p>
      <w:pPr>
        <w:spacing w:after="0" w:line="2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A liability would be recognized and charged to operating expense when we determine that a loss is probable and the amount can be reasonably estimated. Additionally, we disclose contingencies for which a material loss is reasonably possible, but not probable.</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Warranty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warranty accrual account activity is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2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Borders>
              <w:bottom w:val="single" w:sz="8" w:color="auto"/>
            </w:tcBorders>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80" w:type="dxa"/>
            <w:vAlign w:val="bottom"/>
            <w:tcBorders>
              <w:bottom w:val="single" w:sz="8" w:color="auto"/>
            </w:tcBorders>
          </w:tcPr>
          <w:p>
            <w:pPr>
              <w:spacing w:after="0"/>
              <w:rPr>
                <w:sz w:val="18"/>
                <w:szCs w:val="18"/>
                <w:color w:val="auto"/>
              </w:rPr>
            </w:pPr>
          </w:p>
        </w:tc>
      </w:tr>
      <w:tr>
        <w:trPr>
          <w:trHeight w:val="21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580" w:type="dxa"/>
            <w:vAlign w:val="bottom"/>
            <w:tcBorders>
              <w:bottom w:val="single" w:sz="8" w:color="auto"/>
            </w:tcBorders>
          </w:tcPr>
          <w:p>
            <w:pPr>
              <w:spacing w:after="0"/>
              <w:rPr>
                <w:sz w:val="18"/>
                <w:szCs w:val="18"/>
                <w:color w:val="auto"/>
              </w:rPr>
            </w:pPr>
          </w:p>
        </w:tc>
      </w:tr>
      <w:tr>
        <w:trPr>
          <w:trHeight w:val="21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30,835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39,334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32,022</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41,390</w:t>
            </w:r>
          </w:p>
        </w:tc>
      </w:tr>
      <w:tr>
        <w:trPr>
          <w:trHeight w:val="213"/>
        </w:trPr>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New product warranties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2,434</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1,686</w:t>
            </w:r>
          </w:p>
        </w:tc>
      </w:tr>
      <w:tr>
        <w:trPr>
          <w:trHeight w:val="219"/>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adjustments and expirations, net</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1,606</w:t>
            </w:r>
          </w:p>
        </w:tc>
      </w:tr>
      <w:tr>
        <w:trPr>
          <w:trHeight w:val="213"/>
        </w:trPr>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Claims activity</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(2,338)</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(3,515)</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(4,772)</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(7,884)</w:t>
            </w:r>
          </w:p>
        </w:tc>
      </w:tr>
      <w:tr>
        <w:trPr>
          <w:trHeight w:val="219"/>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w:t>
            </w:r>
          </w:p>
        </w:tc>
      </w:tr>
      <w:tr>
        <w:trPr>
          <w:trHeight w:val="207"/>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0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28,709</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36,210</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28,709</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36,210</w:t>
            </w:r>
          </w:p>
        </w:tc>
      </w:tr>
      <w:tr>
        <w:trPr>
          <w:trHeight w:val="216"/>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 of warranty</w:t>
            </w:r>
          </w:p>
        </w:tc>
        <w:tc>
          <w:tcPr>
            <w:tcW w:w="10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17,378</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20,299</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17,378</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20,299</w:t>
            </w:r>
          </w:p>
        </w:tc>
      </w:tr>
      <w:tr>
        <w:trPr>
          <w:trHeight w:val="212"/>
        </w:trPr>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Long-term warranty</w:t>
            </w: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11,331</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15,911</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11,331</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15,911</w:t>
            </w:r>
          </w:p>
        </w:tc>
      </w:tr>
      <w:tr>
        <w:trPr>
          <w:trHeight w:val="21"/>
        </w:trPr>
        <w:tc>
          <w:tcPr>
            <w:tcW w:w="43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Total warranty expense is classified within cost of revenues and consists of new product warranties issued, costs related to insurance and supplier recoveries, other changes and adjustments to warranties, and customer claims. Warranty expense was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2900" w:type="dxa"/>
            <w:vAlign w:val="bottom"/>
            <w:tcBorders>
              <w:bottom w:val="single" w:sz="8" w:color="auto"/>
            </w:tcBorders>
            <w:gridSpan w:val="4"/>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warranty expense</w:t>
            </w: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3,292</w:t>
            </w:r>
          </w:p>
        </w:tc>
      </w:tr>
    </w:tbl>
    <w:p>
      <w:pPr>
        <w:spacing w:after="0" w:line="200" w:lineRule="exact"/>
        <w:rPr>
          <w:sz w:val="20"/>
          <w:szCs w:val="20"/>
          <w:color w:val="auto"/>
        </w:rPr>
      </w:pPr>
    </w:p>
    <w:p>
      <w:pPr>
        <w:spacing w:after="0" w:line="34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12:</w:t>
        <w:tab/>
        <w:t>Restructuring</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2021 Projects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29, 2021, our Board of Directors approved a restructuring plan (the 2021 Projects), which in conjunction with the announcement of the sale of certain of our Gas device manufacturing operations (refer to Note 17: Sale of Business), includes activities to drive reductions in certain locations and functional support areas. These projects are to be substantially complete by the end of 2024. Certain of Itron's employees are represented by unions or works councils, which requires consultation, and potential restructuring projects may be subject to regulatory approval, both of which could impact the timing of planned savings in certain jurisdictions.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expected restructuring costs, the restructuring costs recognized, and the remaining expected restructuring costs related to the 2021 Projects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20" w:type="dxa"/>
            <w:vAlign w:val="bottom"/>
          </w:tcPr>
          <w:p>
            <w:pPr>
              <w:spacing w:after="0"/>
              <w:rPr>
                <w:sz w:val="16"/>
                <w:szCs w:val="16"/>
                <w:color w:val="auto"/>
              </w:rPr>
            </w:pPr>
          </w:p>
        </w:tc>
        <w:tc>
          <w:tcPr>
            <w:tcW w:w="2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 Expected Costs at June</w:t>
            </w:r>
          </w:p>
        </w:tc>
        <w:tc>
          <w:tcPr>
            <w:tcW w:w="120" w:type="dxa"/>
            <w:vAlign w:val="bottom"/>
          </w:tcPr>
          <w:p>
            <w:pPr>
              <w:spacing w:after="0"/>
              <w:rPr>
                <w:sz w:val="16"/>
                <w:szCs w:val="16"/>
                <w:color w:val="auto"/>
              </w:rPr>
            </w:pPr>
          </w:p>
        </w:tc>
        <w:tc>
          <w:tcPr>
            <w:tcW w:w="2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Costs Recognized in Prior</w:t>
            </w:r>
          </w:p>
        </w:tc>
        <w:tc>
          <w:tcPr>
            <w:tcW w:w="21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Cost Recognized During the</w:t>
            </w: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Expected Remaining Costs to</w:t>
            </w: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1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218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20" w:type="dxa"/>
            <w:vAlign w:val="bottom"/>
          </w:tcPr>
          <w:p>
            <w:pPr>
              <w:spacing w:after="0"/>
              <w:rPr>
                <w:sz w:val="14"/>
                <w:szCs w:val="14"/>
                <w:color w:val="auto"/>
              </w:rPr>
            </w:pPr>
          </w:p>
        </w:tc>
        <w:tc>
          <w:tcPr>
            <w:tcW w:w="1960" w:type="dxa"/>
            <w:vAlign w:val="bottom"/>
          </w:tcPr>
          <w:p>
            <w:pPr>
              <w:jc w:val="right"/>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be Recognized at June 30,</w:t>
            </w:r>
          </w:p>
        </w:tc>
        <w:tc>
          <w:tcPr>
            <w:tcW w:w="0" w:type="dxa"/>
            <w:vAlign w:val="bottom"/>
          </w:tcPr>
          <w:p>
            <w:pPr>
              <w:spacing w:after="0"/>
              <w:rPr>
                <w:sz w:val="1"/>
                <w:szCs w:val="1"/>
                <w:color w:val="auto"/>
              </w:rPr>
            </w:pPr>
          </w:p>
        </w:tc>
      </w:tr>
      <w:tr>
        <w:trPr>
          <w:trHeight w:val="214"/>
        </w:trPr>
        <w:tc>
          <w:tcPr>
            <w:tcW w:w="262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640" w:type="dxa"/>
            <w:vAlign w:val="bottom"/>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30, 2022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Periods</w:t>
            </w:r>
          </w:p>
        </w:tc>
        <w:tc>
          <w:tcPr>
            <w:tcW w:w="480" w:type="dxa"/>
            <w:vAlign w:val="bottom"/>
          </w:tcPr>
          <w:p>
            <w:pPr>
              <w:spacing w:after="0"/>
              <w:rPr>
                <w:sz w:val="18"/>
                <w:szCs w:val="18"/>
                <w:color w:val="auto"/>
              </w:rPr>
            </w:pPr>
          </w:p>
        </w:tc>
        <w:tc>
          <w:tcPr>
            <w:tcW w:w="1600" w:type="dxa"/>
            <w:vAlign w:val="bottom"/>
          </w:tcPr>
          <w:p>
            <w:pPr>
              <w:jc w:val="center"/>
              <w:ind w:right="39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1"/>
        </w:trPr>
        <w:tc>
          <w:tcPr>
            <w:tcW w:w="2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severance costs</w:t>
            </w: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41,876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49,013</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26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Asset impairments &amp; net loss (gain) on</w:t>
            </w:r>
          </w:p>
        </w:tc>
        <w:tc>
          <w:tcPr>
            <w:tcW w:w="420" w:type="dxa"/>
            <w:vAlign w:val="bottom"/>
          </w:tcPr>
          <w:p>
            <w:pPr>
              <w:spacing w:after="0"/>
              <w:rPr>
                <w:sz w:val="14"/>
                <w:szCs w:val="14"/>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8,433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9,246</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sale or disposal</w:t>
            </w:r>
          </w:p>
        </w:tc>
        <w:tc>
          <w:tcPr>
            <w:tcW w:w="42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restructuring costs</w:t>
            </w:r>
          </w:p>
        </w:tc>
        <w:tc>
          <w:tcPr>
            <w:tcW w:w="4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2,452</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2,625</w:t>
            </w:r>
          </w:p>
        </w:tc>
        <w:tc>
          <w:tcPr>
            <w:tcW w:w="0" w:type="dxa"/>
            <w:vAlign w:val="bottom"/>
          </w:tcPr>
          <w:p>
            <w:pPr>
              <w:spacing w:after="0"/>
              <w:rPr>
                <w:sz w:val="1"/>
                <w:szCs w:val="1"/>
                <w:color w:val="auto"/>
              </w:rPr>
            </w:pPr>
          </w:p>
        </w:tc>
      </w:tr>
      <w:tr>
        <w:trPr>
          <w:trHeight w:val="212"/>
        </w:trPr>
        <w:tc>
          <w:tcPr>
            <w:tcW w:w="26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Total</w:t>
            </w: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55,816</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60,711</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(7,520)</w:t>
            </w:r>
          </w:p>
        </w:tc>
        <w:tc>
          <w:tcPr>
            <w:tcW w:w="10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2,625</w:t>
            </w:r>
          </w:p>
        </w:tc>
        <w:tc>
          <w:tcPr>
            <w:tcW w:w="0" w:type="dxa"/>
            <w:vAlign w:val="bottom"/>
          </w:tcPr>
          <w:p>
            <w:pPr>
              <w:spacing w:after="0"/>
              <w:rPr>
                <w:sz w:val="1"/>
                <w:szCs w:val="1"/>
                <w:color w:val="auto"/>
              </w:rPr>
            </w:pPr>
          </w:p>
        </w:tc>
      </w:tr>
      <w:tr>
        <w:trPr>
          <w:trHeight w:val="21"/>
        </w:trPr>
        <w:tc>
          <w:tcPr>
            <w:tcW w:w="26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2020 Projects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September 2020, our Board of Directors approved a restructuring plan (the 2020 Projects), which includes activities that continue our efforts to optimize our global supply chain and manufacturing operations, sales and marketing organizations, and other overhead. These projects are scheduled to be substantially complete by the end of 2022. Certain of Itron's employees are represented by unions or works councils, which requires consultation, and potential restructuring projects may be subject to regulatory approval, both of which could impact the timing of planned savings in certain jurisdictions.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expected restructuring costs, the restructuring costs recognized, and the remaining expected restructuring costs related to the 2020 Projects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20" w:type="dxa"/>
            <w:vAlign w:val="bottom"/>
          </w:tcPr>
          <w:p>
            <w:pPr>
              <w:spacing w:after="0"/>
              <w:rPr>
                <w:sz w:val="16"/>
                <w:szCs w:val="16"/>
                <w:color w:val="auto"/>
              </w:rPr>
            </w:pPr>
          </w:p>
        </w:tc>
        <w:tc>
          <w:tcPr>
            <w:tcW w:w="2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 Expected Costs at June</w:t>
            </w:r>
          </w:p>
        </w:tc>
        <w:tc>
          <w:tcPr>
            <w:tcW w:w="120" w:type="dxa"/>
            <w:vAlign w:val="bottom"/>
          </w:tcPr>
          <w:p>
            <w:pPr>
              <w:spacing w:after="0"/>
              <w:rPr>
                <w:sz w:val="16"/>
                <w:szCs w:val="16"/>
                <w:color w:val="auto"/>
              </w:rPr>
            </w:pPr>
          </w:p>
        </w:tc>
        <w:tc>
          <w:tcPr>
            <w:tcW w:w="2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Costs Recognized in Prior</w:t>
            </w:r>
          </w:p>
        </w:tc>
        <w:tc>
          <w:tcPr>
            <w:tcW w:w="21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Cost Recognized During the</w:t>
            </w: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Expected Remaining Costs to</w:t>
            </w: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1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218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20" w:type="dxa"/>
            <w:vAlign w:val="bottom"/>
          </w:tcPr>
          <w:p>
            <w:pPr>
              <w:spacing w:after="0"/>
              <w:rPr>
                <w:sz w:val="14"/>
                <w:szCs w:val="14"/>
                <w:color w:val="auto"/>
              </w:rPr>
            </w:pPr>
          </w:p>
        </w:tc>
        <w:tc>
          <w:tcPr>
            <w:tcW w:w="1960" w:type="dxa"/>
            <w:vAlign w:val="bottom"/>
          </w:tcPr>
          <w:p>
            <w:pPr>
              <w:jc w:val="right"/>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be Recognized at June 30,</w:t>
            </w:r>
          </w:p>
        </w:tc>
        <w:tc>
          <w:tcPr>
            <w:tcW w:w="0" w:type="dxa"/>
            <w:vAlign w:val="bottom"/>
          </w:tcPr>
          <w:p>
            <w:pPr>
              <w:spacing w:after="0"/>
              <w:rPr>
                <w:sz w:val="1"/>
                <w:szCs w:val="1"/>
                <w:color w:val="auto"/>
              </w:rPr>
            </w:pPr>
          </w:p>
        </w:tc>
      </w:tr>
      <w:tr>
        <w:trPr>
          <w:trHeight w:val="214"/>
        </w:trPr>
        <w:tc>
          <w:tcPr>
            <w:tcW w:w="262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640" w:type="dxa"/>
            <w:vAlign w:val="bottom"/>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30, 2022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Periods</w:t>
            </w:r>
          </w:p>
        </w:tc>
        <w:tc>
          <w:tcPr>
            <w:tcW w:w="480" w:type="dxa"/>
            <w:vAlign w:val="bottom"/>
          </w:tcPr>
          <w:p>
            <w:pPr>
              <w:spacing w:after="0"/>
              <w:rPr>
                <w:sz w:val="18"/>
                <w:szCs w:val="18"/>
                <w:color w:val="auto"/>
              </w:rPr>
            </w:pPr>
          </w:p>
        </w:tc>
        <w:tc>
          <w:tcPr>
            <w:tcW w:w="1600" w:type="dxa"/>
            <w:vAlign w:val="bottom"/>
          </w:tcPr>
          <w:p>
            <w:pPr>
              <w:jc w:val="center"/>
              <w:ind w:right="39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1"/>
        </w:trPr>
        <w:tc>
          <w:tcPr>
            <w:tcW w:w="2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severance costs</w:t>
            </w: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21,753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24,532</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26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Asset impairments &amp; net loss (gain) on</w:t>
            </w:r>
          </w:p>
        </w:tc>
        <w:tc>
          <w:tcPr>
            <w:tcW w:w="420" w:type="dxa"/>
            <w:vAlign w:val="bottom"/>
          </w:tcPr>
          <w:p>
            <w:pPr>
              <w:spacing w:after="0"/>
              <w:rPr>
                <w:sz w:val="14"/>
                <w:szCs w:val="14"/>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6,438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6,442</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sale or disposal</w:t>
            </w:r>
          </w:p>
        </w:tc>
        <w:tc>
          <w:tcPr>
            <w:tcW w:w="42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restructuring costs</w:t>
            </w:r>
          </w:p>
        </w:tc>
        <w:tc>
          <w:tcPr>
            <w:tcW w:w="4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6,170</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w:t>
            </w:r>
          </w:p>
        </w:tc>
        <w:tc>
          <w:tcPr>
            <w:tcW w:w="0" w:type="dxa"/>
            <w:vAlign w:val="bottom"/>
          </w:tcPr>
          <w:p>
            <w:pPr>
              <w:spacing w:after="0"/>
              <w:rPr>
                <w:sz w:val="1"/>
                <w:szCs w:val="1"/>
                <w:color w:val="auto"/>
              </w:rPr>
            </w:pPr>
          </w:p>
        </w:tc>
      </w:tr>
      <w:tr>
        <w:trPr>
          <w:trHeight w:val="212"/>
        </w:trPr>
        <w:tc>
          <w:tcPr>
            <w:tcW w:w="26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Total</w:t>
            </w: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35,731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37,144</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(2,305)</w:t>
            </w:r>
          </w:p>
        </w:tc>
        <w:tc>
          <w:tcPr>
            <w:tcW w:w="10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892</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activity within the restructuring-related balance sheet accounts for the 2021 Projects and 2020 Projects during the six months ended June 30, 2022:</w:t>
      </w:r>
    </w:p>
    <w:tbl>
      <w:tblPr>
        <w:tblLayout w:type="fixed"/>
        <w:tblInd w:w="0" w:type="dxa"/>
        <w:tblCellMar>
          <w:top w:w="0" w:type="dxa"/>
          <w:left w:w="0" w:type="dxa"/>
          <w:bottom w:w="0" w:type="dxa"/>
          <w:right w:w="0" w:type="dxa"/>
        </w:tblCellMar>
      </w:tblPr>
      <w:tr>
        <w:trPr>
          <w:trHeight w:val="165"/>
        </w:trPr>
        <w:tc>
          <w:tcPr>
            <w:tcW w:w="2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Accrued Employee</w:t>
            </w:r>
          </w:p>
        </w:tc>
        <w:tc>
          <w:tcPr>
            <w:tcW w:w="140" w:type="dxa"/>
            <w:vAlign w:val="bottom"/>
          </w:tcPr>
          <w:p>
            <w:pPr>
              <w:spacing w:after="0"/>
              <w:rPr>
                <w:sz w:val="14"/>
                <w:szCs w:val="14"/>
                <w:color w:val="auto"/>
              </w:rPr>
            </w:pPr>
          </w:p>
        </w:tc>
        <w:tc>
          <w:tcPr>
            <w:tcW w:w="2060" w:type="dxa"/>
            <w:vAlign w:val="bottom"/>
            <w:gridSpan w:val="2"/>
          </w:tcPr>
          <w:p>
            <w:pPr>
              <w:jc w:val="center"/>
              <w:ind w:right="240"/>
              <w:spacing w:after="0" w:line="165" w:lineRule="exact"/>
              <w:rPr>
                <w:sz w:val="20"/>
                <w:szCs w:val="20"/>
                <w:color w:val="auto"/>
              </w:rPr>
            </w:pPr>
            <w:r>
              <w:rPr>
                <w:rFonts w:ascii="Times New Roman" w:cs="Times New Roman" w:eastAsia="Times New Roman" w:hAnsi="Times New Roman"/>
                <w:sz w:val="16"/>
                <w:szCs w:val="16"/>
                <w:b w:val="1"/>
                <w:bCs w:val="1"/>
                <w:color w:val="auto"/>
              </w:rPr>
              <w:t>Asset Impairments &amp; Net</w:t>
            </w:r>
          </w:p>
        </w:tc>
        <w:tc>
          <w:tcPr>
            <w:tcW w:w="2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Loss (Gain) on Sale or</w:t>
            </w:r>
          </w:p>
        </w:tc>
        <w:tc>
          <w:tcPr>
            <w:tcW w:w="200" w:type="dxa"/>
            <w:vAlign w:val="bottom"/>
          </w:tcPr>
          <w:p>
            <w:pPr>
              <w:spacing w:after="0"/>
              <w:rPr>
                <w:sz w:val="14"/>
                <w:szCs w:val="14"/>
                <w:color w:val="auto"/>
              </w:rPr>
            </w:pPr>
          </w:p>
        </w:tc>
        <w:tc>
          <w:tcPr>
            <w:tcW w:w="188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Other Accrued Costs</w:t>
            </w:r>
          </w:p>
        </w:tc>
        <w:tc>
          <w:tcPr>
            <w:tcW w:w="100" w:type="dxa"/>
            <w:vAlign w:val="bottom"/>
            <w:vMerge w:val="restart"/>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vMerge w:val="restart"/>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62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Severance</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Disposal</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62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Beginning balance,</w:t>
            </w: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79,876</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5,130</w:t>
            </w:r>
          </w:p>
        </w:tc>
        <w:tc>
          <w:tcPr>
            <w:tcW w:w="10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85,006</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January 1, 2022</w:t>
            </w:r>
          </w:p>
        </w:tc>
        <w:tc>
          <w:tcPr>
            <w:tcW w:w="240" w:type="dxa"/>
            <w:vAlign w:val="bottom"/>
            <w:vMerge w:val="continue"/>
            <w:shd w:val="clear" w:color="auto" w:fill="CCEEFF"/>
          </w:tcPr>
          <w:p>
            <w:pPr>
              <w:spacing w:after="0"/>
              <w:rPr>
                <w:sz w:val="18"/>
                <w:szCs w:val="18"/>
                <w:color w:val="auto"/>
              </w:rPr>
            </w:pPr>
          </w:p>
        </w:tc>
        <w:tc>
          <w:tcPr>
            <w:tcW w:w="1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2060" w:type="dxa"/>
            <w:vAlign w:val="bottom"/>
            <w:gridSpan w:val="2"/>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Costs charged to expense</w:t>
            </w:r>
          </w:p>
        </w:tc>
        <w:tc>
          <w:tcPr>
            <w:tcW w:w="2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(9,825)</w:t>
            </w:r>
          </w:p>
        </w:tc>
        <w:tc>
          <w:tcPr>
            <w:tcW w:w="0" w:type="dxa"/>
            <w:vAlign w:val="bottom"/>
          </w:tcPr>
          <w:p>
            <w:pPr>
              <w:spacing w:after="0"/>
              <w:rPr>
                <w:sz w:val="1"/>
                <w:szCs w:val="1"/>
                <w:color w:val="auto"/>
              </w:rPr>
            </w:pPr>
          </w:p>
        </w:tc>
      </w:tr>
      <w:tr>
        <w:trPr>
          <w:trHeight w:val="219"/>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payments</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(11,039)</w:t>
            </w:r>
          </w:p>
        </w:tc>
        <w:tc>
          <w:tcPr>
            <w:tcW w:w="0" w:type="dxa"/>
            <w:vAlign w:val="bottom"/>
          </w:tcPr>
          <w:p>
            <w:pPr>
              <w:spacing w:after="0"/>
              <w:rPr>
                <w:sz w:val="1"/>
                <w:szCs w:val="1"/>
                <w:color w:val="auto"/>
              </w:rPr>
            </w:pPr>
          </w:p>
        </w:tc>
      </w:tr>
      <w:tr>
        <w:trPr>
          <w:trHeight w:val="213"/>
        </w:trPr>
        <w:tc>
          <w:tcPr>
            <w:tcW w:w="2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receipts</w:t>
            </w:r>
          </w:p>
        </w:tc>
        <w:tc>
          <w:tcPr>
            <w:tcW w:w="240" w:type="dxa"/>
            <w:vAlign w:val="bottom"/>
          </w:tcPr>
          <w:p>
            <w:pPr>
              <w:spacing w:after="0"/>
              <w:rPr>
                <w:sz w:val="18"/>
                <w:szCs w:val="18"/>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0" w:type="dxa"/>
            <w:vAlign w:val="bottom"/>
          </w:tcPr>
          <w:p>
            <w:pPr>
              <w:spacing w:after="0"/>
              <w:rPr>
                <w:sz w:val="1"/>
                <w:szCs w:val="1"/>
                <w:color w:val="auto"/>
              </w:rPr>
            </w:pPr>
          </w:p>
        </w:tc>
      </w:tr>
      <w:tr>
        <w:trPr>
          <w:trHeight w:val="219"/>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assets disposed and impaired</w:t>
            </w:r>
          </w:p>
        </w:tc>
        <w:tc>
          <w:tcPr>
            <w:tcW w:w="2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0" w:type="dxa"/>
            <w:vAlign w:val="bottom"/>
          </w:tcPr>
          <w:p>
            <w:pPr>
              <w:spacing w:after="0"/>
              <w:rPr>
                <w:sz w:val="1"/>
                <w:szCs w:val="1"/>
                <w:color w:val="auto"/>
              </w:rPr>
            </w:pPr>
          </w:p>
        </w:tc>
      </w:tr>
      <w:tr>
        <w:trPr>
          <w:trHeight w:val="213"/>
        </w:trPr>
        <w:tc>
          <w:tcPr>
            <w:tcW w:w="2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2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(4,640)</w:t>
            </w:r>
          </w:p>
        </w:tc>
        <w:tc>
          <w:tcPr>
            <w:tcW w:w="0" w:type="dxa"/>
            <w:vAlign w:val="bottom"/>
          </w:tcPr>
          <w:p>
            <w:pPr>
              <w:spacing w:after="0"/>
              <w:rPr>
                <w:sz w:val="1"/>
                <w:szCs w:val="1"/>
                <w:color w:val="auto"/>
              </w:rPr>
            </w:pPr>
          </w:p>
        </w:tc>
      </w:tr>
      <w:tr>
        <w:trPr>
          <w:trHeight w:val="237"/>
        </w:trPr>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 June 30, 2022</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60,319</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Asset impairments are determined at the asset group level. Revenues and net operating income from the activities we have exited or will exit under the restructuring projects are not material to our operating segments or consolidated results.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restructuring costs include expenses for employee relocation, professional fees associated with employee severance, costs to exit the facilities once the operations in those facilities have ceased, and other costs associated with the liquidation of any affected legal entities. Costs associated with restructuring activities are generally presented in the Consolidated Statements of Operations as restructuring, except for certain costs associated with inventory write-downs, which are classified within cost of revenues, and accelerated depreciation expense, which is recognized according to the use of the asset. Restructuring expense is part of the Corporate unallocated segment and does not impact the results of our operating segments.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current portions of restructuring liabilities were $20.6 million and $29.7 million as of June 30, 2022 and December 31, 2021 and are classified within other current liabilities on the Consolidated Balance Sheets. The long-term portions of restructuring liabilities were $39.7 million and $55.3 million as of June 30, 2022 and December 31, 2021. The long-term portions of restructuring liabilities are classified within other long-term obligations on the Consolidated Balance Sheets and includes severance accruals and facility exit costs.</w:t>
      </w:r>
    </w:p>
    <w:p>
      <w:pPr>
        <w:spacing w:after="0" w:line="20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Shareholders' Equity</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authorized the issuance of 10 million shares of preferred stock with no par value. In the event of a liquidation, dissolution, or winding up of the affairs of the corporation, whether voluntary or involuntary, the holders of any outstanding preferred stock would be entitled to be paid a preferential amount per share to be determined by the Board of Directors prior to any payment to holders of common stock. There was no preferred stock issued or outstanding at June 30, 2022 or December 31, 2021.</w:t>
      </w:r>
    </w:p>
    <w:p>
      <w:pPr>
        <w:spacing w:after="0" w:line="2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Stock Repurchase Authorization</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Effective November 1, 2021, Itron's Board of Directors authorized a share repurchase up to $100 million of our common stock over an 18-month period (the 2021 Stock Repurchase Program). Repurchases are made in the open market or in privately negotiated transactions, and in accordance with applicable securities laws. During the first quarter of 2022, we repurchased 279,968 shares of our common stock under the 2021 Stock Repurchase Program. The average price paid per share was $60.60 (excluding commissions) for total of $17.0 million. No shares were repurchased during the second quarter of 2022. Following the announcement of the program and through June 30, 2022, we repurchased 405,282 shares at an average share price of $61.67 (excluding commissions) for a total of $25.0 million.</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Convertible Note Hedge Transactions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paid an aggregate amount of $84.1 million for the Convertible Note Hedge Transactions. The Convertible Note Hedge Transactions cover, subject to anti-dilution adjustments substantially similar to those in the Convertible Notes, approximately 3.7 million shares of our common stock, the same number of shares initially underlying the Convertible Notes, at a strike price of approximately $126.00, subject to customary adjustments. The Convertible Note Hedge Transactions will expire upon the maturity of the Convertible Notes, subject to earlier exercise or termination. The Convertible Note Hedge Transactions are expected generally to reduce the potential dilutive effect of the conversion of our Convertible Notes and/or offset any cash payments we are required to make in excess of the principal amount of the converted notes, as the case may be, in the event the price per share of our common stock, as measured under the terms of the Convertible Note Hedge Transactions, is greater than the strike price of the Convertible Note Hedge Transactions. The Convertible Note Hedge Transactions meet the criteria in ASC 815-40 to be classified within Stockholders' Equity, therefore the Convertible Note Hedge Transactions are not revalued after their issuance.</w:t>
      </w: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made a tax election to integrate the Convertible Notes and the call options. We are retaining the identification statements in our books and records, together with a schedule providing the accruals on the synthetic debt instruments. The accounting impact of this tax election makes the call options deductible as original issue discount for tax purposes over the term of the Convertible Note, and results in a $20.6 million deferred tax asset recognized through equity.</w:t>
      </w:r>
    </w:p>
    <w:p>
      <w:pPr>
        <w:spacing w:after="0" w:line="2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Warrant Transactions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concurrently with entering into the Convertible Note Hedge Transactions, we separately entered into privately-negotiated Warrant Transactions, whereby we sold to the Counterparties warrants to acquire, collectively, subject to anti-dilution adjustments, 3.7 million shares of our common stock at an initial strike price of $180.00 per share, which represents a premium of 100% over the public offering price in the common stock issuance. We received aggregate proceeds of $45.3 million from the Warrant Transactions with the Counterparties, with such proceeds partially offsetting the costs of entering into the Convertible Note Hedge Transactions. The warrants expire in June 2026. If the market value per share of our common stock, as measured under the Warrant Transactions, exceeds the strike price of the warrants, the warrants will have a dilutive effect on our earnings per share, unless we elect, subject to certain conditions, to settle the warrants in cash. The warrants meet the criteria in ASC 815-40 to be classified within Stockholders' Equity, and therefore the warrants are not revalued after issuance.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Accumulated Other Comprehensive Income (Loss)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components of AOCI, net of tax, were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15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4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Net Unrealized</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Net Unrealized</w:t>
            </w:r>
          </w:p>
        </w:tc>
        <w:tc>
          <w:tcPr>
            <w:tcW w:w="140" w:type="dxa"/>
            <w:vAlign w:val="bottom"/>
          </w:tcPr>
          <w:p>
            <w:pPr>
              <w:spacing w:after="0"/>
              <w:rPr>
                <w:sz w:val="16"/>
                <w:szCs w:val="16"/>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Pension Benefit</w:t>
            </w: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Gain (Loss) on</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Gain (Loss) on</w:t>
            </w:r>
          </w:p>
        </w:tc>
        <w:tc>
          <w:tcPr>
            <w:tcW w:w="1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4"/>
                <w:szCs w:val="14"/>
                <w:color w:val="auto"/>
              </w:rPr>
            </w:pPr>
          </w:p>
        </w:tc>
        <w:tc>
          <w:tcPr>
            <w:tcW w:w="136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140" w:type="dxa"/>
            <w:vAlign w:val="bottom"/>
          </w:tcPr>
          <w:p>
            <w:pPr>
              <w:spacing w:after="0"/>
              <w:rPr>
                <w:sz w:val="14"/>
                <w:szCs w:val="14"/>
                <w:color w:val="auto"/>
              </w:rPr>
            </w:pPr>
          </w:p>
        </w:tc>
        <w:tc>
          <w:tcPr>
            <w:tcW w:w="140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Nonderivative</w:t>
            </w:r>
          </w:p>
        </w:tc>
        <w:tc>
          <w:tcPr>
            <w:tcW w:w="140" w:type="dxa"/>
            <w:vAlign w:val="bottom"/>
          </w:tcPr>
          <w:p>
            <w:pPr>
              <w:spacing w:after="0"/>
              <w:rPr>
                <w:sz w:val="14"/>
                <w:szCs w:val="14"/>
                <w:color w:val="auto"/>
              </w:rPr>
            </w:pPr>
          </w:p>
        </w:tc>
        <w:tc>
          <w:tcPr>
            <w:tcW w:w="14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Obligation</w:t>
            </w:r>
          </w:p>
        </w:tc>
        <w:tc>
          <w:tcPr>
            <w:tcW w:w="140" w:type="dxa"/>
            <w:vAlign w:val="bottom"/>
          </w:tcPr>
          <w:p>
            <w:pPr>
              <w:spacing w:after="0"/>
              <w:rPr>
                <w:sz w:val="14"/>
                <w:szCs w:val="14"/>
                <w:color w:val="auto"/>
              </w:rPr>
            </w:pPr>
          </w:p>
        </w:tc>
        <w:tc>
          <w:tcPr>
            <w:tcW w:w="1300" w:type="dxa"/>
            <w:vAlign w:val="bottom"/>
          </w:tcPr>
          <w:p>
            <w:pPr>
              <w:jc w:val="right"/>
              <w:ind w:right="99"/>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0" w:type="dxa"/>
            <w:vAlign w:val="bottom"/>
          </w:tcPr>
          <w:p>
            <w:pPr>
              <w:spacing w:after="0"/>
              <w:rPr>
                <w:sz w:val="1"/>
                <w:szCs w:val="1"/>
                <w:color w:val="auto"/>
              </w:rPr>
            </w:pPr>
          </w:p>
        </w:tc>
      </w:tr>
      <w:tr>
        <w:trPr>
          <w:trHeight w:val="214"/>
        </w:trPr>
        <w:tc>
          <w:tcPr>
            <w:tcW w:w="36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 w:type="dxa"/>
            <w:vAlign w:val="bottom"/>
          </w:tcPr>
          <w:p>
            <w:pPr>
              <w:spacing w:after="0"/>
              <w:rPr>
                <w:sz w:val="18"/>
                <w:szCs w:val="18"/>
                <w:color w:val="auto"/>
              </w:rPr>
            </w:pPr>
          </w:p>
        </w:tc>
        <w:tc>
          <w:tcPr>
            <w:tcW w:w="13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0" w:type="dxa"/>
            <w:vAlign w:val="bottom"/>
          </w:tcPr>
          <w:p>
            <w:pPr>
              <w:spacing w:after="0"/>
              <w:rPr>
                <w:sz w:val="1"/>
                <w:szCs w:val="1"/>
                <w:color w:val="auto"/>
              </w:rPr>
            </w:pPr>
          </w:p>
        </w:tc>
      </w:tr>
      <w:tr>
        <w:trPr>
          <w:trHeight w:val="211"/>
        </w:trPr>
        <w:tc>
          <w:tcPr>
            <w:tcW w:w="3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January 1, 2021</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(84,843)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(14,380)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(37,682)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(138,526)</w:t>
            </w:r>
          </w:p>
        </w:tc>
        <w:tc>
          <w:tcPr>
            <w:tcW w:w="0" w:type="dxa"/>
            <w:vAlign w:val="bottom"/>
          </w:tcPr>
          <w:p>
            <w:pPr>
              <w:spacing w:after="0"/>
              <w:rPr>
                <w:sz w:val="1"/>
                <w:szCs w:val="1"/>
                <w:color w:val="auto"/>
              </w:rPr>
            </w:pPr>
          </w:p>
        </w:tc>
      </w:tr>
      <w:tr>
        <w:trPr>
          <w:trHeight w:val="207"/>
        </w:trPr>
        <w:tc>
          <w:tcPr>
            <w:tcW w:w="3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OCI before reclassifications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(8,747)</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2,101</w:t>
            </w:r>
          </w:p>
        </w:tc>
        <w:tc>
          <w:tcPr>
            <w:tcW w:w="0" w:type="dxa"/>
            <w:vAlign w:val="bottom"/>
          </w:tcPr>
          <w:p>
            <w:pPr>
              <w:spacing w:after="0"/>
              <w:rPr>
                <w:sz w:val="1"/>
                <w:szCs w:val="1"/>
                <w:color w:val="auto"/>
              </w:rPr>
            </w:pPr>
          </w:p>
        </w:tc>
      </w:tr>
      <w:tr>
        <w:trPr>
          <w:trHeight w:val="207"/>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1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(9,354)</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1,308</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(6,646)</w:t>
            </w:r>
          </w:p>
        </w:tc>
        <w:tc>
          <w:tcPr>
            <w:tcW w:w="0" w:type="dxa"/>
            <w:vAlign w:val="bottom"/>
          </w:tcPr>
          <w:p>
            <w:pPr>
              <w:spacing w:after="0"/>
              <w:rPr>
                <w:sz w:val="1"/>
                <w:szCs w:val="1"/>
                <w:color w:val="auto"/>
              </w:rPr>
            </w:pPr>
          </w:p>
        </w:tc>
      </w:tr>
      <w:tr>
        <w:trPr>
          <w:trHeight w:val="237"/>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June 30, 2021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(94,197)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(14,380)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(36,282)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(145,172)</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January 1, 2022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(111,766)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(14,380)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(21,742)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(148,098)</w:t>
            </w:r>
          </w:p>
        </w:tc>
        <w:tc>
          <w:tcPr>
            <w:tcW w:w="0" w:type="dxa"/>
            <w:vAlign w:val="bottom"/>
          </w:tcPr>
          <w:p>
            <w:pPr>
              <w:spacing w:after="0"/>
              <w:rPr>
                <w:sz w:val="1"/>
                <w:szCs w:val="1"/>
                <w:color w:val="auto"/>
              </w:rPr>
            </w:pPr>
          </w:p>
        </w:tc>
      </w:tr>
      <w:tr>
        <w:trPr>
          <w:trHeight w:val="207"/>
        </w:trPr>
        <w:tc>
          <w:tcPr>
            <w:tcW w:w="3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OCI before reclassifications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(27,519)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(23,330)</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55,723</w:t>
            </w:r>
          </w:p>
        </w:tc>
        <w:tc>
          <w:tcPr>
            <w:tcW w:w="0" w:type="dxa"/>
            <w:vAlign w:val="bottom"/>
          </w:tcPr>
          <w:p>
            <w:pPr>
              <w:spacing w:after="0"/>
              <w:rPr>
                <w:sz w:val="1"/>
                <w:szCs w:val="1"/>
                <w:color w:val="auto"/>
              </w:rPr>
            </w:pPr>
          </w:p>
        </w:tc>
      </w:tr>
      <w:tr>
        <w:trPr>
          <w:trHeight w:val="207"/>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1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27,917</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4,476</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32,393</w:t>
            </w:r>
          </w:p>
        </w:tc>
        <w:tc>
          <w:tcPr>
            <w:tcW w:w="0" w:type="dxa"/>
            <w:vAlign w:val="bottom"/>
          </w:tcPr>
          <w:p>
            <w:pPr>
              <w:spacing w:after="0"/>
              <w:rPr>
                <w:sz w:val="1"/>
                <w:szCs w:val="1"/>
                <w:color w:val="auto"/>
              </w:rPr>
            </w:pPr>
          </w:p>
        </w:tc>
      </w:tr>
      <w:tr>
        <w:trPr>
          <w:trHeight w:val="237"/>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June 30, 2022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(83,849)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(14,380)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(17,266)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(115,705)</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before-tax, income tax (provision) benefit, and net-of-tax amounts related to each component of OCI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0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80" w:type="dxa"/>
            <w:vAlign w:val="bottom"/>
          </w:tcPr>
          <w:p>
            <w:pPr>
              <w:spacing w:after="0"/>
              <w:rPr>
                <w:sz w:val="18"/>
                <w:szCs w:val="18"/>
                <w:color w:val="auto"/>
              </w:rPr>
            </w:pPr>
          </w:p>
        </w:tc>
        <w:tc>
          <w:tcPr>
            <w:tcW w:w="3000" w:type="dxa"/>
            <w:vAlign w:val="bottom"/>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Before-tax amount</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(20,687)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(27,537)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(9,114)</w:t>
            </w:r>
          </w:p>
        </w:tc>
        <w:tc>
          <w:tcPr>
            <w:tcW w:w="0" w:type="dxa"/>
            <w:vAlign w:val="bottom"/>
          </w:tcPr>
          <w:p>
            <w:pPr>
              <w:spacing w:after="0"/>
              <w:rPr>
                <w:sz w:val="1"/>
                <w:szCs w:val="1"/>
                <w:color w:val="auto"/>
              </w:rPr>
            </w:pPr>
          </w:p>
        </w:tc>
      </w:tr>
      <w:tr>
        <w:trPr>
          <w:trHeight w:val="162"/>
        </w:trPr>
        <w:tc>
          <w:tcPr>
            <w:tcW w:w="438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Foreign currency translation adjustment reclassified to net</w:t>
            </w:r>
          </w:p>
        </w:tc>
        <w:tc>
          <w:tcPr>
            <w:tcW w:w="380" w:type="dxa"/>
            <w:vAlign w:val="bottom"/>
          </w:tcPr>
          <w:p>
            <w:pPr>
              <w:spacing w:after="0"/>
              <w:rPr>
                <w:sz w:val="14"/>
                <w:szCs w:val="14"/>
                <w:color w:val="auto"/>
              </w:rPr>
            </w:pPr>
          </w:p>
        </w:tc>
        <w:tc>
          <w:tcPr>
            <w:tcW w:w="1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4"/>
                <w:szCs w:val="14"/>
                <w:color w:val="auto"/>
              </w:rPr>
            </w:pPr>
          </w:p>
        </w:tc>
        <w:tc>
          <w:tcPr>
            <w:tcW w:w="1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55,436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for sale of business</w:t>
            </w:r>
          </w:p>
        </w:tc>
        <w:tc>
          <w:tcPr>
            <w:tcW w:w="38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38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Net unrealized gain (loss) on derivative instruments, designated</w:t>
            </w:r>
          </w:p>
        </w:tc>
        <w:tc>
          <w:tcPr>
            <w:tcW w:w="38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as cash flow hedges</w:t>
            </w:r>
          </w:p>
        </w:tc>
        <w:tc>
          <w:tcPr>
            <w:tcW w:w="38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hedging (gain) loss reclassified to net income</w:t>
            </w:r>
          </w:p>
        </w:tc>
        <w:tc>
          <w:tcPr>
            <w:tcW w:w="3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unrealized gain (loss) on defined benefit plans</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defined benefit plan (gain) loss reclassified to net income</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0" w:type="dxa"/>
            <w:vAlign w:val="bottom"/>
          </w:tcPr>
          <w:p>
            <w:pPr>
              <w:spacing w:after="0"/>
              <w:rPr>
                <w:sz w:val="1"/>
                <w:szCs w:val="1"/>
                <w:color w:val="auto"/>
              </w:rPr>
            </w:pPr>
          </w:p>
        </w:tc>
      </w:tr>
      <w:tr>
        <w:trPr>
          <w:trHeight w:val="237"/>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comprehensive income (loss), before tax</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(20,473)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32,392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(5,898)</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Tax (provision) benefit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0" w:type="dxa"/>
            <w:vAlign w:val="bottom"/>
          </w:tcPr>
          <w:p>
            <w:pPr>
              <w:spacing w:after="0"/>
              <w:rPr>
                <w:sz w:val="1"/>
                <w:szCs w:val="1"/>
                <w:color w:val="auto"/>
              </w:rPr>
            </w:pPr>
          </w:p>
        </w:tc>
      </w:tr>
      <w:tr>
        <w:trPr>
          <w:trHeight w:val="165"/>
        </w:trPr>
        <w:tc>
          <w:tcPr>
            <w:tcW w:w="438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Foreign currency translation adjustment reclassified to net</w:t>
            </w:r>
          </w:p>
        </w:tc>
        <w:tc>
          <w:tcPr>
            <w:tcW w:w="38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for sale of business</w:t>
            </w:r>
          </w:p>
        </w:tc>
        <w:tc>
          <w:tcPr>
            <w:tcW w:w="38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38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Net unrealized gain (loss) on derivative instruments, designated</w:t>
            </w:r>
          </w:p>
        </w:tc>
        <w:tc>
          <w:tcPr>
            <w:tcW w:w="380" w:type="dxa"/>
            <w:vAlign w:val="bottom"/>
          </w:tcPr>
          <w:p>
            <w:pPr>
              <w:spacing w:after="0"/>
              <w:rPr>
                <w:sz w:val="14"/>
                <w:szCs w:val="14"/>
                <w:color w:val="auto"/>
              </w:rPr>
            </w:pPr>
          </w:p>
        </w:tc>
        <w:tc>
          <w:tcPr>
            <w:tcW w:w="1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4"/>
                <w:szCs w:val="14"/>
                <w:color w:val="auto"/>
              </w:rPr>
            </w:pPr>
          </w:p>
        </w:tc>
        <w:tc>
          <w:tcPr>
            <w:tcW w:w="1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4"/>
                <w:szCs w:val="14"/>
                <w:color w:val="auto"/>
              </w:rPr>
            </w:pPr>
          </w:p>
        </w:tc>
        <w:tc>
          <w:tcPr>
            <w:tcW w:w="1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3"/>
        </w:trPr>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as cash flow hedges</w:t>
            </w:r>
          </w:p>
        </w:tc>
        <w:tc>
          <w:tcPr>
            <w:tcW w:w="38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hedging (gain) loss reclassified to net income</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0" w:type="dxa"/>
            <w:vAlign w:val="bottom"/>
          </w:tcPr>
          <w:p>
            <w:pPr>
              <w:spacing w:after="0"/>
              <w:rPr>
                <w:sz w:val="1"/>
                <w:szCs w:val="1"/>
                <w:color w:val="auto"/>
              </w:rPr>
            </w:pPr>
          </w:p>
        </w:tc>
      </w:tr>
      <w:tr>
        <w:trPr>
          <w:trHeight w:val="213"/>
        </w:trPr>
        <w:tc>
          <w:tcPr>
            <w:tcW w:w="4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unrealized gain (loss) on defined benefit plans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defined benefit plan (gain) loss reclassified to net income</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142"/>
        </w:trPr>
        <w:tc>
          <w:tcPr>
            <w:tcW w:w="438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Total other comprehensive income (loss) tax (provision)</w:t>
            </w:r>
          </w:p>
        </w:tc>
        <w:tc>
          <w:tcPr>
            <w:tcW w:w="38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2"/>
                <w:szCs w:val="12"/>
                <w:color w:val="auto"/>
              </w:rPr>
            </w:pPr>
          </w:p>
        </w:tc>
        <w:tc>
          <w:tcPr>
            <w:tcW w:w="38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Pr>
          <w:p>
            <w:pPr>
              <w:spacing w:after="0"/>
              <w:rPr>
                <w:sz w:val="12"/>
                <w:szCs w:val="12"/>
                <w:color w:val="auto"/>
              </w:rPr>
            </w:pPr>
          </w:p>
        </w:tc>
        <w:tc>
          <w:tcPr>
            <w:tcW w:w="38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2"/>
                <w:szCs w:val="12"/>
                <w:color w:val="auto"/>
              </w:rPr>
            </w:pPr>
          </w:p>
        </w:tc>
        <w:tc>
          <w:tcPr>
            <w:tcW w:w="38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0" w:type="dxa"/>
            <w:vAlign w:val="bottom"/>
          </w:tcPr>
          <w:p>
            <w:pPr>
              <w:spacing w:after="0"/>
              <w:rPr>
                <w:sz w:val="1"/>
                <w:szCs w:val="1"/>
                <w:color w:val="auto"/>
              </w:rPr>
            </w:pPr>
          </w:p>
        </w:tc>
      </w:tr>
      <w:tr>
        <w:trPr>
          <w:trHeight w:val="194"/>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38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Net-of-tax amount</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(20,628)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(27,519)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(9,354)</w:t>
            </w:r>
          </w:p>
        </w:tc>
        <w:tc>
          <w:tcPr>
            <w:tcW w:w="0" w:type="dxa"/>
            <w:vAlign w:val="bottom"/>
          </w:tcPr>
          <w:p>
            <w:pPr>
              <w:spacing w:after="0"/>
              <w:rPr>
                <w:sz w:val="1"/>
                <w:szCs w:val="1"/>
                <w:color w:val="auto"/>
              </w:rPr>
            </w:pPr>
          </w:p>
        </w:tc>
      </w:tr>
      <w:tr>
        <w:trPr>
          <w:trHeight w:val="162"/>
        </w:trPr>
        <w:tc>
          <w:tcPr>
            <w:tcW w:w="438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Foreign currency translation adjustment reclassified to net</w:t>
            </w:r>
          </w:p>
        </w:tc>
        <w:tc>
          <w:tcPr>
            <w:tcW w:w="380" w:type="dxa"/>
            <w:vAlign w:val="bottom"/>
          </w:tcPr>
          <w:p>
            <w:pPr>
              <w:spacing w:after="0"/>
              <w:rPr>
                <w:sz w:val="14"/>
                <w:szCs w:val="14"/>
                <w:color w:val="auto"/>
              </w:rPr>
            </w:pPr>
          </w:p>
        </w:tc>
        <w:tc>
          <w:tcPr>
            <w:tcW w:w="1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4"/>
                <w:szCs w:val="14"/>
                <w:color w:val="auto"/>
              </w:rPr>
            </w:pPr>
          </w:p>
        </w:tc>
        <w:tc>
          <w:tcPr>
            <w:tcW w:w="1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55,436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for sale of business</w:t>
            </w:r>
          </w:p>
        </w:tc>
        <w:tc>
          <w:tcPr>
            <w:tcW w:w="38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38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Net unrealized gain (loss) on derivative instruments, designated</w:t>
            </w:r>
          </w:p>
        </w:tc>
        <w:tc>
          <w:tcPr>
            <w:tcW w:w="38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as cash flow hedges</w:t>
            </w:r>
          </w:p>
        </w:tc>
        <w:tc>
          <w:tcPr>
            <w:tcW w:w="38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hedging (gain) loss reclassified to net income</w:t>
            </w:r>
          </w:p>
        </w:tc>
        <w:tc>
          <w:tcPr>
            <w:tcW w:w="3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unrealized gain (loss) on defined benefit plans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defined benefit plan (gain) loss reclassified to net income</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0" w:type="dxa"/>
            <w:vAlign w:val="bottom"/>
          </w:tcPr>
          <w:p>
            <w:pPr>
              <w:spacing w:after="0"/>
              <w:rPr>
                <w:sz w:val="1"/>
                <w:szCs w:val="1"/>
                <w:color w:val="auto"/>
              </w:rPr>
            </w:pPr>
          </w:p>
        </w:tc>
      </w:tr>
      <w:tr>
        <w:trPr>
          <w:trHeight w:val="237"/>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comprehensive income (loss), net of tax</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(20,422)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32,393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(6,646)</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25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fair values at June 30, 2022 and December 31, 2021 do not reflect subsequent changes in the economy, interest rates, tax rates, and other variables that may affect the determination of fair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13"/>
                <w:szCs w:val="13"/>
                <w:color w:val="auto"/>
              </w:rPr>
            </w:pPr>
          </w:p>
        </w:tc>
        <w:tc>
          <w:tcPr>
            <w:tcW w:w="1960" w:type="dxa"/>
            <w:vAlign w:val="bottom"/>
          </w:tcPr>
          <w:p>
            <w:pPr>
              <w:jc w:val="center"/>
              <w:ind w:right="839"/>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120" w:type="dxa"/>
            <w:vAlign w:val="bottom"/>
          </w:tcPr>
          <w:p>
            <w:pPr>
              <w:jc w:val="center"/>
              <w:ind w:right="439"/>
              <w:spacing w:after="0" w:line="158" w:lineRule="exact"/>
              <w:rPr>
                <w:sz w:val="20"/>
                <w:szCs w:val="20"/>
                <w:color w:val="auto"/>
              </w:rPr>
            </w:pPr>
            <w:r>
              <w:rPr>
                <w:rFonts w:ascii="Times New Roman" w:cs="Times New Roman" w:eastAsia="Times New Roman" w:hAnsi="Times New Roman"/>
                <w:sz w:val="16"/>
                <w:szCs w:val="16"/>
                <w:b w:val="1"/>
                <w:bCs w:val="1"/>
                <w:color w:val="auto"/>
                <w:w w:val="95"/>
              </w:rPr>
              <w:t>Fair</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60" w:type="dxa"/>
            <w:vAlign w:val="bottom"/>
          </w:tcPr>
          <w:p>
            <w:pPr>
              <w:jc w:val="center"/>
              <w:ind w:right="939"/>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020" w:type="dxa"/>
            <w:vAlign w:val="bottom"/>
          </w:tcPr>
          <w:p>
            <w:pPr>
              <w:jc w:val="right"/>
              <w:ind w:right="579"/>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14"/>
        </w:trPr>
        <w:tc>
          <w:tcPr>
            <w:tcW w:w="43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jc w:val="center"/>
              <w:ind w:right="83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520" w:type="dxa"/>
            <w:vAlign w:val="bottom"/>
            <w:gridSpan w:val="3"/>
          </w:tcPr>
          <w:p>
            <w:pPr>
              <w:jc w:val="center"/>
              <w:ind w:right="92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060" w:type="dxa"/>
            <w:vAlign w:val="bottom"/>
          </w:tcPr>
          <w:p>
            <w:pPr>
              <w:jc w:val="center"/>
              <w:ind w:right="93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08"/>
        </w:trPr>
        <w:tc>
          <w:tcPr>
            <w:tcW w:w="4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Credit facility</w:t>
            </w:r>
          </w:p>
        </w:tc>
        <w:tc>
          <w:tcPr>
            <w:tcW w:w="30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Multicurrency revolving line of credit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   $</w:t>
            </w:r>
          </w:p>
        </w:tc>
        <w:tc>
          <w:tcPr>
            <w:tcW w:w="152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   $</w:t>
            </w:r>
          </w:p>
        </w:tc>
        <w:tc>
          <w:tcPr>
            <w:tcW w:w="20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Convertible notes</w:t>
            </w:r>
          </w:p>
        </w:tc>
        <w:tc>
          <w:tcPr>
            <w:tcW w:w="300" w:type="dxa"/>
            <w:vAlign w:val="bottom"/>
          </w:tcPr>
          <w:p>
            <w:pPr>
              <w:spacing w:after="0"/>
              <w:rPr>
                <w:sz w:val="18"/>
                <w:szCs w:val="18"/>
                <w:color w:val="auto"/>
              </w:rPr>
            </w:pPr>
          </w:p>
        </w:tc>
        <w:tc>
          <w:tcPr>
            <w:tcW w:w="196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rPr>
              <w:t>451,369</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366,146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450,228</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422,749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and assumptions were used in estimating fair values: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Due to the liquid nature of these instruments, the carrying amount approximates fair value (Level 1).</w:t>
      </w:r>
    </w:p>
    <w:p>
      <w:pPr>
        <w:spacing w:after="0" w:line="2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Credit Facility - term loan and multicurrency revolving line of credit: </w:t>
      </w:r>
      <w:r>
        <w:rPr>
          <w:rFonts w:ascii="Times New Roman" w:cs="Times New Roman" w:eastAsia="Times New Roman" w:hAnsi="Times New Roman"/>
          <w:sz w:val="18"/>
          <w:szCs w:val="18"/>
          <w:color w:val="auto"/>
        </w:rPr>
        <w:t>The term loan and the revolver are not traded publicly. The fair values, which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based upon a hypothetical market participant, are calculated using a discounted cash flow model with Level 2 inputs, including estimates of incremental borrowing rates for debt with similar terms, maturities, and credit profiles. Refer to Note 6: Debt for a further discussion of our debt.</w:t>
      </w:r>
    </w:p>
    <w:p>
      <w:pPr>
        <w:spacing w:after="0" w:line="20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Convertible Notes: </w:t>
      </w:r>
      <w:r>
        <w:rPr>
          <w:rFonts w:ascii="Times New Roman" w:cs="Times New Roman" w:eastAsia="Times New Roman" w:hAnsi="Times New Roman"/>
          <w:sz w:val="18"/>
          <w:szCs w:val="18"/>
          <w:color w:val="auto"/>
        </w:rPr>
        <w:t>The Convertible Notes are not listed on any securities exchange but may be actively traded. The fair value is estimated using Level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inputs, as it is based on quoted prices for these instruments in active markets.</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Derivatives: </w:t>
      </w:r>
      <w:r>
        <w:rPr>
          <w:rFonts w:ascii="Times New Roman" w:cs="Times New Roman" w:eastAsia="Times New Roman" w:hAnsi="Times New Roman"/>
          <w:sz w:val="18"/>
          <w:szCs w:val="18"/>
          <w:color w:val="auto"/>
        </w:rPr>
        <w:t>Refer to Note 7: Derivative Financial Instruments for a description of our methods and assumptions in determining the fair value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derivatives, which were determined using Level 2 inputs. Each derivative asset and liability has a carrying value equal to fair value.</w:t>
      </w:r>
    </w:p>
    <w:p>
      <w:pPr>
        <w:spacing w:after="0" w:line="18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operate under the Itron brand worldwide and manage and report under three operating segments: Device Solutions, Networked Solutions, and Outcomes.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three GAAP measures of segment performance: revenues, gross profit (gross margin), and operating income (operating margin). Intersegment revenues are minimal. Certain operating expenses are allocated to the operating segments based upon internally established allocation methodologies. Corporate operating expenses, interest income, interest expense, other income (expense), and the income tax provision (benefit) are neither allocated to the segments, nor are they included in the measure of segment performance. Goodwill impairment charges are recognized in Corporate unallocated. Refer to Note 5: Goodwill for discussion of goodwill impairment recognized during the second quarter of 2022. In addition, we allocate only certain production assets and intangible assets to our operating segments. We do not manage the performance of the segments on a balance sheet basis.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Products</w:t>
      </w:r>
    </w:p>
    <w:p>
      <w:pPr>
        <w:spacing w:after="0" w:line="2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Device Solutions </w:t>
      </w:r>
      <w:r>
        <w:rPr>
          <w:rFonts w:ascii="Times New Roman" w:cs="Times New Roman" w:eastAsia="Times New Roman" w:hAnsi="Times New Roman"/>
          <w:sz w:val="18"/>
          <w:szCs w:val="18"/>
          <w:color w:val="auto"/>
        </w:rPr>
        <w:t>– This segment primarily includes hardware products used for measurement, control, or sensing that do not have communications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capability embedded for use with our broader Itron systems, i.e., hardware-based products not part of a complete end-to-end solution. Examples from the Device Solutions portfolio include: standard endpoints that are shipped without Itron communications, such as our standard gas, electricity, and water meters for a variety of global markets and adhering to regulations and standards within those markets, as well as our heat and allocation products; communicating meters that are not a part of an Itron end-to-end solution, such as Smart Spec meters; and the implementation and installation of non-communicating devices.</w:t>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Networked Solutions </w:t>
      </w:r>
      <w:r>
        <w:rPr>
          <w:rFonts w:ascii="Times New Roman" w:cs="Times New Roman" w:eastAsia="Times New Roman" w:hAnsi="Times New Roman"/>
          <w:sz w:val="18"/>
          <w:szCs w:val="18"/>
          <w:color w:val="auto"/>
        </w:rPr>
        <w:t>– This segment primarily includes a combination of communicating devices (e.g., smart meters, modules, endpoints, and sensors),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network infrastructure, and associated application software designed and sold as a complete solution for acquiring and transporting robust application-specific data. Networked Solutions includes products and software for the implementation, installation, and management of communicating devices and data networks. Examples from the Networked Solutions portfolio include: communicating measurement, control, or sensing endpoints, such as our Itron OpenWay® Centron and Riva meters, Itron traditional ERT® technology, Intelis smart gas meters, 500G gas communication modules, 500W water communication modules, GenX networking infrastructure products and network interface cards (NICs), Smart City control and management software, Distribution Automation bridge devices, and specific network control and management software applications. The Industrial Internet of Things (IIoT) solutions supported by this segment include automated meter reading (AMR), advanced metering infrastructure (AMI), smart grid and distribution automation, smart street lighting, and an ever-growing set of smart city applications such as traffic management, smart parking, air quality monitoring, electric vehicle charging, customer engagement, digital signage, acoustic (e.g., gunshot) detection, and leak detection and mitigation for both gas and water systems. Our IIoT platform allows all these industry and smart city applications to be run and managed on a single, multi-purpose network.</w:t>
      </w:r>
    </w:p>
    <w:p>
      <w:pPr>
        <w:spacing w:after="0" w:line="2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Outcomes </w:t>
      </w:r>
      <w:r>
        <w:rPr>
          <w:rFonts w:ascii="Times New Roman" w:cs="Times New Roman" w:eastAsia="Times New Roman" w:hAnsi="Times New Roman"/>
          <w:sz w:val="18"/>
          <w:szCs w:val="18"/>
          <w:color w:val="auto"/>
        </w:rPr>
        <w:t>– This segment primarily includes our value-added, enhanced software and services in which we manage, organize, analyze, and interpret data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 decision making, maximize operational profitability, drive resource efficiency, and deliver results for consumers, utilities, and smart cities. Outcomes places an emphasis on delivering to Itron customers high-</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value, turn-key, digital experiences by leveraging the footprint of our Device Solutions and Networked Solutions segments. The revenues from these offerings are primarily recurring in nature and would include any direct management of Device Solutions, Networked Solutions, and other products on behalf of our end customers. Examples from the Outcomes portfolio include: our meter data management and analytics offerings; our managed service solutions including Network-as-a-Service (NaaS) and Platform-as-a-Service (PaaS); forecasting software and services; our Distributed Energy Management suite of products and services; our Distributed Intelligence suite of applications and services; and any consulting-based engagement. Within the Outcomes segment, we also identify new business models, including performance-based contracting, to drive broader portfolio offerings across utilities and cities.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gross profit, and operating income associated with our operating segments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2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60" w:type="dxa"/>
            <w:vAlign w:val="bottom"/>
          </w:tcPr>
          <w:p>
            <w:pPr>
              <w:spacing w:after="0"/>
              <w:rPr>
                <w:sz w:val="18"/>
                <w:szCs w:val="18"/>
                <w:color w:val="auto"/>
              </w:rPr>
            </w:pPr>
          </w:p>
        </w:tc>
        <w:tc>
          <w:tcPr>
            <w:tcW w:w="3020" w:type="dxa"/>
            <w:vAlign w:val="bottom"/>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4"/>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9"/>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Product revenues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Device Solutions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103,433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160,647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241,319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330,978</w:t>
            </w:r>
          </w:p>
        </w:tc>
      </w:tr>
      <w:tr>
        <w:trPr>
          <w:trHeight w:val="213"/>
        </w:trPr>
        <w:tc>
          <w:tcPr>
            <w:tcW w:w="4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Networked Solutions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241,592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235,167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490,860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493,870</w:t>
            </w:r>
          </w:p>
        </w:tc>
      </w:tr>
      <w:tr>
        <w:trPr>
          <w:trHeight w:val="219"/>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Outcomes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14,873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15,905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27,529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29,675</w:t>
            </w:r>
          </w:p>
        </w:tc>
      </w:tr>
      <w:tr>
        <w:trPr>
          <w:trHeight w:val="207"/>
        </w:trPr>
        <w:tc>
          <w:tcPr>
            <w:tcW w:w="43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Company</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359,898</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411,719</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759,708</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854,523</w:t>
            </w: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6"/>
        </w:trPr>
        <w:tc>
          <w:tcPr>
            <w:tcW w:w="4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4"/>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Service revenues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Device Solutions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4,770</w:t>
            </w:r>
          </w:p>
        </w:tc>
      </w:tr>
      <w:tr>
        <w:trPr>
          <w:trHeight w:val="213"/>
        </w:trPr>
        <w:tc>
          <w:tcPr>
            <w:tcW w:w="4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Networked Solutions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27,870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29,891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57,422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59,502</w:t>
            </w:r>
          </w:p>
        </w:tc>
      </w:tr>
      <w:tr>
        <w:trPr>
          <w:trHeight w:val="219"/>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Outcomes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42,737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45,482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87,027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90,191</w:t>
            </w:r>
          </w:p>
        </w:tc>
      </w:tr>
      <w:tr>
        <w:trPr>
          <w:trHeight w:val="207"/>
        </w:trPr>
        <w:tc>
          <w:tcPr>
            <w:tcW w:w="43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Company</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71,984</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77,693</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147,505</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154,463</w:t>
            </w: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6"/>
        </w:trPr>
        <w:tc>
          <w:tcPr>
            <w:tcW w:w="4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4"/>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Device Solutions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104,810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162,967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244,375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335,748</w:t>
            </w:r>
          </w:p>
        </w:tc>
      </w:tr>
      <w:tr>
        <w:trPr>
          <w:trHeight w:val="213"/>
        </w:trPr>
        <w:tc>
          <w:tcPr>
            <w:tcW w:w="4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Networked Solutions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269,462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265,058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548,282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553,372</w:t>
            </w:r>
          </w:p>
        </w:tc>
      </w:tr>
      <w:tr>
        <w:trPr>
          <w:trHeight w:val="219"/>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Outcomes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57,610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61,387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114,556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119,866</w:t>
            </w:r>
          </w:p>
        </w:tc>
      </w:tr>
      <w:tr>
        <w:trPr>
          <w:trHeight w:val="207"/>
        </w:trPr>
        <w:tc>
          <w:tcPr>
            <w:tcW w:w="43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Company</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431,882</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489,412</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907,213</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1,008,986</w:t>
            </w: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6"/>
        </w:trPr>
        <w:tc>
          <w:tcPr>
            <w:tcW w:w="4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4"/>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Device Solutions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30,452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35,684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62,748</w:t>
            </w:r>
          </w:p>
        </w:tc>
      </w:tr>
      <w:tr>
        <w:trPr>
          <w:trHeight w:val="213"/>
        </w:trPr>
        <w:tc>
          <w:tcPr>
            <w:tcW w:w="4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Networked Solutions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89,909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95,953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181,260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208,712</w:t>
            </w:r>
          </w:p>
        </w:tc>
      </w:tr>
      <w:tr>
        <w:trPr>
          <w:trHeight w:val="219"/>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Outcomes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22,318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23,470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44,385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45,459</w:t>
            </w:r>
          </w:p>
        </w:tc>
      </w:tr>
      <w:tr>
        <w:trPr>
          <w:trHeight w:val="207"/>
        </w:trPr>
        <w:tc>
          <w:tcPr>
            <w:tcW w:w="43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Company</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126,105</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149,875</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261,329</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316,919</w:t>
            </w: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6"/>
        </w:trPr>
        <w:tc>
          <w:tcPr>
            <w:tcW w:w="4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4"/>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Device Solutions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19,988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17,037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41,689</w:t>
            </w:r>
          </w:p>
        </w:tc>
      </w:tr>
      <w:tr>
        <w:trPr>
          <w:trHeight w:val="213"/>
        </w:trPr>
        <w:tc>
          <w:tcPr>
            <w:tcW w:w="4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Networked Solutions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62,282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64,630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123,289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143,921</w:t>
            </w:r>
          </w:p>
        </w:tc>
      </w:tr>
      <w:tr>
        <w:trPr>
          <w:trHeight w:val="219"/>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Outcomes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17,450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22,873</w:t>
            </w:r>
          </w:p>
        </w:tc>
      </w:tr>
      <w:tr>
        <w:trPr>
          <w:trHeight w:val="213"/>
        </w:trPr>
        <w:tc>
          <w:tcPr>
            <w:tcW w:w="4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Corporate unallocated</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(110,377)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(104,087)</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(184,484)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(184,475)</w:t>
            </w:r>
          </w:p>
        </w:tc>
      </w:tr>
      <w:tr>
        <w:trPr>
          <w:trHeight w:val="212"/>
        </w:trPr>
        <w:tc>
          <w:tcPr>
            <w:tcW w:w="4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Company</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(33,527)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(26,708)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24,008</w:t>
            </w:r>
          </w:p>
        </w:tc>
      </w:tr>
      <w:tr>
        <w:trPr>
          <w:trHeight w:val="213"/>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(25,729)</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(38,428)</w:t>
            </w:r>
          </w:p>
        </w:tc>
      </w:tr>
      <w:tr>
        <w:trPr>
          <w:trHeight w:val="235"/>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(36,224)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(32,661)</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(31,469)</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(14,420)</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six months ended June 30, 2022 and 2021, no customer represented more than 10% of total company revenue.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region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2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60" w:type="dxa"/>
            <w:vAlign w:val="bottom"/>
          </w:tcPr>
          <w:p>
            <w:pPr>
              <w:spacing w:after="0"/>
              <w:rPr>
                <w:sz w:val="18"/>
                <w:szCs w:val="18"/>
                <w:color w:val="auto"/>
              </w:rPr>
            </w:pPr>
          </w:p>
        </w:tc>
        <w:tc>
          <w:tcPr>
            <w:tcW w:w="3020" w:type="dxa"/>
            <w:vAlign w:val="bottom"/>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4"/>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 and Canada</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311,831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308,673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629,724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634,209</w:t>
            </w:r>
          </w:p>
        </w:tc>
      </w:tr>
      <w:tr>
        <w:trPr>
          <w:trHeight w:val="21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150,851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226,227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311,220</w:t>
            </w:r>
          </w:p>
        </w:tc>
      </w:tr>
      <w:tr>
        <w:trPr>
          <w:trHeight w:val="21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Asia Pacific</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23,130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29,888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51,262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63,557</w:t>
            </w:r>
          </w:p>
        </w:tc>
      </w:tr>
      <w:tr>
        <w:trPr>
          <w:trHeight w:val="207"/>
        </w:trPr>
        <w:tc>
          <w:tcPr>
            <w:tcW w:w="4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Company</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431,882</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489,412</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907,213</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1,008,986</w:t>
            </w:r>
          </w:p>
        </w:tc>
      </w:tr>
      <w:tr>
        <w:trPr>
          <w:trHeight w:val="23"/>
        </w:trPr>
        <w:tc>
          <w:tcPr>
            <w:tcW w:w="4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is allocated to the operating segments based upon each segment's use of the assets. All amortization expense is recognized within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unallocated. Depreciation and amortization of intangible assets expense associated with our operating segments was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2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Borders>
              <w:bottom w:val="single" w:sz="8" w:color="auto"/>
            </w:tcBorders>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80" w:type="dxa"/>
            <w:vAlign w:val="bottom"/>
            <w:tcBorders>
              <w:bottom w:val="single" w:sz="8" w:color="auto"/>
            </w:tcBorders>
          </w:tcPr>
          <w:p>
            <w:pPr>
              <w:spacing w:after="0"/>
              <w:rPr>
                <w:sz w:val="18"/>
                <w:szCs w:val="18"/>
                <w:color w:val="auto"/>
              </w:rPr>
            </w:pPr>
          </w:p>
        </w:tc>
      </w:tr>
      <w:tr>
        <w:trPr>
          <w:trHeight w:val="21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580" w:type="dxa"/>
            <w:vAlign w:val="bottom"/>
            <w:tcBorders>
              <w:bottom w:val="single" w:sz="8" w:color="auto"/>
            </w:tcBorders>
          </w:tcPr>
          <w:p>
            <w:pPr>
              <w:spacing w:after="0"/>
              <w:rPr>
                <w:sz w:val="18"/>
                <w:szCs w:val="18"/>
                <w:color w:val="auto"/>
              </w:rPr>
            </w:pPr>
          </w:p>
        </w:tc>
      </w:tr>
      <w:tr>
        <w:trPr>
          <w:trHeight w:val="21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Device Solutions</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7,483</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11,797</w:t>
            </w:r>
          </w:p>
        </w:tc>
      </w:tr>
      <w:tr>
        <w:trPr>
          <w:trHeight w:val="213"/>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Networked Solutions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4,285</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4,252</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8,725</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8,527</w:t>
            </w:r>
          </w:p>
        </w:tc>
      </w:tr>
      <w:tr>
        <w:trPr>
          <w:trHeight w:val="21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Outcomes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2,363</w:t>
            </w:r>
          </w:p>
        </w:tc>
      </w:tr>
      <w:tr>
        <w:trPr>
          <w:trHeight w:val="213"/>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 unallocated</w:t>
            </w: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7,362</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10,119</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14,916</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20,232</w:t>
            </w:r>
          </w:p>
        </w:tc>
      </w:tr>
      <w:tr>
        <w:trPr>
          <w:trHeight w:val="235"/>
        </w:trPr>
        <w:tc>
          <w:tcPr>
            <w:tcW w:w="43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Company</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16,414</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21,109</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33,251</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42,919</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Revenues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significant net changes in the contract assets and the contract liabilities balances during the period is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6"/>
                <w:szCs w:val="16"/>
                <w:color w:val="auto"/>
              </w:rPr>
            </w:pPr>
          </w:p>
        </w:tc>
        <w:tc>
          <w:tcPr>
            <w:tcW w:w="20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Contract Liabilities, Less</w:t>
            </w:r>
          </w:p>
        </w:tc>
        <w:tc>
          <w:tcPr>
            <w:tcW w:w="0" w:type="dxa"/>
            <w:vAlign w:val="bottom"/>
          </w:tcPr>
          <w:p>
            <w:pPr>
              <w:spacing w:after="0"/>
              <w:rPr>
                <w:sz w:val="1"/>
                <w:szCs w:val="1"/>
                <w:color w:val="auto"/>
              </w:rPr>
            </w:pPr>
          </w:p>
        </w:tc>
      </w:tr>
      <w:tr>
        <w:trPr>
          <w:trHeight w:val="214"/>
        </w:trPr>
        <w:tc>
          <w:tcPr>
            <w:tcW w:w="906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Contract Assets</w:t>
            </w:r>
          </w:p>
        </w:tc>
        <w:tc>
          <w:tcPr>
            <w:tcW w:w="0" w:type="dxa"/>
            <w:vAlign w:val="bottom"/>
          </w:tcPr>
          <w:p>
            <w:pPr>
              <w:spacing w:after="0"/>
              <w:rPr>
                <w:sz w:val="1"/>
                <w:szCs w:val="1"/>
                <w:color w:val="auto"/>
              </w:rPr>
            </w:pPr>
          </w:p>
        </w:tc>
      </w:tr>
      <w:tr>
        <w:trPr>
          <w:trHeight w:val="211"/>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 January 1, 2022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83,180</w:t>
            </w:r>
          </w:p>
        </w:tc>
        <w:tc>
          <w:tcPr>
            <w:tcW w:w="0" w:type="dxa"/>
            <w:vAlign w:val="bottom"/>
          </w:tcPr>
          <w:p>
            <w:pPr>
              <w:spacing w:after="0"/>
              <w:rPr>
                <w:sz w:val="1"/>
                <w:szCs w:val="1"/>
                <w:color w:val="auto"/>
              </w:rPr>
            </w:pP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 recognized from beginning contract liability</w:t>
            </w:r>
          </w:p>
        </w:tc>
        <w:tc>
          <w:tcPr>
            <w:tcW w:w="1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(46,816)</w:t>
            </w:r>
          </w:p>
        </w:tc>
        <w:tc>
          <w:tcPr>
            <w:tcW w:w="0" w:type="dxa"/>
            <w:vAlign w:val="bottom"/>
          </w:tcPr>
          <w:p>
            <w:pPr>
              <w:spacing w:after="0"/>
              <w:rPr>
                <w:sz w:val="1"/>
                <w:szCs w:val="1"/>
                <w:color w:val="auto"/>
              </w:rPr>
            </w:pP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Cumulative catch-up adjustments</w:t>
            </w: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0" w:type="dxa"/>
            <w:vAlign w:val="bottom"/>
          </w:tcPr>
          <w:p>
            <w:pPr>
              <w:spacing w:after="0"/>
              <w:rPr>
                <w:sz w:val="1"/>
                <w:szCs w:val="1"/>
                <w:color w:val="auto"/>
              </w:rPr>
            </w:pP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Increases due to amounts collected or due</w:t>
            </w:r>
          </w:p>
        </w:tc>
        <w:tc>
          <w:tcPr>
            <w:tcW w:w="1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184,487</w:t>
            </w:r>
          </w:p>
        </w:tc>
        <w:tc>
          <w:tcPr>
            <w:tcW w:w="0" w:type="dxa"/>
            <w:vAlign w:val="bottom"/>
          </w:tcPr>
          <w:p>
            <w:pPr>
              <w:spacing w:after="0"/>
              <w:rPr>
                <w:sz w:val="1"/>
                <w:szCs w:val="1"/>
                <w:color w:val="auto"/>
              </w:rPr>
            </w:pP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recognized from current period increases</w:t>
            </w: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(115,354)</w:t>
            </w:r>
          </w:p>
        </w:tc>
        <w:tc>
          <w:tcPr>
            <w:tcW w:w="0" w:type="dxa"/>
            <w:vAlign w:val="bottom"/>
          </w:tcPr>
          <w:p>
            <w:pPr>
              <w:spacing w:after="0"/>
              <w:rPr>
                <w:sz w:val="1"/>
                <w:szCs w:val="1"/>
                <w:color w:val="auto"/>
              </w:rPr>
            </w:pPr>
          </w:p>
        </w:tc>
      </w:tr>
      <w:tr>
        <w:trPr>
          <w:trHeight w:val="213"/>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(1,377)</w:t>
            </w:r>
          </w:p>
        </w:tc>
        <w:tc>
          <w:tcPr>
            <w:tcW w:w="0" w:type="dxa"/>
            <w:vAlign w:val="bottom"/>
          </w:tcPr>
          <w:p>
            <w:pPr>
              <w:spacing w:after="0"/>
              <w:rPr>
                <w:sz w:val="1"/>
                <w:szCs w:val="1"/>
                <w:color w:val="auto"/>
              </w:rPr>
            </w:pPr>
          </w:p>
        </w:tc>
      </w:tr>
      <w:tr>
        <w:trPr>
          <w:trHeight w:val="237"/>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 June 30, 2022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104,533</w:t>
            </w:r>
          </w:p>
        </w:tc>
        <w:tc>
          <w:tcPr>
            <w:tcW w:w="0" w:type="dxa"/>
            <w:vAlign w:val="bottom"/>
          </w:tcPr>
          <w:p>
            <w:pPr>
              <w:spacing w:after="0"/>
              <w:rPr>
                <w:sz w:val="1"/>
                <w:szCs w:val="1"/>
                <w:color w:val="auto"/>
              </w:rPr>
            </w:pP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 2022, total contract assets were $33.7 million and total contract liabilities were $116.9 million. On June 30, 2022, total contract assets were $47.3 million and total contract liabilities were $151.8 million. The contract assets primarily relate to contracts that include a retention clause and allocations related to contracts with multiple performance obligations. The contract liabilities primarily relate to deferred revenue, such as extended warranty and maintenance cost. The cumulative catch-up adjustments relate to contract modifications, measure-of-progress changes, and changes in the estimate of the transaction price.</w:t>
      </w: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Transaction price allocated to the remaining performance obligations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Total transaction price allocated to remaining performance obligations represents committed but undelivered products and services for contracts and purchase orders at period end. Twelve-month remaining performance obligations represent the portion of total transaction price allocated to remaining performance obligations that we estimate will be recognized as revenue over the next 12 months. Total transaction price allocated to remaining performance obligations is not a complete measure of our future revenues as we also receive orders where the customer may have legal termination rights but are not likely to terminate.</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Total transaction price allocated to remaining performance obligations related to contracts is approximately $1.5 billion for the next twelve months and approximately $1.2 billion for periods longer than 12 months. The total remaining performance obligations consist of product and service components. The service component relates primarily to maintenance agreements for which customers pay a full year's maintenance in advance, and service revenues are generally recognized over the service period. Total transaction price allocated to remaining performance obligations also includes our extended warranty contracts, for which revenue is recognized over the warranty period, and hardware, which is recognized as units are delivered. The estimate of when remaining performance obligations will be recognized requires significant judgment.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Cost to obtain a contract and cost to fulfill a contract with a customer</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Cost to obtain a contract and costs to fulfill a contract were capitalized and amortized using a systematic rational approach to align with the transfer of control of underlying contracts with customers. While amounts were capitalized, they are not material.</w:t>
      </w:r>
    </w:p>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Refer to Note 15: Segment Information and the Consolidated Statements of Operations for disclosure regarding the disaggregation of revenue into categories, which depict how revenue and cash flows are affected by economic factors. Specifically, our operating segments and geographical regions as disclosed, and categories for products, which include hardware and software and services, are presented.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Sale of Business</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Sale to Dresser</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2, 2021, Itron entered into a definitive securities and asset purchase agreement to sell certain of its Gas device manufacturing and business operations in Europe and North America to Dresser. The sale included one German subsidiary – Itron GmbH along with its business operations, personnel, and the owned manufacturing facility in Karlsruhe; the business operations, personnel, and assets associated with the leased manufacturing facility in Argenteuil, France; and the business and manufacturing assets maintained at one of our contract manufacturers in North America.</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transaction closed on February 28, 2022. The final sales price and loss on sale will be determined and recognized after the finalization of the working capital adjustment, expected in the third quarter of 2022. As of December 31, 2021, we recognized a pre-tax impairment loss of $34.4 million as well as $3.1 million for professional services in conjunction with the planned sale to Dresser (classified within loss on sale of business within the Consolidated Statements of Operations). In determining the amount of the impairment loss for the assets of this transaction during the fourth quarter of 2021, we included $59.7 million of accumulated foreign currency translation losses and $0.9 million in unrealized loss on defined benefit pension plans, both classified within AOCI. Upon closing of the sale transaction in the first quarter of 2022, the then outstanding amounts in AOCI were reclassified to net income through loss on sale of business for a total of $55.4 million, with a corresponding reversal of the impairment loss originally booked in the fourth quarter of 2021. The difference between the amounts included for the impairment loss in the fourth quarter of 2021 and the first quarter of 2022 was driven by the change in the euro to U.S. dollar exchange rate, and operating results for the period owned in 2022.</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first quarter of 2022, we recognized a loss of $2.2 million related to changes in the working capital balances and additional professional services. In the second quarter of 2022, we recognized a loss of $0.2 million related to additional professional services. The base sale price of this divestiture was $75.0 million, with adjustments for (1) pension liabilities assumed by Dresser for related active employees and (2) the final working capital balance. Cash proceeds from the sale were $55.9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the unaudited consolidated financial statements and notes included in this report and with the consolidated financial statements and the notes thereto for the fiscal year ended December 31, 2021 filed with the Securities and Exchange Commission (SEC) in our Annual Report on Form 10-K on February 28, 2022 (2021 Annual Report).</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objective of Management’s Discussion and Analysis is to provide our assessment of the financial condition and results of operations, including an evaluation of our liquidity and capital resources along with material events occurring during the year. The discussion and analysis focuses on material events and uncertainties known to management that are reasonably likely to cause reported financial information not to be necessarily indicative of future operating results or of future financial condition. In addition, we address matters that are reasonably likely, based on management’s assessment, to have a material impact on future operations. We expect the analysis will enhance a reader’s understanding of our financial condition, cash flows, and other changes in financial condition and results of operations.</w:t>
      </w:r>
    </w:p>
    <w:p>
      <w:pPr>
        <w:spacing w:after="0" w:line="21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Documents we provide to the SEC are available free of charge under the Investors section of our website at </w:t>
      </w:r>
      <w:r>
        <w:rPr>
          <w:rFonts w:ascii="Times New Roman" w:cs="Times New Roman" w:eastAsia="Times New Roman" w:hAnsi="Times New Roman"/>
          <w:sz w:val="18"/>
          <w:szCs w:val="18"/>
          <w:i w:val="1"/>
          <w:iCs w:val="1"/>
          <w:color w:val="auto"/>
        </w:rPr>
        <w:t>www.itron.com</w:t>
      </w:r>
      <w:r>
        <w:rPr>
          <w:rFonts w:ascii="Times New Roman" w:cs="Times New Roman" w:eastAsia="Times New Roman" w:hAnsi="Times New Roman"/>
          <w:sz w:val="18"/>
          <w:szCs w:val="18"/>
          <w:color w:val="auto"/>
        </w:rPr>
        <w:t xml:space="preserve"> as soon as practicable after they are filed with or furnished to the SEC. In addition, these documents are available at the SEC's website (http://</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Forward-Looking Statements</w:t>
      </w:r>
    </w:p>
    <w:p>
      <w:pPr>
        <w:spacing w:after="0" w:line="2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222222"/>
        </w:rPr>
        <w:t>This report contains, and our officers and representatives may from time to time make, "forward-looking statements" within the meaning of the safe harbor provisions of the U.S. Private Securities Litigation Reform Act of 1995. Forward-looking statements are neither historical factors nor assurances of future performance. These statements are based on our expectations about, among others, revenues, operations, financial performance, earnings, liquidity, earnings per share, cash flows and restructuring activities including headcount reductions and other cost savings initiatives. This document reflects our current strategy, plans and expectations and is based on information currently available as of the date of this Quarterly Report on Form 10-Q. When we use words such as "expect", "intend", "anticipate", "believe", "plan", "goal", "seek", "project", "estimate", "future", "strategy", "objective", "may", "likely", "should", "will", "will continue", and similar expressions, including related to future periods, they are intended to identify forward-looking statements. Forward-looking statements rely on a number of assumptions and estimates.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Therefore, you should not rely on any of these forward-looking statements. Some of the factors that we believe could affect our results include our ability to execute on our restructuring plans, our ability to achieve estimated cost savings, the rate and timing of customer demand for our products, rescheduling of current customer orders, changes in estimated liabilities for product warranties, adverse impacts of litigation, changes in laws and regulations, our dependence on new product development and intellectual property, future acquisitions, changes in estimates for stock-based and bonus compensation, increasing volatility in foreign exchange rates, international business risks, uncertainties caused by adverse economic conditions, including, without limitation those resulting from extraordinary events or circumstances such as the COVID-19 pandemic and other factors that are more fully described in Part I, Item 1A: Risk Factors included in our 2021 Annual Report and other reports on file with the SEC. We undertake no obligation to update or revise any forward-looking statement, whether written or oral.</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technology and service company, and we are a leader in the Industrial Internet of Things (IIoT). We offer solutions that enable utilities and municipalities to safely, securely, and reliably operate their critical infrastructure. Our solutions include the deployment of smart networks, software, services, devices, sensors, and data analytics that allow our customers to manage assets, secure revenue, lower operational costs, improve customer service, improve safety, and enable efficient management of valuable resources. Our comprehensive solutions and data analytics address the unique challenges facing the energy, water, and municipality sectors, including increasing demand on resources, non-technical loss, leak detection, environmental and regulatory compliance, and improved operational reliability.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under the Itron brand worldwide and manage and report under three operating segments: Device Solutions, Networked Solutions,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Outcomes. The product and operating definitions of the three segments are as follows:</w:t>
      </w:r>
    </w:p>
    <w:p>
      <w:pPr>
        <w:spacing w:after="0" w:line="23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Device Solutions </w:t>
      </w:r>
      <w:r>
        <w:rPr>
          <w:rFonts w:ascii="Times New Roman" w:cs="Times New Roman" w:eastAsia="Times New Roman" w:hAnsi="Times New Roman"/>
          <w:sz w:val="18"/>
          <w:szCs w:val="18"/>
          <w:color w:val="auto"/>
        </w:rPr>
        <w:t>– This segment primarily includes hardware products used for measurement, control, or sensing that do not have communications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capability embedded for use with our broader Itron systems, i.e., hardware-based products not part of a complete end-to-end solution. Examples from the Device Solutions portfolio include: standard endpoints that are shipped without Itron communications, such as our standard gas, electricity, and water meters for a variety of global markets and adhering to regulations and standards within those markets, as well as our heat and allocation products; communicating meters that are not a part of an Itron end-to-end solution, such as Smart Spec meters; and the implementation and installation of non-communicating devices.</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Networked Solutions </w:t>
      </w:r>
      <w:r>
        <w:rPr>
          <w:rFonts w:ascii="Times New Roman" w:cs="Times New Roman" w:eastAsia="Times New Roman" w:hAnsi="Times New Roman"/>
          <w:sz w:val="18"/>
          <w:szCs w:val="18"/>
          <w:color w:val="auto"/>
        </w:rPr>
        <w:t>– This segment primarily includes a combination of communicating devices (e.g., smart meters, modules, endpoints, and sensors),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network infrastructure, and associated application software designed and sold as a complete solution for acquiring and transporting robust application-specific data. Networked Solutions includes products and software for the implementation, installation, and management of communicating devices and data networks. Examples from the Networked Solutions portfolio include: communicating measurement, control, or sensing endpoints, such as our Itron OpenWay® Centron and Riva meters, Itron traditional ERT® technology, Intelis smart gas meters, 500G gas communication modules, 500W water communication modules, GenX networking infrastructure products and network interface cards (NICs), Smart City control and management software, Distribution Automation bridge devices, and specific network control and management software applications. The Industrial Internet of Things (IIoT) solutions supported by this segment include automated meter reading (AMR), advanced metering infrastructure (AMI), smart grid and distribution automation, smart street lighting, and an ever-</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growing set of smart city applications such as traffic management, smart parking, air quality monitoring, electric vehicle charging, customer engagement, digital signage, acoustic (e.g., gunshot) detection, and leak detection and mitigation for both gas and water systems. Our IIoT platform allows all these industry and smart city applications to be run and managed on a single, multi-purpose network.</w:t>
      </w:r>
    </w:p>
    <w:p>
      <w:pPr>
        <w:spacing w:after="0" w:line="2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Outcomes </w:t>
      </w:r>
      <w:r>
        <w:rPr>
          <w:rFonts w:ascii="Times New Roman" w:cs="Times New Roman" w:eastAsia="Times New Roman" w:hAnsi="Times New Roman"/>
          <w:sz w:val="18"/>
          <w:szCs w:val="18"/>
          <w:color w:val="auto"/>
        </w:rPr>
        <w:t>– This segment primarily includes our value-added, enhanced software and services in which we manage, organize, analyze, and interpret data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 decision making, maximize operational profitability, drive resource efficiency, and deliver results for consumers, utilities, and smart cities. Outcomes places an emphasis on delivering to Itron customers high-value, turn-key, digital experiences by leveraging the footprint of our Device Solutions and Networked Solutions segments. The revenues from these offerings are primarily recurring in nature and would include any direct management of Device Solutions, Networked Solutions, and other products on behalf of our end customers. Examples from the Outcomes portfolio include: our meter data management and analytics offerings; our managed service solutions including Network-as-a-Service (NaaS) and Platform-as-a-Service (PaaS); forecasting software and services; our Distributed Energy Management suite of products and services; our Distributed Intelligence suite of applications and services; and any consulting-based engagement. Within the Outcomes segment, we also identify new business models, including performance-based contracting, to drive broader portfolio offerings across utilities and cities.</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three measures of segment performance: revenues, gross profit (margin), and operating income (margin). Intersegment revenues are minimal. Certain operating expenses are allocated to the operating segments based upon internally established allocation methodologies. Interest income, interest expense, other income (expense), the income tax provision (benefit), and certain corporate operating expenses are neither allocated to the segments nor included in the measures of segment performance.</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Non-GAAP Measures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To supplement our consolidated financial statements, which are prepared in accordance with accounting principles generally accepted in the United States (GAAP), we use certain adjusted or non-GAAP financial measures, including non-GAAP operating expense, non-GAAP operating income, non-GAAP net income, non-GAAP diluted earnings per share (EPS), adjusted EBITDA, adjusted EBITDA margin, constant currency, and free cash flow. We provide these non-GAAP financial measures because we believe they provide greater transparency and represent supplemental information used by management in its financial and operational decision making. We exclude certain costs in our non-GAAP financial measures as we believe the net result is a measure of our core business. We believe these measures facilitate operating performance comparisons from period to period by eliminating potential differences caused by the existence and timing of certain expense items that would not otherwise be apparent on a GAAP basis. Non-GAAP performance measures should be considered in addition to, and not as a substitute for, results prepared in accordance with GAAP. We strongly encourage investors and shareholders to review our financial statements and publicly-filed reports in their entirety and not to rely on any single financial measure. Our non-GAAP financial measures may be different from those reported by other companies.</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our discussions of the operating results below, we sometimes refer to the impact of foreign currency exchange rate fluctuations, which are references to the differences between the foreign currency exchange rates we use to convert operating results from local currencies into U.S. dollars for reporting purposes. We also use the term </w:t>
      </w:r>
      <w:r>
        <w:rPr>
          <w:rFonts w:ascii="Times New Roman" w:cs="Times New Roman" w:eastAsia="Times New Roman" w:hAnsi="Times New Roman"/>
          <w:sz w:val="18"/>
          <w:szCs w:val="18"/>
          <w:color w:val="222222"/>
        </w:rPr>
        <w:t>"</w:t>
      </w:r>
      <w:r>
        <w:rPr>
          <w:rFonts w:ascii="Times New Roman" w:cs="Times New Roman" w:eastAsia="Times New Roman" w:hAnsi="Times New Roman"/>
          <w:sz w:val="18"/>
          <w:szCs w:val="18"/>
          <w:color w:val="auto"/>
        </w:rPr>
        <w:t>constant currency</w:t>
      </w:r>
      <w:r>
        <w:rPr>
          <w:rFonts w:ascii="Times New Roman" w:cs="Times New Roman" w:eastAsia="Times New Roman" w:hAnsi="Times New Roman"/>
          <w:sz w:val="18"/>
          <w:szCs w:val="18"/>
          <w:color w:val="222222"/>
        </w:rPr>
        <w:t>",</w:t>
      </w:r>
      <w:r>
        <w:rPr>
          <w:rFonts w:ascii="Times New Roman" w:cs="Times New Roman" w:eastAsia="Times New Roman" w:hAnsi="Times New Roman"/>
          <w:sz w:val="18"/>
          <w:szCs w:val="18"/>
          <w:color w:val="auto"/>
        </w:rPr>
        <w:t xml:space="preserve"> which represents results adjusted to exclude foreign currency exchange rate impacts. We calculate the constant currency change as the difference between the current period results translated using the current period currency exchange rates and the comparable prior period's results restated using current period currency exchange rates. We believe the reconciliations of changes in constant currency provide useful supplementary information to investors in light of fluctuations in foreign currency exchange rates.</w:t>
      </w:r>
    </w:p>
    <w:p>
      <w:pPr>
        <w:spacing w:after="0" w:line="2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Refer to the </w:t>
      </w:r>
      <w:r>
        <w:rPr>
          <w:rFonts w:ascii="Times New Roman" w:cs="Times New Roman" w:eastAsia="Times New Roman" w:hAnsi="Times New Roman"/>
          <w:sz w:val="18"/>
          <w:szCs w:val="18"/>
          <w:i w:val="1"/>
          <w:iCs w:val="1"/>
          <w:color w:val="auto"/>
        </w:rPr>
        <w:t>Non-GAAP Measures</w:t>
      </w:r>
      <w:r>
        <w:rPr>
          <w:rFonts w:ascii="Times New Roman" w:cs="Times New Roman" w:eastAsia="Times New Roman" w:hAnsi="Times New Roman"/>
          <w:sz w:val="18"/>
          <w:szCs w:val="18"/>
          <w:color w:val="auto"/>
        </w:rPr>
        <w:t xml:space="preserve"> section below on pages 46-48 for information about these non-GAAP measures and the detailed reconciliation of items that impacted free cash flow, non-GAAP operating expense, non-GAAP operating income, non-GAAP net income, adjusted EBITDA, and non-GAAP diluted EPS in the presented periods.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Company Highlights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22222"/>
        </w:rPr>
        <w:t xml:space="preserve">Highlights and significant developments for the </w:t>
      </w:r>
      <w:r>
        <w:rPr>
          <w:rFonts w:ascii="Times New Roman" w:cs="Times New Roman" w:eastAsia="Times New Roman" w:hAnsi="Times New Roman"/>
          <w:sz w:val="18"/>
          <w:szCs w:val="18"/>
          <w:i w:val="1"/>
          <w:iCs w:val="1"/>
          <w:color w:val="000000"/>
        </w:rPr>
        <w:t>three months ended June 30, 2022 compared with the three months ended June 30, 2021</w:t>
      </w:r>
    </w:p>
    <w:p>
      <w:pPr>
        <w:spacing w:after="0" w:line="65" w:lineRule="exact"/>
        <w:rPr>
          <w:sz w:val="20"/>
          <w:szCs w:val="20"/>
          <w:color w:val="auto"/>
        </w:rPr>
      </w:pPr>
    </w:p>
    <w:p>
      <w:pPr>
        <w:ind w:left="240" w:hanging="151"/>
        <w:spacing w:after="0"/>
        <w:tabs>
          <w:tab w:leader="none" w:pos="240" w:val="left"/>
        </w:tabs>
        <w:numPr>
          <w:ilvl w:val="0"/>
          <w:numId w:val="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Revenues were $431.9 million compared with $489.4 million in 2021, a decrease of $57.5 million, or 12%</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 xml:space="preserve">Gross margin was </w:t>
      </w:r>
      <w:r>
        <w:rPr>
          <w:rFonts w:ascii="Times New Roman" w:cs="Times New Roman" w:eastAsia="Times New Roman" w:hAnsi="Times New Roman"/>
          <w:sz w:val="18"/>
          <w:szCs w:val="18"/>
          <w:color w:val="000000"/>
        </w:rPr>
        <w:t>29.2%</w:t>
      </w:r>
      <w:r>
        <w:rPr>
          <w:rFonts w:ascii="Times New Roman" w:cs="Times New Roman" w:eastAsia="Times New Roman" w:hAnsi="Times New Roman"/>
          <w:sz w:val="18"/>
          <w:szCs w:val="18"/>
          <w:color w:val="222222"/>
        </w:rPr>
        <w:t>, compared with 30.6% in 2021</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Operating expenses increased $2.8 million, or 2%, compared with 2021</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Net loss attributable to Itron, Inc. was $37.0 million compared with net loss of $33.1 million in 2021</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 xml:space="preserve">GAAP loss per share increased by </w:t>
      </w:r>
      <w:r>
        <w:rPr>
          <w:rFonts w:ascii="Times New Roman" w:cs="Times New Roman" w:eastAsia="Times New Roman" w:hAnsi="Times New Roman"/>
          <w:sz w:val="18"/>
          <w:szCs w:val="18"/>
          <w:color w:val="000000"/>
        </w:rPr>
        <w:t>$0.09</w:t>
      </w:r>
      <w:r>
        <w:rPr>
          <w:rFonts w:ascii="Times New Roman" w:cs="Times New Roman" w:eastAsia="Times New Roman" w:hAnsi="Times New Roman"/>
          <w:sz w:val="18"/>
          <w:szCs w:val="18"/>
          <w:color w:val="222222"/>
        </w:rPr>
        <w:t xml:space="preserve"> to a loss per share of $0.82 in 2022</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Non-GAAP net income attributable to Itron, Inc. was $3.1 million compared with $12.6 million in 2021</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Non-GAAP diluted EPS was $0.07, a decrease of $0.21 compared with 2021</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Adjusted EBITDA was $17.5 million compared with $36.1 million in 2021</w:t>
      </w:r>
    </w:p>
    <w:p>
      <w:pPr>
        <w:spacing w:after="0" w:line="63" w:lineRule="exact"/>
        <w:rPr>
          <w:rFonts w:ascii="Times New Roman" w:cs="Times New Roman" w:eastAsia="Times New Roman" w:hAnsi="Times New Roman"/>
          <w:sz w:val="18"/>
          <w:szCs w:val="18"/>
          <w:color w:val="222222"/>
        </w:rPr>
      </w:pPr>
    </w:p>
    <w:p>
      <w:pPr>
        <w:ind w:left="260" w:hanging="171"/>
        <w:spacing w:after="0" w:line="282" w:lineRule="auto"/>
        <w:tabs>
          <w:tab w:leader="none" w:pos="255" w:val="left"/>
        </w:tabs>
        <w:numPr>
          <w:ilvl w:val="0"/>
          <w:numId w:val="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 xml:space="preserve">Total backlog was $4.1 billion and twelve-month backlog was $1.7 billion at </w:t>
      </w:r>
      <w:r>
        <w:rPr>
          <w:rFonts w:ascii="Times New Roman" w:cs="Times New Roman" w:eastAsia="Times New Roman" w:hAnsi="Times New Roman"/>
          <w:sz w:val="18"/>
          <w:szCs w:val="18"/>
          <w:color w:val="000000"/>
        </w:rPr>
        <w:t>June 30, 2022, compared with $3.5 billion and $1.4 billion at June 30,</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2021</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22222"/>
        </w:rPr>
        <w:t xml:space="preserve">Highlights and significant developments for the </w:t>
      </w:r>
      <w:r>
        <w:rPr>
          <w:rFonts w:ascii="Times New Roman" w:cs="Times New Roman" w:eastAsia="Times New Roman" w:hAnsi="Times New Roman"/>
          <w:sz w:val="18"/>
          <w:szCs w:val="18"/>
          <w:i w:val="1"/>
          <w:iCs w:val="1"/>
          <w:color w:val="000000"/>
        </w:rPr>
        <w:t>six</w:t>
      </w:r>
      <w:r>
        <w:rPr>
          <w:rFonts w:ascii="Times New Roman" w:cs="Times New Roman" w:eastAsia="Times New Roman" w:hAnsi="Times New Roman"/>
          <w:sz w:val="18"/>
          <w:szCs w:val="18"/>
          <w:i w:val="1"/>
          <w:iCs w:val="1"/>
          <w:color w:val="222222"/>
        </w:rPr>
        <w:t xml:space="preserve"> months ended </w:t>
      </w:r>
      <w:r>
        <w:rPr>
          <w:rFonts w:ascii="Times New Roman" w:cs="Times New Roman" w:eastAsia="Times New Roman" w:hAnsi="Times New Roman"/>
          <w:sz w:val="18"/>
          <w:szCs w:val="18"/>
          <w:i w:val="1"/>
          <w:iCs w:val="1"/>
          <w:color w:val="000000"/>
        </w:rPr>
        <w:t>June 30, 2022 compared with the six months ended June 30, 2021</w:t>
      </w:r>
    </w:p>
    <w:p>
      <w:pPr>
        <w:spacing w:after="0" w:line="65" w:lineRule="exact"/>
        <w:rPr>
          <w:sz w:val="20"/>
          <w:szCs w:val="20"/>
          <w:color w:val="auto"/>
        </w:rPr>
      </w:pPr>
    </w:p>
    <w:p>
      <w:pPr>
        <w:ind w:left="240" w:hanging="151"/>
        <w:spacing w:after="0"/>
        <w:tabs>
          <w:tab w:leader="none" w:pos="240" w:val="left"/>
        </w:tabs>
        <w:numPr>
          <w:ilvl w:val="0"/>
          <w:numId w:val="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Revenues were $0.9 billion compared with $1.0 billion in 2021, a decrease of $101.8 million, or 10%</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Gross margin was 28.8% compared with 31.4% in 2021</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Operating expenses decreased $4.9 million, or 2%, compared with 2021</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auto"/>
        </w:rPr>
        <w:t xml:space="preserve">Net loss attributable to Itron, Inc. was $36.1 million compared with net loss of $20.5 million in </w:t>
      </w:r>
      <w:r>
        <w:rPr>
          <w:rFonts w:ascii="Times New Roman" w:cs="Times New Roman" w:eastAsia="Times New Roman" w:hAnsi="Times New Roman"/>
          <w:sz w:val="18"/>
          <w:szCs w:val="18"/>
          <w:color w:val="222222"/>
        </w:rPr>
        <w:t>2021</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 xml:space="preserve">GAAP loss per share increased by $0.33 to a loss per share of </w:t>
      </w:r>
      <w:r>
        <w:rPr>
          <w:rFonts w:ascii="Times New Roman" w:cs="Times New Roman" w:eastAsia="Times New Roman" w:hAnsi="Times New Roman"/>
          <w:sz w:val="18"/>
          <w:szCs w:val="18"/>
          <w:color w:val="000000"/>
        </w:rPr>
        <w:t>$0.80 in</w:t>
      </w:r>
      <w:r>
        <w:rPr>
          <w:rFonts w:ascii="Times New Roman" w:cs="Times New Roman" w:eastAsia="Times New Roman" w:hAnsi="Times New Roman"/>
          <w:sz w:val="18"/>
          <w:szCs w:val="18"/>
          <w:color w:val="222222"/>
        </w:rPr>
        <w:t xml:space="preserve"> 2022</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 xml:space="preserve">Non-GAAP net income attributable to Itron, Inc. was </w:t>
      </w:r>
      <w:r>
        <w:rPr>
          <w:rFonts w:ascii="Times New Roman" w:cs="Times New Roman" w:eastAsia="Times New Roman" w:hAnsi="Times New Roman"/>
          <w:sz w:val="18"/>
          <w:szCs w:val="18"/>
          <w:color w:val="000000"/>
        </w:rPr>
        <w:t>$8.3 million</w:t>
      </w:r>
      <w:r>
        <w:rPr>
          <w:rFonts w:ascii="Times New Roman" w:cs="Times New Roman" w:eastAsia="Times New Roman" w:hAnsi="Times New Roman"/>
          <w:sz w:val="18"/>
          <w:szCs w:val="18"/>
          <w:color w:val="222222"/>
        </w:rPr>
        <w:t xml:space="preserve"> compared with </w:t>
      </w:r>
      <w:r>
        <w:rPr>
          <w:rFonts w:ascii="Times New Roman" w:cs="Times New Roman" w:eastAsia="Times New Roman" w:hAnsi="Times New Roman"/>
          <w:sz w:val="18"/>
          <w:szCs w:val="18"/>
          <w:color w:val="000000"/>
        </w:rPr>
        <w:t>$34.6 million</w:t>
      </w:r>
      <w:r>
        <w:rPr>
          <w:rFonts w:ascii="Times New Roman" w:cs="Times New Roman" w:eastAsia="Times New Roman" w:hAnsi="Times New Roman"/>
          <w:sz w:val="18"/>
          <w:szCs w:val="18"/>
          <w:color w:val="222222"/>
        </w:rPr>
        <w:t xml:space="preserve"> in 2021</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Non-GAAP diluted EPS was $0.18, a decrease of $0.61 compared with 2021</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auto"/>
        </w:rPr>
        <w:t xml:space="preserve">Adjusted EBITDA was $36.4 million compared with $85.9 million in </w:t>
      </w:r>
      <w:r>
        <w:rPr>
          <w:rFonts w:ascii="Times New Roman" w:cs="Times New Roman" w:eastAsia="Times New Roman" w:hAnsi="Times New Roman"/>
          <w:sz w:val="18"/>
          <w:szCs w:val="18"/>
          <w:color w:val="222222"/>
        </w:rPr>
        <w:t>2021</w:t>
      </w:r>
    </w:p>
    <w:p>
      <w:pPr>
        <w:spacing w:after="0" w:line="3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Goodwill Impairment</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the result of increases in raw material, component, labor and other costs, coupled with a decrease in forecasted revenue within the Device Solutions operating segment and reporting unit, which we determined during the second quarter of 2022, we performed an interim goodwill impairment test. At the conclusion of the test, a goodwill impairment of $38.5 million was recognized in our Corporate unallocated segment as of June 30, 2022. No interim impairment test was determined to be necessary for the Networked Solutions or Outcomes reporting units. Refer to Note 1: Summary of Significant Accounting Policies in Part II, Item 8: Financial Statements and Supplementary Data of our Annual Report on Form 10-K for the fiscal year ended December 31, 2021 for a description of our reporting units and our method used to determine the fair values of our reporting units and to determine the amount of any goodwill impairment.</w:t>
      </w:r>
    </w:p>
    <w:p>
      <w:pPr>
        <w:spacing w:after="0" w:line="2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Sale of Business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2, 2021, Itron entered into a definitive securities and asset purchase agreement to sell certain of its Gas device manufacturing and business operations in Europe and North America to Dresser Utility Solutions (Dresser). The sale included one German subsidiary – Itron GmbH along with its business operations, personnel, and the owned manufacturing facility in Karlsruhe; the business operations, personnel, and assets associated with the leased manufacturing facility in Argenteuil, France; and the business and manufacturing assets maintained at one of our contract manufacturers in North America.</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transaction closed on February 28, 2022. The final sales price and loss on sale will be determined and recognized after the finalization of the working capital adjustment, expected in the third quarter of 2022. As of December 31, 2021, we recognized a pre-tax impairment loss of $34.4 million as well as $3.1 million for professional services in conjunction with the planned sale to Dresser (classified within loss on sale of business within the Consolidated Statements of Operations). In determining the amount of the impairment loss for the assets of this transaction during the fourth quarter of 2021, we included $59.7 million of accumulated foreign currency translation losses and $0.9 million in unrealized loss on defined benefit pension plans, both classified within accumulated other comprehensive income (AOCI). Upon closing of the sale transaction in the first quarter of 2022, the then outstanding amounts in AOCI were reclassified to net income through loss on sale of business for a total of $55.4 million, with a corresponding reversal of the impairment loss originally booked in the fourth quarter of 2021. The difference between the amounts included for the impairment loss in the fourth quarter of 2021 and the first quarter of 2022 was driven by the change in the euro to U.S. dollar exchange rate, and operating results for the period owned in 2022.</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first quarter of 2022, we recognized a loss of $2.2 million related to changes in the working capital balances and additional professional services. In the second quarter of 2022, we recognized a loss of $0.2 million related to additional professional services. The base sale price of this divestiture was $75.0 million, with adjustments for (1) pension liabilities assumed by Dresser for related active employees and (2) the final working capital balance. Cash proceeds from the sale were $55.9 million.</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Impact of COVID-19, Supply Chain Challenges, and the Conflict in Ukraine</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COVID-19 pandemic has had global economic impacts including disrupting customer demand and global supply chains, resulting in market volatility. The extent of the recent pandemic and its ongoing impact on our operations is volatile, but is being monitored closely by our management. During the initial months of the pandemic our European factories were closed due to government actions and local conditions, and any further closures that may be imposed on us could impact our results for 2022. New variants of the virus may cause previously lifted restrictions to be reinstated, which could result in more disruptions. Incremental costs we have incurred related to COVID-19, such as personal protective equipment, increased cleaning and sanitizing of our facilities, and other such items, have not been material to date. As economies have reopened, global supply chains have struggled to keep pace with rapidly changing demand. The resulting supply constraints have manifested across a variety of areas including mechanical, electrical, and logistics portions of the supply chain, which has impacted our ability to ship products in a timely manner. In particular, our ability to obtain adequate supply of semiconductor components has impacted our ability to service recovering customer demand. While we believe the current imbalance in supply and demand is temporal, the timeline to recovery is uncertain. Efforts are ongoing with suppliers to increase supply, including the approval of alternate sources. Recently, inflation in our raw materials and component costs, freight charges, and labor costs have increased above historical levels, due to, among other things, the continuing impacts of the pandemic and uncertain economic environment. We may or may not be able to fully recover these increased costs through pricing actions with our customers. At this time, we have not identified any significant decrease in long-term customer demand for our products and services. However, certain of our customer projects have experienced delay in deliveries, with revenue originally forecasted in prior periods shifting to future periods. For more information on risks associated with the COVID-19 pandemic, please see our risk in Part I, Item 1A, Risk Factors in our 2021 Annual Report.</w:t>
      </w:r>
    </w:p>
    <w:p>
      <w:pPr>
        <w:spacing w:after="0" w:line="2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COVID-19 pandemic remains a rapidly evolving situation with varying impacts on the locations in which we do business. Changes in the mix of earnings or losses from our different geographical operations, as well as any future enactment of tax legislation and other factors, may result in more volatile quarterly and annual effective tax rates. The detrimental impacts to financial results may be partially offset by financial assistance from the U.S. or the municipalities in which we operate, including employer payroll tax credits for wages paid to employees who are unable to work during the COVID-19 pandemic. Other benefits, including options to defer payroll tax payments and additional deductions, resulted in reduced cash payments in 2020, but increased cash outlays during 2021 and into 2022.</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have limited direct business exposure in Russia, Belarus and Ukraine, the Russian military actions and the resulting sanctions could adversely affect the global economy, as well as further disrupt the supply chain. A major disruption in the global economy and supply chain could have a material adverse effect on our business, prospects, financial condition, results of operations, and cash flows. The extent and duration of the military action, sanctions, and resulting market and/or supply disruptions are impossible to predict, but could be substantial.</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Company GAAP and Non-GAAP Highlights and Unit Shipments: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00" w:type="dxa"/>
            <w:vAlign w:val="bottom"/>
            <w:gridSpan w:val="7"/>
          </w:tcPr>
          <w:p>
            <w:pPr>
              <w:ind w:left="5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60" w:type="dxa"/>
            <w:vAlign w:val="bottom"/>
          </w:tcPr>
          <w:p>
            <w:pPr>
              <w:spacing w:after="0"/>
              <w:rPr>
                <w:sz w:val="18"/>
                <w:szCs w:val="18"/>
                <w:color w:val="auto"/>
              </w:rPr>
            </w:pPr>
          </w:p>
        </w:tc>
        <w:tc>
          <w:tcPr>
            <w:tcW w:w="3420" w:type="dxa"/>
            <w:vAlign w:val="bottom"/>
            <w:gridSpan w:val="6"/>
          </w:tcPr>
          <w:p>
            <w:pPr>
              <w:ind w:left="6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4"/>
        </w:trPr>
        <w:tc>
          <w:tcPr>
            <w:tcW w:w="2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i w:val="1"/>
                <w:iCs w:val="1"/>
                <w:color w:val="auto"/>
              </w:rPr>
              <w:t>In thousands, except margin and per share data</w:t>
            </w: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r>
      <w:tr>
        <w:trPr>
          <w:trHeight w:val="171"/>
        </w:trPr>
        <w:tc>
          <w:tcPr>
            <w:tcW w:w="20" w:type="dxa"/>
            <w:vAlign w:val="bottom"/>
          </w:tcPr>
          <w:p>
            <w:pPr>
              <w:spacing w:after="0"/>
              <w:rPr>
                <w:sz w:val="14"/>
                <w:szCs w:val="14"/>
                <w:color w:val="auto"/>
              </w:rPr>
            </w:pPr>
          </w:p>
        </w:tc>
        <w:tc>
          <w:tcPr>
            <w:tcW w:w="3760" w:type="dxa"/>
            <w:vAlign w:val="bottom"/>
            <w:gridSpan w:val="5"/>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GAAP</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37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Revenues</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9"/>
        </w:trPr>
        <w:tc>
          <w:tcPr>
            <w:tcW w:w="20" w:type="dxa"/>
            <w:vAlign w:val="bottom"/>
            <w:shd w:val="clear" w:color="auto" w:fill="CCEEFF"/>
          </w:tcPr>
          <w:p>
            <w:pPr>
              <w:spacing w:after="0"/>
              <w:rPr>
                <w:sz w:val="19"/>
                <w:szCs w:val="19"/>
                <w:color w:val="auto"/>
              </w:rPr>
            </w:pPr>
          </w:p>
        </w:tc>
        <w:tc>
          <w:tcPr>
            <w:tcW w:w="376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Product revenues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359,898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411,719</w:t>
            </w:r>
          </w:p>
        </w:tc>
        <w:tc>
          <w:tcPr>
            <w:tcW w:w="116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759,708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854,523</w:t>
            </w:r>
          </w:p>
        </w:tc>
        <w:tc>
          <w:tcPr>
            <w:tcW w:w="11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(11)%</w:t>
            </w:r>
          </w:p>
        </w:tc>
      </w:tr>
      <w:tr>
        <w:trPr>
          <w:trHeight w:val="213"/>
        </w:trPr>
        <w:tc>
          <w:tcPr>
            <w:tcW w:w="20" w:type="dxa"/>
            <w:vAlign w:val="bottom"/>
            <w:tcBorders>
              <w:bottom w:val="single" w:sz="8" w:color="CCEEFF"/>
            </w:tcBorders>
          </w:tcPr>
          <w:p>
            <w:pPr>
              <w:spacing w:after="0"/>
              <w:rPr>
                <w:sz w:val="18"/>
                <w:szCs w:val="18"/>
                <w:color w:val="auto"/>
              </w:rPr>
            </w:pPr>
          </w:p>
        </w:tc>
        <w:tc>
          <w:tcPr>
            <w:tcW w:w="3760" w:type="dxa"/>
            <w:vAlign w:val="bottom"/>
            <w:tcBorders>
              <w:bottom w:val="single" w:sz="8" w:color="CCEEFF"/>
            </w:tcBorders>
            <w:gridSpan w:val="5"/>
          </w:tcPr>
          <w:p>
            <w:pPr>
              <w:ind w:left="200"/>
              <w:spacing w:after="0"/>
              <w:rPr>
                <w:sz w:val="20"/>
                <w:szCs w:val="20"/>
                <w:color w:val="auto"/>
              </w:rPr>
            </w:pPr>
            <w:r>
              <w:rPr>
                <w:rFonts w:ascii="Times New Roman" w:cs="Times New Roman" w:eastAsia="Times New Roman" w:hAnsi="Times New Roman"/>
                <w:sz w:val="16"/>
                <w:szCs w:val="16"/>
                <w:color w:val="auto"/>
              </w:rPr>
              <w:t>Service revenues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71,984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77,693</w:t>
            </w:r>
          </w:p>
        </w:tc>
        <w:tc>
          <w:tcPr>
            <w:tcW w:w="1160" w:type="dxa"/>
            <w:vAlign w:val="bottom"/>
            <w:tcBorders>
              <w:bottom w:val="single" w:sz="8" w:color="CCEEFF"/>
            </w:tcBorders>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147,505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154,463</w:t>
            </w:r>
          </w:p>
        </w:tc>
        <w:tc>
          <w:tcPr>
            <w:tcW w:w="118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(5)%</w:t>
            </w:r>
          </w:p>
        </w:tc>
      </w:tr>
      <w:tr>
        <w:trPr>
          <w:trHeight w:val="212"/>
        </w:trPr>
        <w:tc>
          <w:tcPr>
            <w:tcW w:w="20" w:type="dxa"/>
            <w:vAlign w:val="bottom"/>
            <w:shd w:val="clear" w:color="auto" w:fill="CCEEFF"/>
          </w:tcPr>
          <w:p>
            <w:pPr>
              <w:spacing w:after="0"/>
              <w:rPr>
                <w:sz w:val="18"/>
                <w:szCs w:val="18"/>
                <w:color w:val="auto"/>
              </w:rPr>
            </w:pPr>
          </w:p>
        </w:tc>
        <w:tc>
          <w:tcPr>
            <w:tcW w:w="3760" w:type="dxa"/>
            <w:vAlign w:val="bottom"/>
            <w:gridSpan w:val="5"/>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revenues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431,882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489,412</w:t>
            </w:r>
          </w:p>
        </w:tc>
        <w:tc>
          <w:tcPr>
            <w:tcW w:w="116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(12)%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907,213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1,008,986</w:t>
            </w:r>
          </w:p>
        </w:tc>
        <w:tc>
          <w:tcPr>
            <w:tcW w:w="11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(10)%</w:t>
            </w:r>
          </w:p>
        </w:tc>
      </w:tr>
      <w:tr>
        <w:trPr>
          <w:trHeight w:val="257"/>
        </w:trPr>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0" w:type="dxa"/>
            <w:vAlign w:val="bottom"/>
            <w:shd w:val="clear" w:color="auto" w:fill="CCEEFF"/>
          </w:tcPr>
          <w:p>
            <w:pPr>
              <w:spacing w:after="0"/>
              <w:rPr>
                <w:sz w:val="18"/>
                <w:szCs w:val="18"/>
                <w:color w:val="auto"/>
              </w:rPr>
            </w:pPr>
          </w:p>
        </w:tc>
        <w:tc>
          <w:tcPr>
            <w:tcW w:w="3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126,105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149,875</w:t>
            </w:r>
          </w:p>
        </w:tc>
        <w:tc>
          <w:tcPr>
            <w:tcW w:w="116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(16)%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261,329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316,919</w:t>
            </w:r>
          </w:p>
        </w:tc>
        <w:tc>
          <w:tcPr>
            <w:tcW w:w="11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(18)%</w:t>
            </w:r>
          </w:p>
        </w:tc>
      </w:tr>
      <w:tr>
        <w:trPr>
          <w:trHeight w:val="213"/>
        </w:trPr>
        <w:tc>
          <w:tcPr>
            <w:tcW w:w="20" w:type="dxa"/>
            <w:vAlign w:val="bottom"/>
          </w:tcPr>
          <w:p>
            <w:pPr>
              <w:spacing w:after="0"/>
              <w:rPr>
                <w:sz w:val="18"/>
                <w:szCs w:val="18"/>
                <w:color w:val="auto"/>
              </w:rPr>
            </w:pPr>
          </w:p>
        </w:tc>
        <w:tc>
          <w:tcPr>
            <w:tcW w:w="37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159,632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156,807</w:t>
            </w:r>
          </w:p>
        </w:tc>
        <w:tc>
          <w:tcPr>
            <w:tcW w:w="116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288,037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292,911</w:t>
            </w:r>
          </w:p>
        </w:tc>
        <w:tc>
          <w:tcPr>
            <w:tcW w:w="11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(2)%</w:t>
            </w:r>
          </w:p>
        </w:tc>
      </w:tr>
      <w:tr>
        <w:trPr>
          <w:trHeight w:val="219"/>
        </w:trPr>
        <w:tc>
          <w:tcPr>
            <w:tcW w:w="20" w:type="dxa"/>
            <w:vAlign w:val="bottom"/>
            <w:shd w:val="clear" w:color="auto" w:fill="CCEEFF"/>
          </w:tcPr>
          <w:p>
            <w:pPr>
              <w:spacing w:after="0"/>
              <w:rPr>
                <w:sz w:val="19"/>
                <w:szCs w:val="19"/>
                <w:color w:val="auto"/>
              </w:rPr>
            </w:pPr>
          </w:p>
        </w:tc>
        <w:tc>
          <w:tcPr>
            <w:tcW w:w="3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 (loss)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(33,527)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(6,932)</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NM</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(26,708)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24,008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NM</w:t>
            </w:r>
          </w:p>
        </w:tc>
      </w:tr>
      <w:tr>
        <w:trPr>
          <w:trHeight w:val="213"/>
        </w:trPr>
        <w:tc>
          <w:tcPr>
            <w:tcW w:w="20" w:type="dxa"/>
            <w:vAlign w:val="bottom"/>
          </w:tcPr>
          <w:p>
            <w:pPr>
              <w:spacing w:after="0"/>
              <w:rPr>
                <w:sz w:val="18"/>
                <w:szCs w:val="18"/>
                <w:color w:val="auto"/>
              </w:rPr>
            </w:pPr>
          </w:p>
        </w:tc>
        <w:tc>
          <w:tcPr>
            <w:tcW w:w="37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28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(25,729)</w:t>
            </w:r>
          </w:p>
        </w:tc>
        <w:tc>
          <w:tcPr>
            <w:tcW w:w="116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(90)%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(4,761)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(38,428)</w:t>
            </w:r>
          </w:p>
        </w:tc>
        <w:tc>
          <w:tcPr>
            <w:tcW w:w="11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(88)%</w:t>
            </w:r>
          </w:p>
        </w:tc>
      </w:tr>
      <w:tr>
        <w:trPr>
          <w:trHeight w:val="219"/>
        </w:trPr>
        <w:tc>
          <w:tcPr>
            <w:tcW w:w="20" w:type="dxa"/>
            <w:vAlign w:val="bottom"/>
            <w:shd w:val="clear" w:color="auto" w:fill="CCEEFF"/>
          </w:tcPr>
          <w:p>
            <w:pPr>
              <w:spacing w:after="0"/>
              <w:rPr>
                <w:sz w:val="19"/>
                <w:szCs w:val="19"/>
                <w:color w:val="auto"/>
              </w:rPr>
            </w:pPr>
          </w:p>
        </w:tc>
        <w:tc>
          <w:tcPr>
            <w:tcW w:w="3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benefit (provision)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NM</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(4,500)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(4,445)</w:t>
            </w:r>
          </w:p>
        </w:tc>
        <w:tc>
          <w:tcPr>
            <w:tcW w:w="11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3"/>
              </w:rPr>
              <w:t>1%</w:t>
            </w:r>
          </w:p>
        </w:tc>
      </w:tr>
      <w:tr>
        <w:trPr>
          <w:trHeight w:val="213"/>
        </w:trPr>
        <w:tc>
          <w:tcPr>
            <w:tcW w:w="20" w:type="dxa"/>
            <w:vAlign w:val="bottom"/>
          </w:tcPr>
          <w:p>
            <w:pPr>
              <w:spacing w:after="0"/>
              <w:rPr>
                <w:sz w:val="18"/>
                <w:szCs w:val="18"/>
                <w:color w:val="auto"/>
              </w:rPr>
            </w:pPr>
          </w:p>
        </w:tc>
        <w:tc>
          <w:tcPr>
            <w:tcW w:w="37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Net loss attributable to Itron, Inc.</w:t>
            </w:r>
          </w:p>
        </w:tc>
        <w:tc>
          <w:tcPr>
            <w:tcW w:w="28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(36,967)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(33,123)</w:t>
            </w:r>
          </w:p>
        </w:tc>
        <w:tc>
          <w:tcPr>
            <w:tcW w:w="116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(36,061)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(20,520)</w:t>
            </w:r>
          </w:p>
        </w:tc>
        <w:tc>
          <w:tcPr>
            <w:tcW w:w="11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5"/>
              </w:rPr>
              <w:t>76%</w:t>
            </w:r>
          </w:p>
        </w:tc>
      </w:tr>
      <w:tr>
        <w:trPr>
          <w:trHeight w:val="259"/>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175"/>
        </w:trPr>
        <w:tc>
          <w:tcPr>
            <w:tcW w:w="20" w:type="dxa"/>
            <w:vAlign w:val="bottom"/>
          </w:tcPr>
          <w:p>
            <w:pPr>
              <w:spacing w:after="0"/>
              <w:rPr>
                <w:sz w:val="15"/>
                <w:szCs w:val="15"/>
                <w:color w:val="auto"/>
              </w:rPr>
            </w:pPr>
          </w:p>
        </w:tc>
        <w:tc>
          <w:tcPr>
            <w:tcW w:w="3760" w:type="dxa"/>
            <w:vAlign w:val="bottom"/>
            <w:gridSpan w:val="5"/>
          </w:tcPr>
          <w:p>
            <w:pPr>
              <w:spacing w:after="0" w:line="176" w:lineRule="exact"/>
              <w:rPr>
                <w:sz w:val="20"/>
                <w:szCs w:val="20"/>
                <w:color w:val="auto"/>
              </w:rPr>
            </w:pPr>
            <w:r>
              <w:rPr>
                <w:rFonts w:ascii="Times New Roman" w:cs="Times New Roman" w:eastAsia="Times New Roman" w:hAnsi="Times New Roman"/>
                <w:sz w:val="15"/>
                <w:szCs w:val="15"/>
                <w:b w:val="1"/>
                <w:bCs w:val="1"/>
                <w:color w:val="auto"/>
              </w:rPr>
              <w:t>Non-GAAP</w:t>
            </w:r>
            <w:r>
              <w:rPr>
                <w:rFonts w:ascii="Times New Roman" w:cs="Times New Roman" w:eastAsia="Times New Roman" w:hAnsi="Times New Roman"/>
                <w:sz w:val="20"/>
                <w:szCs w:val="20"/>
                <w:b w:val="1"/>
                <w:bCs w:val="1"/>
                <w:color w:val="auto"/>
                <w:vertAlign w:val="superscript"/>
              </w:rPr>
              <w:t>(1)</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operating expenses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117,068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123,016</w:t>
            </w:r>
          </w:p>
        </w:tc>
        <w:tc>
          <w:tcPr>
            <w:tcW w:w="116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243,003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251,112</w:t>
            </w:r>
          </w:p>
        </w:tc>
        <w:tc>
          <w:tcPr>
            <w:tcW w:w="11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(3)%</w:t>
            </w:r>
          </w:p>
        </w:tc>
      </w:tr>
      <w:tr>
        <w:trPr>
          <w:trHeight w:val="213"/>
        </w:trPr>
        <w:tc>
          <w:tcPr>
            <w:tcW w:w="20" w:type="dxa"/>
            <w:vAlign w:val="bottom"/>
          </w:tcPr>
          <w:p>
            <w:pPr>
              <w:spacing w:after="0"/>
              <w:rPr>
                <w:sz w:val="18"/>
                <w:szCs w:val="18"/>
                <w:color w:val="auto"/>
              </w:rPr>
            </w:pPr>
          </w:p>
        </w:tc>
        <w:tc>
          <w:tcPr>
            <w:tcW w:w="37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Non-GAAP operating income</w:t>
            </w:r>
          </w:p>
        </w:tc>
        <w:tc>
          <w:tcPr>
            <w:tcW w:w="2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9,037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26,859</w:t>
            </w:r>
          </w:p>
        </w:tc>
        <w:tc>
          <w:tcPr>
            <w:tcW w:w="116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(66)%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18,326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65,807</w:t>
            </w:r>
          </w:p>
        </w:tc>
        <w:tc>
          <w:tcPr>
            <w:tcW w:w="11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(72)%</w:t>
            </w:r>
          </w:p>
        </w:tc>
      </w:tr>
      <w:tr>
        <w:trPr>
          <w:trHeight w:val="219"/>
        </w:trPr>
        <w:tc>
          <w:tcPr>
            <w:tcW w:w="20" w:type="dxa"/>
            <w:vAlign w:val="bottom"/>
            <w:shd w:val="clear" w:color="auto" w:fill="CCEEFF"/>
          </w:tcPr>
          <w:p>
            <w:pPr>
              <w:spacing w:after="0"/>
              <w:rPr>
                <w:sz w:val="19"/>
                <w:szCs w:val="19"/>
                <w:color w:val="auto"/>
              </w:rPr>
            </w:pPr>
          </w:p>
        </w:tc>
        <w:tc>
          <w:tcPr>
            <w:tcW w:w="3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net income attributable to Itron, Inc.</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12,644</w:t>
            </w:r>
          </w:p>
        </w:tc>
        <w:tc>
          <w:tcPr>
            <w:tcW w:w="116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8,304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34,591</w:t>
            </w:r>
          </w:p>
        </w:tc>
        <w:tc>
          <w:tcPr>
            <w:tcW w:w="11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(76)%</w:t>
            </w:r>
          </w:p>
        </w:tc>
      </w:tr>
      <w:tr>
        <w:trPr>
          <w:trHeight w:val="213"/>
        </w:trPr>
        <w:tc>
          <w:tcPr>
            <w:tcW w:w="20" w:type="dxa"/>
            <w:vAlign w:val="bottom"/>
          </w:tcPr>
          <w:p>
            <w:pPr>
              <w:spacing w:after="0"/>
              <w:rPr>
                <w:sz w:val="18"/>
                <w:szCs w:val="18"/>
                <w:color w:val="auto"/>
              </w:rPr>
            </w:pPr>
          </w:p>
        </w:tc>
        <w:tc>
          <w:tcPr>
            <w:tcW w:w="37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2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17,478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36,136</w:t>
            </w:r>
          </w:p>
        </w:tc>
        <w:tc>
          <w:tcPr>
            <w:tcW w:w="116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(52)%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36,372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85,859</w:t>
            </w:r>
          </w:p>
        </w:tc>
        <w:tc>
          <w:tcPr>
            <w:tcW w:w="11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(58)%</w:t>
            </w:r>
          </w:p>
        </w:tc>
      </w:tr>
      <w:tr>
        <w:trPr>
          <w:trHeight w:val="259"/>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176"/>
        </w:trPr>
        <w:tc>
          <w:tcPr>
            <w:tcW w:w="20" w:type="dxa"/>
            <w:vAlign w:val="bottom"/>
          </w:tcPr>
          <w:p>
            <w:pPr>
              <w:spacing w:after="0"/>
              <w:rPr>
                <w:sz w:val="15"/>
                <w:szCs w:val="15"/>
                <w:color w:val="auto"/>
              </w:rPr>
            </w:pPr>
          </w:p>
        </w:tc>
        <w:tc>
          <w:tcPr>
            <w:tcW w:w="376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GAAP Margins and Earnings Per Share</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76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Product gross margin</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28.3 %</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29.5 %</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76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Service gross margin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42.8 %</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42.2 %</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76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Total gross margin</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30.6 %</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31.4 %</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9"/>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13"/>
        </w:trPr>
        <w:tc>
          <w:tcPr>
            <w:tcW w:w="20" w:type="dxa"/>
            <w:vAlign w:val="bottom"/>
          </w:tcPr>
          <w:p>
            <w:pPr>
              <w:spacing w:after="0"/>
              <w:rPr>
                <w:sz w:val="18"/>
                <w:szCs w:val="18"/>
                <w:color w:val="auto"/>
              </w:rPr>
            </w:pPr>
          </w:p>
        </w:tc>
        <w:tc>
          <w:tcPr>
            <w:tcW w:w="37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Operating margin</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per common share - Basic</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(0.73)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(0.47)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7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Net loss per common share - Diluted</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(0.82)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(0.73)</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(0.80)</w:t>
            </w:r>
          </w:p>
        </w:tc>
        <w:tc>
          <w:tcPr>
            <w:tcW w:w="120" w:type="dxa"/>
            <w:vAlign w:val="bottom"/>
          </w:tcPr>
          <w:p>
            <w:pPr>
              <w:spacing w:after="0"/>
              <w:rPr>
                <w:sz w:val="18"/>
                <w:szCs w:val="18"/>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(0.47)</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73"/>
        </w:trPr>
        <w:tc>
          <w:tcPr>
            <w:tcW w:w="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175"/>
        </w:trPr>
        <w:tc>
          <w:tcPr>
            <w:tcW w:w="20" w:type="dxa"/>
            <w:vAlign w:val="bottom"/>
          </w:tcPr>
          <w:p>
            <w:pPr>
              <w:spacing w:after="0"/>
              <w:rPr>
                <w:sz w:val="15"/>
                <w:szCs w:val="15"/>
                <w:color w:val="auto"/>
              </w:rPr>
            </w:pPr>
          </w:p>
        </w:tc>
        <w:tc>
          <w:tcPr>
            <w:tcW w:w="3760" w:type="dxa"/>
            <w:vAlign w:val="bottom"/>
            <w:gridSpan w:val="5"/>
          </w:tcPr>
          <w:p>
            <w:pPr>
              <w:spacing w:after="0" w:line="176" w:lineRule="exact"/>
              <w:rPr>
                <w:sz w:val="20"/>
                <w:szCs w:val="20"/>
                <w:color w:val="auto"/>
              </w:rPr>
            </w:pPr>
            <w:r>
              <w:rPr>
                <w:rFonts w:ascii="Times New Roman" w:cs="Times New Roman" w:eastAsia="Times New Roman" w:hAnsi="Times New Roman"/>
                <w:sz w:val="15"/>
                <w:szCs w:val="15"/>
                <w:b w:val="1"/>
                <w:bCs w:val="1"/>
                <w:color w:val="auto"/>
              </w:rPr>
              <w:t>Non-GAAP Earnings Per Share</w:t>
            </w:r>
            <w:r>
              <w:rPr>
                <w:rFonts w:ascii="Times New Roman" w:cs="Times New Roman" w:eastAsia="Times New Roman" w:hAnsi="Times New Roman"/>
                <w:sz w:val="20"/>
                <w:szCs w:val="20"/>
                <w:b w:val="1"/>
                <w:bCs w:val="1"/>
                <w:color w:val="auto"/>
                <w:vertAlign w:val="superscript"/>
              </w:rPr>
              <w:t>(1)</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diluted EPS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0.28</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0.79</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bl>
    <w:p>
      <w:pPr>
        <w:spacing w:after="0" w:line="81" w:lineRule="exact"/>
        <w:rPr>
          <w:sz w:val="20"/>
          <w:szCs w:val="20"/>
          <w:color w:val="auto"/>
        </w:rPr>
      </w:pPr>
    </w:p>
    <w:p>
      <w:pPr>
        <w:ind w:left="340" w:right="20" w:hanging="332"/>
        <w:spacing w:after="0" w:line="225" w:lineRule="auto"/>
        <w:tabs>
          <w:tab w:leader="none" w:pos="328"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These measures exclude certain expenses that we do not believe are indicative of our core operating results. See pages 46-48 for information about these non-GAAP measures and reconciliations to the most comparable GAAP measures.</w:t>
      </w:r>
    </w:p>
    <w:p>
      <w:pPr>
        <w:spacing w:after="0" w:line="2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Definition of an Endpoint Under Management</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An "endpoint under management" is a unique endpoint, or data from that endpoint, which Itron manages via our networked platform or a third party's platform that is connected to one or multiple types of endpoints. Itron’s management of an endpoint occurs when on behalf of our client, we manage one or more of the physical endpoints, operating system, data, application, data analytics, and/or outcome deriving from this unique endpoint. Itron has the ability to monitor and/or manage endpoints or the data from the endpoints via NaaS, Software-as-a-Service (SaaS), and/or a licensed offering at a remote location designated by our client. Our offerings typically, but not exclusively, provide an Itron product or Itron certified partner product to our clients that has the capability of one-way communication or two-way communication of data that may include remote product configuration and upgradability. Examples of these offerings include our Temetra, OpenWay®, OpenWay® Riva and Gen X.</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metric primarily includes Itron or third-party endpoints deployed within the electricity, water, and gas utility industries, as well as within cities and municipalities around the globe. Endpoints under management also include smart communication modules and network interface cards (NICs) within Itron’s platforms. At times, these NICs are communicating modules that were sold separately from an Itron product directly to our customers or to third party manufacturers for use in endpoints such as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electric, water, and gas meters; streetlights and other types of IIoT sensors and actuators; sensors and other capabilities that the end customer would like Itron to connect and manage on their behalf.</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"endpoint under management" metric only accounts for the specific, unique endpoint itself, though that endpoint may have multiple applications, services, outcomes, and higher margin recurring offerings associated with it. This metric does not reflect the multi-application value that can be derived from the individual endpoint itself. Additionally, this metric excludes those endpoints that are non-communicating, non-Itron system hardware component sales or licensed applications that Itron does not manage the unit or the data from that unit directly.</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the one-time sale of the platform and endpoints are primarily delivered via our Networked Solutions segment, our enhanced solutions, on-going monitoring, maintenance, software, analytics, and distributed intelligent applications are predominantly recognized in our Outcomes segment. We would anticipate the opportunity to increase our penetration of Outcomes applications, software, and managed applications will increase as our endpoints under management increases. Management believes using the endpoints under management metric enhances insight to the strategic and operational direction of our Networked Solutions and Outcomes segments to serve clients for years after their one-time installation of an endpoint.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endpoints under management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spacing w:after="0"/>
              <w:rPr>
                <w:sz w:val="18"/>
                <w:szCs w:val="18"/>
                <w:color w:val="auto"/>
              </w:rPr>
            </w:pPr>
          </w:p>
        </w:tc>
        <w:tc>
          <w:tcPr>
            <w:tcW w:w="2980" w:type="dxa"/>
            <w:vAlign w:val="bottom"/>
            <w:tcBorders>
              <w:bottom w:val="single" w:sz="8" w:color="auto"/>
            </w:tcBorders>
            <w:gridSpan w:val="3"/>
          </w:tcPr>
          <w:p>
            <w:pPr>
              <w:ind w:left="1760"/>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1500" w:type="dxa"/>
            <w:vAlign w:val="bottom"/>
            <w:tcBorders>
              <w:bottom w:val="single" w:sz="8" w:color="auto"/>
            </w:tcBorders>
          </w:tcPr>
          <w:p>
            <w:pPr>
              <w:spacing w:after="0"/>
              <w:rPr>
                <w:sz w:val="18"/>
                <w:szCs w:val="18"/>
                <w:color w:val="auto"/>
              </w:rPr>
            </w:pPr>
          </w:p>
        </w:tc>
      </w:tr>
      <w:tr>
        <w:trPr>
          <w:trHeight w:val="214"/>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Units in thousands</w:t>
            </w:r>
          </w:p>
        </w:tc>
        <w:tc>
          <w:tcPr>
            <w:tcW w:w="218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Endpoints under management</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85,390</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78,208</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and Gross Margin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actual results of and effects of changes in foreign currency exchange rates on revenues and gross profit were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4"/>
            <w:vMerge w:val="restart"/>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20" w:type="dxa"/>
            <w:vAlign w:val="bottom"/>
          </w:tcPr>
          <w:p>
            <w:pPr>
              <w:spacing w:after="0"/>
              <w:rPr>
                <w:sz w:val="16"/>
                <w:szCs w:val="16"/>
                <w:color w:val="auto"/>
              </w:rPr>
            </w:pPr>
          </w:p>
        </w:tc>
        <w:tc>
          <w:tcPr>
            <w:tcW w:w="16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98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Pr>
          <w:p>
            <w:pPr>
              <w:spacing w:after="0"/>
              <w:rPr>
                <w:sz w:val="2"/>
                <w:szCs w:val="2"/>
                <w:color w:val="auto"/>
              </w:rPr>
            </w:pPr>
          </w:p>
        </w:tc>
        <w:tc>
          <w:tcPr>
            <w:tcW w:w="124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3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380" w:type="dxa"/>
            <w:vAlign w:val="bottom"/>
            <w:tcBorders>
              <w:top w:val="single" w:sz="8" w:color="auto"/>
              <w:bottom w:val="single" w:sz="8" w:color="CCEEFF"/>
            </w:tcBorders>
          </w:tcPr>
          <w:p>
            <w:pPr>
              <w:spacing w:after="0"/>
              <w:rPr>
                <w:sz w:val="18"/>
                <w:szCs w:val="18"/>
                <w:color w:val="auto"/>
              </w:rPr>
            </w:pPr>
          </w:p>
        </w:tc>
        <w:tc>
          <w:tcPr>
            <w:tcW w:w="124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431,882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489,412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(57,530)</w:t>
            </w:r>
          </w:p>
        </w:tc>
        <w:tc>
          <w:tcPr>
            <w:tcW w:w="0" w:type="dxa"/>
            <w:vAlign w:val="bottom"/>
          </w:tcPr>
          <w:p>
            <w:pPr>
              <w:spacing w:after="0"/>
              <w:rPr>
                <w:sz w:val="1"/>
                <w:szCs w:val="1"/>
                <w:color w:val="auto"/>
              </w:rPr>
            </w:pPr>
          </w:p>
        </w:tc>
      </w:tr>
      <w:tr>
        <w:trPr>
          <w:trHeight w:val="210"/>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126,105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149,875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(23,770)</w:t>
            </w:r>
          </w:p>
        </w:tc>
        <w:tc>
          <w:tcPr>
            <w:tcW w:w="0" w:type="dxa"/>
            <w:vAlign w:val="bottom"/>
          </w:tcPr>
          <w:p>
            <w:pPr>
              <w:spacing w:after="0"/>
              <w:rPr>
                <w:sz w:val="1"/>
                <w:szCs w:val="1"/>
                <w:color w:val="auto"/>
              </w:rPr>
            </w:pPr>
          </w:p>
        </w:tc>
      </w:tr>
      <w:tr>
        <w:trPr>
          <w:trHeight w:val="789"/>
        </w:trPr>
        <w:tc>
          <w:tcPr>
            <w:tcW w:w="3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80" w:type="dxa"/>
            <w:vAlign w:val="bottom"/>
            <w:gridSpan w:val="4"/>
            <w:vMerge w:val="restart"/>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20" w:type="dxa"/>
            <w:vAlign w:val="bottom"/>
          </w:tcPr>
          <w:p>
            <w:pPr>
              <w:spacing w:after="0"/>
              <w:rPr>
                <w:sz w:val="24"/>
                <w:szCs w:val="24"/>
                <w:color w:val="auto"/>
              </w:rPr>
            </w:pPr>
          </w:p>
        </w:tc>
        <w:tc>
          <w:tcPr>
            <w:tcW w:w="16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98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Pr>
          <w:p>
            <w:pPr>
              <w:spacing w:after="0"/>
              <w:rPr>
                <w:sz w:val="2"/>
                <w:szCs w:val="2"/>
                <w:color w:val="auto"/>
              </w:rPr>
            </w:pPr>
          </w:p>
        </w:tc>
        <w:tc>
          <w:tcPr>
            <w:tcW w:w="124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3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380" w:type="dxa"/>
            <w:vAlign w:val="bottom"/>
            <w:tcBorders>
              <w:top w:val="single" w:sz="8" w:color="auto"/>
              <w:bottom w:val="single" w:sz="8" w:color="CCEEFF"/>
            </w:tcBorders>
          </w:tcPr>
          <w:p>
            <w:pPr>
              <w:spacing w:after="0"/>
              <w:rPr>
                <w:sz w:val="18"/>
                <w:szCs w:val="18"/>
                <w:color w:val="auto"/>
              </w:rPr>
            </w:pPr>
          </w:p>
        </w:tc>
        <w:tc>
          <w:tcPr>
            <w:tcW w:w="124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907,213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1,008,986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(101,773)</w:t>
            </w:r>
          </w:p>
        </w:tc>
        <w:tc>
          <w:tcPr>
            <w:tcW w:w="0" w:type="dxa"/>
            <w:vAlign w:val="bottom"/>
          </w:tcPr>
          <w:p>
            <w:pPr>
              <w:spacing w:after="0"/>
              <w:rPr>
                <w:sz w:val="1"/>
                <w:szCs w:val="1"/>
                <w:color w:val="auto"/>
              </w:rPr>
            </w:pPr>
          </w:p>
        </w:tc>
      </w:tr>
      <w:tr>
        <w:trPr>
          <w:trHeight w:val="210"/>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261,329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316,919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(55,590)</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Three months ended June 30, 2022 vs. Three months ended June 30, 2021</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Total revenues decreased $57.5 million, or 12%, compared with the same period in 2021. We have been unfavorably impacted by global component constraints, which limited our ability to fulfill customer demand. Product revenues decreased by $51.8 million and service revenues decreased $5.7 million. Device Solutions decreased by $58.2 million; Networked Solutions increased by $4.4 million; and Outcomes decreased by $3.8 million when compared with the same period last year. Revenue decreased for Device Solutions due to the sale of certain Gas device manufacturing and business operations in Europe and North America to Dresser. Changes in exchange rates unfavorably impacted total revenues by $18.9 million, of which $14.9 million unfavorably impacted Device Solutions.</w:t>
      </w:r>
    </w:p>
    <w:p>
      <w:pPr>
        <w:spacing w:after="0" w:line="2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Six months ended June 30, 2022 vs. Six Months Ended June 30, 2021</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22222"/>
        </w:rPr>
        <w:t xml:space="preserve">Total revenues decreased $101.8 million, or 10%, compared with the same period in </w:t>
      </w:r>
      <w:r>
        <w:rPr>
          <w:rFonts w:ascii="Times New Roman" w:cs="Times New Roman" w:eastAsia="Times New Roman" w:hAnsi="Times New Roman"/>
          <w:sz w:val="18"/>
          <w:szCs w:val="18"/>
          <w:color w:val="000000"/>
        </w:rPr>
        <w:t>2021. We have been unfavorably impacted by global component</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 xml:space="preserve">constraints, which limited our ability to fulfill customer demand. Product revenues decreased by $94.8 million and service revenues decreased by $7.0 million. </w:t>
      </w:r>
      <w:r>
        <w:rPr>
          <w:rFonts w:ascii="Times New Roman" w:cs="Times New Roman" w:eastAsia="Times New Roman" w:hAnsi="Times New Roman"/>
          <w:sz w:val="18"/>
          <w:szCs w:val="18"/>
          <w:color w:val="222222"/>
        </w:rPr>
        <w:t>Device Solutions decreased by $91.4 million; Networked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22222"/>
        </w:rPr>
        <w:t xml:space="preserve">Solutions decreased by </w:t>
      </w:r>
      <w:r>
        <w:rPr>
          <w:rFonts w:ascii="Times New Roman" w:cs="Times New Roman" w:eastAsia="Times New Roman" w:hAnsi="Times New Roman"/>
          <w:sz w:val="18"/>
          <w:szCs w:val="18"/>
          <w:color w:val="000000"/>
        </w:rPr>
        <w:t>$5.1 million</w:t>
      </w:r>
      <w:r>
        <w:rPr>
          <w:rFonts w:ascii="Times New Roman" w:cs="Times New Roman" w:eastAsia="Times New Roman" w:hAnsi="Times New Roman"/>
          <w:sz w:val="18"/>
          <w:szCs w:val="18"/>
          <w:color w:val="222222"/>
        </w:rPr>
        <w:t xml:space="preserve">; and Outcomes decreased by $5.3 million when compared with the same period last year. </w:t>
      </w:r>
      <w:r>
        <w:rPr>
          <w:rFonts w:ascii="Times New Roman" w:cs="Times New Roman" w:eastAsia="Times New Roman" w:hAnsi="Times New Roman"/>
          <w:sz w:val="18"/>
          <w:szCs w:val="18"/>
          <w:color w:val="000000"/>
        </w:rPr>
        <w:t>Revenue decreased for</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 xml:space="preserve">Device Solutions due to the sale of certain Gas device manufacturing and business operations in Europe and North America to Dresser. </w:t>
      </w:r>
      <w:r>
        <w:rPr>
          <w:rFonts w:ascii="Times New Roman" w:cs="Times New Roman" w:eastAsia="Times New Roman" w:hAnsi="Times New Roman"/>
          <w:sz w:val="18"/>
          <w:szCs w:val="18"/>
          <w:color w:val="222222"/>
        </w:rPr>
        <w:t>C</w:t>
      </w:r>
      <w:r>
        <w:rPr>
          <w:rFonts w:ascii="Times New Roman" w:cs="Times New Roman" w:eastAsia="Times New Roman" w:hAnsi="Times New Roman"/>
          <w:sz w:val="18"/>
          <w:szCs w:val="18"/>
          <w:color w:val="000000"/>
        </w:rPr>
        <w:t xml:space="preserve">hanges in exchange rates unfavorably impacted total revenues by </w:t>
      </w:r>
      <w:r>
        <w:rPr>
          <w:rFonts w:ascii="Times New Roman" w:cs="Times New Roman" w:eastAsia="Times New Roman" w:hAnsi="Times New Roman"/>
          <w:sz w:val="18"/>
          <w:szCs w:val="18"/>
          <w:color w:val="222222"/>
        </w:rPr>
        <w:t>$30.7 million</w:t>
      </w:r>
      <w:r>
        <w:rPr>
          <w:rFonts w:ascii="Times New Roman" w:cs="Times New Roman" w:eastAsia="Times New Roman" w:hAnsi="Times New Roman"/>
          <w:sz w:val="18"/>
          <w:szCs w:val="18"/>
          <w:color w:val="000000"/>
        </w:rPr>
        <w:t xml:space="preserve">, of which </w:t>
      </w:r>
      <w:r>
        <w:rPr>
          <w:rFonts w:ascii="Times New Roman" w:cs="Times New Roman" w:eastAsia="Times New Roman" w:hAnsi="Times New Roman"/>
          <w:sz w:val="18"/>
          <w:szCs w:val="18"/>
          <w:color w:val="222222"/>
        </w:rPr>
        <w:t>$24.4 million</w:t>
      </w:r>
      <w:r>
        <w:rPr>
          <w:rFonts w:ascii="Times New Roman" w:cs="Times New Roman" w:eastAsia="Times New Roman" w:hAnsi="Times New Roman"/>
          <w:sz w:val="18"/>
          <w:szCs w:val="18"/>
          <w:color w:val="000000"/>
        </w:rPr>
        <w:t xml:space="preserve"> unfavorably impacted Device Solutions.</w:t>
      </w: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Gross Margin - Three months ended June 30, 2022 vs. Three months ended June 30, 2021</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22222"/>
        </w:rPr>
        <w:t xml:space="preserve">Gross margin was 29.2%, compared with 30.6% in </w:t>
      </w:r>
      <w:r>
        <w:rPr>
          <w:rFonts w:ascii="Times New Roman" w:cs="Times New Roman" w:eastAsia="Times New Roman" w:hAnsi="Times New Roman"/>
          <w:sz w:val="18"/>
          <w:szCs w:val="18"/>
          <w:color w:val="000000"/>
        </w:rPr>
        <w:t>2021</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We were unfavorably impacted by input cost increases and manufacturing inefficiencies related to</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 xml:space="preserve">component shortages in 2022 compared with 2021. </w:t>
      </w:r>
      <w:r>
        <w:rPr>
          <w:rFonts w:ascii="Times New Roman" w:cs="Times New Roman" w:eastAsia="Times New Roman" w:hAnsi="Times New Roman"/>
          <w:sz w:val="18"/>
          <w:szCs w:val="18"/>
          <w:color w:val="222222"/>
        </w:rPr>
        <w:t>Product sales gross margin decreased to 26.3%, compared with 28.3% in</w:t>
      </w:r>
      <w:r>
        <w:rPr>
          <w:rFonts w:ascii="Times New Roman" w:cs="Times New Roman" w:eastAsia="Times New Roman" w:hAnsi="Times New Roman"/>
          <w:sz w:val="18"/>
          <w:szCs w:val="18"/>
          <w:color w:val="000000"/>
        </w:rPr>
        <w:t xml:space="preserve"> 2021</w:t>
      </w:r>
      <w:r>
        <w:rPr>
          <w:rFonts w:ascii="Times New Roman" w:cs="Times New Roman" w:eastAsia="Times New Roman" w:hAnsi="Times New Roman"/>
          <w:sz w:val="18"/>
          <w:szCs w:val="18"/>
          <w:color w:val="222222"/>
        </w:rPr>
        <w:t>. Gross margin on service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22222"/>
        </w:rPr>
        <w:t xml:space="preserve">revenues increased to 43.7%, compared with 42.8% in </w:t>
      </w:r>
      <w:r>
        <w:rPr>
          <w:rFonts w:ascii="Times New Roman" w:cs="Times New Roman" w:eastAsia="Times New Roman" w:hAnsi="Times New Roman"/>
          <w:sz w:val="18"/>
          <w:szCs w:val="18"/>
          <w:color w:val="000000"/>
        </w:rPr>
        <w:t>2021</w:t>
      </w:r>
      <w:r>
        <w:rPr>
          <w:rFonts w:ascii="Times New Roman" w:cs="Times New Roman" w:eastAsia="Times New Roman" w:hAnsi="Times New Roman"/>
          <w:sz w:val="18"/>
          <w:szCs w:val="18"/>
          <w:color w:val="222222"/>
        </w:rPr>
        <w:t>.</w:t>
      </w:r>
    </w:p>
    <w:p>
      <w:pPr>
        <w:spacing w:after="0" w:line="2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Gross Margin - Six months ended June 30, 2022 vs. Six Months Ended June 30, 2021</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22222"/>
        </w:rPr>
        <w:t xml:space="preserve">Gross margin was 28.8%, compared with 31.4% in </w:t>
      </w:r>
      <w:r>
        <w:rPr>
          <w:rFonts w:ascii="Times New Roman" w:cs="Times New Roman" w:eastAsia="Times New Roman" w:hAnsi="Times New Roman"/>
          <w:sz w:val="18"/>
          <w:szCs w:val="18"/>
          <w:color w:val="000000"/>
        </w:rPr>
        <w:t>2021</w:t>
      </w:r>
      <w:r>
        <w:rPr>
          <w:rFonts w:ascii="Times New Roman" w:cs="Times New Roman" w:eastAsia="Times New Roman" w:hAnsi="Times New Roman"/>
          <w:sz w:val="18"/>
          <w:szCs w:val="18"/>
          <w:color w:val="222222"/>
        </w:rPr>
        <w:t xml:space="preserve">. We were unfavorably impacted by higher input costs and manufacturing inefficiencies in 2022 compared with </w:t>
      </w:r>
      <w:r>
        <w:rPr>
          <w:rFonts w:ascii="Times New Roman" w:cs="Times New Roman" w:eastAsia="Times New Roman" w:hAnsi="Times New Roman"/>
          <w:sz w:val="18"/>
          <w:szCs w:val="18"/>
          <w:color w:val="000000"/>
        </w:rPr>
        <w:t>2021.</w:t>
      </w:r>
      <w:r>
        <w:rPr>
          <w:rFonts w:ascii="Times New Roman" w:cs="Times New Roman" w:eastAsia="Times New Roman" w:hAnsi="Times New Roman"/>
          <w:sz w:val="18"/>
          <w:szCs w:val="18"/>
          <w:color w:val="222222"/>
        </w:rPr>
        <w:t xml:space="preserve"> Product sales gross margin decreased to 26.3%, compared with 29.5% in </w:t>
      </w:r>
      <w:r>
        <w:rPr>
          <w:rFonts w:ascii="Times New Roman" w:cs="Times New Roman" w:eastAsia="Times New Roman" w:hAnsi="Times New Roman"/>
          <w:sz w:val="18"/>
          <w:szCs w:val="18"/>
          <w:color w:val="000000"/>
        </w:rPr>
        <w:t>2021,</w:t>
      </w:r>
      <w:r>
        <w:rPr>
          <w:rFonts w:ascii="Times New Roman" w:cs="Times New Roman" w:eastAsia="Times New Roman" w:hAnsi="Times New Roman"/>
          <w:sz w:val="18"/>
          <w:szCs w:val="18"/>
          <w:color w:val="222222"/>
        </w:rPr>
        <w:t xml:space="preserve"> and gross margin on service revenues decreased to 41.8%, compared with 42.2% in </w:t>
      </w:r>
      <w:r>
        <w:rPr>
          <w:rFonts w:ascii="Times New Roman" w:cs="Times New Roman" w:eastAsia="Times New Roman" w:hAnsi="Times New Roman"/>
          <w:sz w:val="18"/>
          <w:szCs w:val="18"/>
          <w:color w:val="000000"/>
        </w:rPr>
        <w:t>2021</w:t>
      </w:r>
      <w:r>
        <w:rPr>
          <w:rFonts w:ascii="Times New Roman" w:cs="Times New Roman" w:eastAsia="Times New Roman" w:hAnsi="Times New Roman"/>
          <w:sz w:val="18"/>
          <w:szCs w:val="18"/>
          <w:color w:val="222222"/>
        </w:rPr>
        <w: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Operating Segment Results section below for further detail on total company revenues and gross margin.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actual results of and effects of changes in foreign currency exchange rates on operating expenses were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60" w:type="dxa"/>
            <w:vAlign w:val="bottom"/>
          </w:tcPr>
          <w:p>
            <w:pPr>
              <w:spacing w:after="0"/>
              <w:rPr>
                <w:sz w:val="16"/>
                <w:szCs w:val="16"/>
                <w:color w:val="auto"/>
              </w:rPr>
            </w:pPr>
          </w:p>
        </w:tc>
        <w:tc>
          <w:tcPr>
            <w:tcW w:w="27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3060" w:type="dxa"/>
            <w:vAlign w:val="bottom"/>
          </w:tcPr>
          <w:p>
            <w:pPr>
              <w:spacing w:after="0"/>
              <w:rPr>
                <w:sz w:val="10"/>
                <w:szCs w:val="10"/>
                <w:color w:val="auto"/>
              </w:rPr>
            </w:pPr>
          </w:p>
        </w:tc>
        <w:tc>
          <w:tcPr>
            <w:tcW w:w="2740" w:type="dxa"/>
            <w:vAlign w:val="bottom"/>
            <w:tcBorders>
              <w:bottom w:val="single" w:sz="8" w:color="auto"/>
            </w:tcBorders>
            <w:gridSpan w:val="4"/>
            <w:vMerge w:val="continue"/>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6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100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Sales, general and administrative</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72,877</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w:t>
            </w:r>
          </w:p>
        </w:tc>
        <w:tc>
          <w:tcPr>
            <w:tcW w:w="0" w:type="dxa"/>
            <w:vAlign w:val="bottom"/>
          </w:tcPr>
          <w:p>
            <w:pPr>
              <w:spacing w:after="0"/>
              <w:rPr>
                <w:sz w:val="1"/>
                <w:szCs w:val="1"/>
                <w:color w:val="auto"/>
              </w:rPr>
            </w:pPr>
          </w:p>
        </w:tc>
      </w:tr>
      <w:tr>
        <w:trPr>
          <w:trHeight w:val="213"/>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45,055</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(3,708)</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(2,512)</w:t>
            </w:r>
          </w:p>
        </w:tc>
        <w:tc>
          <w:tcPr>
            <w:tcW w:w="0" w:type="dxa"/>
            <w:vAlign w:val="bottom"/>
          </w:tcPr>
          <w:p>
            <w:pPr>
              <w:spacing w:after="0"/>
              <w:rPr>
                <w:sz w:val="1"/>
                <w:szCs w:val="1"/>
                <w:color w:val="auto"/>
              </w:rPr>
            </w:pPr>
          </w:p>
        </w:tc>
      </w:tr>
      <w:tr>
        <w:trPr>
          <w:trHeight w:val="213"/>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Restructuring</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(3,459)</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(3,651)</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Loss on sale of business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(24,517)</w:t>
            </w:r>
          </w:p>
        </w:tc>
        <w:tc>
          <w:tcPr>
            <w:tcW w:w="0" w:type="dxa"/>
            <w:vAlign w:val="bottom"/>
          </w:tcPr>
          <w:p>
            <w:pPr>
              <w:spacing w:after="0"/>
              <w:rPr>
                <w:sz w:val="1"/>
                <w:szCs w:val="1"/>
                <w:color w:val="auto"/>
              </w:rPr>
            </w:pPr>
          </w:p>
        </w:tc>
      </w:tr>
      <w:tr>
        <w:trPr>
          <w:trHeight w:val="213"/>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Goodwill impairment</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38,480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38,480</w:t>
            </w:r>
          </w:p>
        </w:tc>
        <w:tc>
          <w:tcPr>
            <w:tcW w:w="0" w:type="dxa"/>
            <w:vAlign w:val="bottom"/>
          </w:tcPr>
          <w:p>
            <w:pPr>
              <w:spacing w:after="0"/>
              <w:rPr>
                <w:sz w:val="1"/>
                <w:szCs w:val="1"/>
                <w:color w:val="auto"/>
              </w:rPr>
            </w:pPr>
          </w:p>
        </w:tc>
      </w:tr>
      <w:tr>
        <w:trPr>
          <w:trHeight w:val="235"/>
        </w:trPr>
        <w:tc>
          <w:tcPr>
            <w:tcW w:w="306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00" w:type="dxa"/>
            <w:vAlign w:val="bottom"/>
            <w:tcBorders>
              <w:top w:val="single" w:sz="8" w:color="auto"/>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2,825</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3"/>
        </w:trPr>
        <w:tc>
          <w:tcPr>
            <w:tcW w:w="3060" w:type="dxa"/>
            <w:vAlign w:val="bottom"/>
          </w:tcPr>
          <w:p>
            <w:pPr>
              <w:spacing w:after="0"/>
              <w:rPr>
                <w:sz w:val="24"/>
                <w:szCs w:val="24"/>
                <w:color w:val="auto"/>
              </w:rPr>
            </w:pPr>
          </w:p>
        </w:tc>
        <w:tc>
          <w:tcPr>
            <w:tcW w:w="2740" w:type="dxa"/>
            <w:vAlign w:val="bottom"/>
            <w:gridSpan w:val="4"/>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060" w:type="dxa"/>
            <w:vAlign w:val="bottom"/>
          </w:tcPr>
          <w:p>
            <w:pPr>
              <w:spacing w:after="0"/>
              <w:rPr>
                <w:sz w:val="10"/>
                <w:szCs w:val="10"/>
                <w:color w:val="auto"/>
              </w:rPr>
            </w:pPr>
          </w:p>
        </w:tc>
        <w:tc>
          <w:tcPr>
            <w:tcW w:w="2740" w:type="dxa"/>
            <w:vAlign w:val="bottom"/>
            <w:tcBorders>
              <w:bottom w:val="single" w:sz="8" w:color="auto"/>
            </w:tcBorders>
            <w:gridSpan w:val="4"/>
            <w:vMerge w:val="continue"/>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6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100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Sales, general and administrative</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149,278</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150,136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w:t>
            </w:r>
          </w:p>
        </w:tc>
        <w:tc>
          <w:tcPr>
            <w:tcW w:w="0" w:type="dxa"/>
            <w:vAlign w:val="bottom"/>
          </w:tcPr>
          <w:p>
            <w:pPr>
              <w:spacing w:after="0"/>
              <w:rPr>
                <w:sz w:val="1"/>
                <w:szCs w:val="1"/>
                <w:color w:val="auto"/>
              </w:rPr>
            </w:pPr>
          </w:p>
        </w:tc>
      </w:tr>
      <w:tr>
        <w:trPr>
          <w:trHeight w:val="213"/>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94,651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(5,839)</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(4,932)</w:t>
            </w:r>
          </w:p>
        </w:tc>
        <w:tc>
          <w:tcPr>
            <w:tcW w:w="0" w:type="dxa"/>
            <w:vAlign w:val="bottom"/>
          </w:tcPr>
          <w:p>
            <w:pPr>
              <w:spacing w:after="0"/>
              <w:rPr>
                <w:sz w:val="1"/>
                <w:szCs w:val="1"/>
                <w:color w:val="auto"/>
              </w:rPr>
            </w:pPr>
          </w:p>
        </w:tc>
      </w:tr>
      <w:tr>
        <w:trPr>
          <w:trHeight w:val="213"/>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Restructuring</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(9,825)</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(8,037)</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Loss on sale of business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(23,688)</w:t>
            </w:r>
          </w:p>
        </w:tc>
        <w:tc>
          <w:tcPr>
            <w:tcW w:w="0" w:type="dxa"/>
            <w:vAlign w:val="bottom"/>
          </w:tcPr>
          <w:p>
            <w:pPr>
              <w:spacing w:after="0"/>
              <w:rPr>
                <w:sz w:val="1"/>
                <w:szCs w:val="1"/>
                <w:color w:val="auto"/>
              </w:rPr>
            </w:pPr>
          </w:p>
        </w:tc>
      </w:tr>
      <w:tr>
        <w:trPr>
          <w:trHeight w:val="213"/>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Goodwill impairment</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38,480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38,480</w:t>
            </w:r>
          </w:p>
        </w:tc>
        <w:tc>
          <w:tcPr>
            <w:tcW w:w="0" w:type="dxa"/>
            <w:vAlign w:val="bottom"/>
          </w:tcPr>
          <w:p>
            <w:pPr>
              <w:spacing w:after="0"/>
              <w:rPr>
                <w:sz w:val="1"/>
                <w:szCs w:val="1"/>
                <w:color w:val="auto"/>
              </w:rPr>
            </w:pPr>
          </w:p>
        </w:tc>
      </w:tr>
      <w:tr>
        <w:trPr>
          <w:trHeight w:val="235"/>
        </w:trPr>
        <w:tc>
          <w:tcPr>
            <w:tcW w:w="306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00" w:type="dxa"/>
            <w:vAlign w:val="bottom"/>
            <w:tcBorders>
              <w:top w:val="single" w:sz="8" w:color="auto"/>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288,037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292,911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(4,874)</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expenses increased $2.8 million for the second quarter of 2022 as compared with the same period in 2021. This was primarily the result of $38.5 million in goodwill impairment, partially offset by a reduction of $3.7 million in research and development expenses, $2.5 million in amortization of intangible assets, $3.7 million in restructuring, and $24.5 million for the loss on sale of business primarily related to the Latin America divestiture.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expenses decreased $4.9 million for the six months ended June 30, 2022 as compared with the same period in 2021. This was primarily the result of a reduction of $5.8 million in research and development expenses, $4.9 million in amortization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intangible assets, $8.0 million in restructuring, and $23.7 million for the loss on sale of business primarily related to the Latin America divestiture, offset by $38.5 million in goodwill impairment in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other income (expense):</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7"/>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20"/>
                <w:szCs w:val="20"/>
                <w:color w:val="auto"/>
              </w:rPr>
            </w:pPr>
          </w:p>
        </w:tc>
        <w:tc>
          <w:tcPr>
            <w:tcW w:w="120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20"/>
                <w:szCs w:val="20"/>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 Change</w:t>
            </w: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r>
      <w:tr>
        <w:trPr>
          <w:trHeight w:val="213"/>
        </w:trPr>
        <w:tc>
          <w:tcPr>
            <w:tcW w:w="2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(19)%</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r>
      <w:tr>
        <w:trPr>
          <w:trHeight w:val="207"/>
        </w:trPr>
        <w:tc>
          <w:tcPr>
            <w:tcW w:w="2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prepaid debt fees</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(12,739)</w:t>
            </w:r>
          </w:p>
        </w:tc>
        <w:tc>
          <w:tcPr>
            <w:tcW w:w="9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(93)%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(1,720)</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(15,434)</w:t>
            </w: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(89)%</w:t>
            </w:r>
          </w:p>
        </w:tc>
      </w:tr>
      <w:tr>
        <w:trPr>
          <w:trHeight w:val="219"/>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interest expense</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w:t>
            </w:r>
          </w:p>
        </w:tc>
        <w:tc>
          <w:tcPr>
            <w:tcW w:w="9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(1,532)</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(83)%</w:t>
            </w:r>
          </w:p>
        </w:tc>
      </w:tr>
      <w:tr>
        <w:trPr>
          <w:trHeight w:val="207"/>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(14,004)</w:t>
            </w:r>
          </w:p>
        </w:tc>
        <w:tc>
          <w:tcPr>
            <w:tcW w:w="9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(88)%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(3,252)</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(24,479)</w:t>
            </w: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(87)%</w:t>
            </w:r>
          </w:p>
        </w:tc>
      </w:tr>
      <w:tr>
        <w:trPr>
          <w:trHeight w:val="21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(12,157)</w:t>
            </w:r>
          </w:p>
        </w:tc>
        <w:tc>
          <w:tcPr>
            <w:tcW w:w="9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(2,075)</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(14,923)</w:t>
            </w: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(86)%</w:t>
            </w:r>
          </w:p>
        </w:tc>
      </w:tr>
      <w:tr>
        <w:trPr>
          <w:trHeight w:val="209"/>
        </w:trPr>
        <w:tc>
          <w:tcPr>
            <w:tcW w:w="2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(2,697)</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(25,729)</w:t>
            </w:r>
          </w:p>
        </w:tc>
        <w:tc>
          <w:tcPr>
            <w:tcW w:w="9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(90)%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(4,761)</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(38,428)</w:t>
            </w:r>
          </w:p>
        </w:tc>
        <w:tc>
          <w:tcPr>
            <w:tcW w:w="100" w:type="dxa"/>
            <w:vAlign w:val="bottom"/>
            <w:tcBorders>
              <w:bottom w:val="single" w:sz="8" w:color="auto"/>
            </w:tcBorders>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(88)%</w:t>
            </w:r>
          </w:p>
        </w:tc>
      </w:tr>
      <w:tr>
        <w:trPr>
          <w:trHeight w:val="21"/>
        </w:trPr>
        <w:tc>
          <w:tcPr>
            <w:tcW w:w="2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other income (expense) for the three and six months ended June 30, 2022 was a net expense of $2.7 million and $4.8 million, compared with net expense of $25.7 million and $38.4 million in the same period in 2021.</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lower total expense for the three months ended June 30, 2022, as compared with the same period in 2021, was primarily driven by $11.1 million write-off of prepaid debt fees associated with the repayment of senior subordinated notes and $10.0 million related to the extinguishment of debt in other income (expense), net during 2021.</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lower total expense for the six months ended June 30, 2022, as compared with the same period in 2021, was primarily driven by 2021 activity: $11.1 million write-off of prepaid debt fees associated with the repayment of senior subordinated notes, $2.7 million in lower debt fee amortization, $11.7 million related to the extinguishment of debt in other income (expense), net, as well as lower interest costs of $5.4 million for bonds and $2.2 million for the term loan.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the three and six months ended June 30, 2022, our income tax expense was $0.6 million and $4.5 million, respectively, compared with income tax expense (benefit) of $(0.2) million and $4.4 million for the same period in 2021. Our tax rate for the three and six months ended June 30, 2022 of (2)% and (14)%, differed from the federal statutory rate of 21% due to the impact of valuation allowances on deferred tax assets, the forecasted mix of earnings in domestic and international jurisdictions, GILTI (Global Intangible Low-Taxed Income) and Subpart F tax, net of Section 250 deduction (largely driven by research and development capitalization), discrete tax expense related to the Dresser divestiture, a discrete tax benefit due to goodwill impairment, an expense related to stock-based compensation, tax credits, and uncertain tax positions. Our tax rate for the three and six months ended June 30, 2021 of 1% and (31)% differed from the federal statutory rate of 21% primarily due to reserves on deferred sales price receivables recognized in the second quarter related to the 2020 divestiture of the majority of our Latin American business activities. This item was recognized for tax as a discrete and resulted in no tax benefit. Other rate drivers include losses in jurisdictions for which no benefit is recognized because of valuation allowances on deferred tax assets, the forecasted mix of earnings in domestic and international jurisdictions, a benefit related to stock-based compensation, and uncertain tax positions.</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Beginning January 1, 2022, the Tax Cuts and Jobs Act of 2017 eliminates the option to deduct research and development expenditures currently and requires taxpayers to capitalize and amortize them over five or fifteen years. Although Congress is considering legislation that would defer the capitalization and amortization requirement, there is no assurance that the provision will be repealed or otherwise modified. As a result of research and development conducted outside of the U.S., we expect additional GILTI (Global Intangible Low-Taxed Income) tax, net of Section 250 deduction for 2022. The income tax provision has been prepared according to this currently enacted tax legislation, but a change in tax law with regards to capitalization of research and development expenditures would have a material beneficial impact on our annual effective tax rate.</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additional discussion related to income taxes, see Item 1: Financial Statements (Unaudited), Note 10: Income Taxes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 Results</w:t>
      </w:r>
    </w:p>
    <w:p>
      <w:pPr>
        <w:spacing w:after="0" w:line="25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For a description of our operating segments, refer to Item 1: Financial Statements (Unaudited), Note 15: Segment Information included in this Quarterly Report on Form 10-Q. The following tables and discussion highlight significant changes in trends or components of each operating segment:</w:t>
      </w:r>
    </w:p>
    <w:tbl>
      <w:tblPr>
        <w:tblLayout w:type="fixed"/>
        <w:tblInd w:w="0" w:type="dxa"/>
        <w:tblCellMar>
          <w:top w:w="0" w:type="dxa"/>
          <w:left w:w="0" w:type="dxa"/>
          <w:bottom w:w="0" w:type="dxa"/>
          <w:right w:w="0" w:type="dxa"/>
        </w:tblCellMar>
      </w:tblPr>
      <w:tr>
        <w:trPr>
          <w:trHeight w:val="165"/>
        </w:trPr>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6"/>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Three Months Ended June</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6"/>
          </w:tcPr>
          <w:p>
            <w:pPr>
              <w:jc w:val="center"/>
              <w:ind w:right="260"/>
              <w:spacing w:after="0" w:line="165" w:lineRule="exact"/>
              <w:rPr>
                <w:sz w:val="20"/>
                <w:szCs w:val="20"/>
                <w:color w:val="auto"/>
              </w:rPr>
            </w:pPr>
            <w:r>
              <w:rPr>
                <w:rFonts w:ascii="Times New Roman" w:cs="Times New Roman" w:eastAsia="Times New Roman" w:hAnsi="Times New Roman"/>
                <w:sz w:val="16"/>
                <w:szCs w:val="16"/>
                <w:b w:val="1"/>
                <w:bCs w:val="1"/>
                <w:color w:val="auto"/>
              </w:rPr>
              <w:t>Six Months Ended</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30,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6"/>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Segment revenues</w:t>
            </w: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Device Solutions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104,810</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w w:val="99"/>
              </w:rPr>
              <w:t>(36)%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244,375</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335,748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w w:val="99"/>
              </w:rPr>
              <w:t>(27)%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Networked Solutions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269,462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265,058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548,282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553,372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Outcomes</w:t>
            </w: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57,610</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w w:val="99"/>
              </w:rPr>
              <w:t>(6)%</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114,556</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w w:val="99"/>
              </w:rPr>
              <w:t>(4)%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5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revenues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431,882</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489,412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907,213</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1,008,986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6"/>
        </w:trPr>
        <w:tc>
          <w:tcPr>
            <w:tcW w:w="25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8"/>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5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4"/>
          </w:tcPr>
          <w:p>
            <w:pPr>
              <w:jc w:val="center"/>
              <w:ind w:left="65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4"/>
          </w:tcPr>
          <w:p>
            <w:pPr>
              <w:jc w:val="center"/>
              <w:ind w:right="81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2021</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3"/>
                <w:szCs w:val="13"/>
                <w:color w:val="auto"/>
              </w:rPr>
            </w:pPr>
          </w:p>
        </w:tc>
        <w:tc>
          <w:tcPr>
            <w:tcW w:w="8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3"/>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8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Gross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Gross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3"/>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840" w:type="dxa"/>
            <w:vAlign w:val="bottom"/>
          </w:tcPr>
          <w:p>
            <w:pPr>
              <w:jc w:val="center"/>
              <w:ind w:right="1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0" w:type="dxa"/>
            <w:vAlign w:val="bottom"/>
          </w:tcPr>
          <w:p>
            <w:pPr>
              <w:spacing w:after="0"/>
              <w:rPr>
                <w:sz w:val="1"/>
                <w:szCs w:val="1"/>
                <w:color w:val="auto"/>
              </w:rPr>
            </w:pPr>
          </w:p>
        </w:tc>
      </w:tr>
      <w:tr>
        <w:trPr>
          <w:trHeight w:val="215"/>
        </w:trPr>
        <w:tc>
          <w:tcPr>
            <w:tcW w:w="2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w w:val="99"/>
              </w:rPr>
              <w:t>Profit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120" w:type="dxa"/>
            <w:vAlign w:val="bottom"/>
          </w:tcPr>
          <w:p>
            <w:pPr>
              <w:spacing w:after="0"/>
              <w:rPr>
                <w:sz w:val="18"/>
                <w:szCs w:val="18"/>
                <w:color w:val="auto"/>
              </w:rPr>
            </w:pPr>
          </w:p>
        </w:tc>
        <w:tc>
          <w:tcPr>
            <w:tcW w:w="110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i w:val="1"/>
                <w:iCs w:val="1"/>
                <w:color w:val="auto"/>
                <w:w w:val="99"/>
              </w:rPr>
              <w:t>Profit</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12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Profit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120" w:type="dxa"/>
            <w:vAlign w:val="bottom"/>
          </w:tcPr>
          <w:p>
            <w:pPr>
              <w:spacing w:after="0"/>
              <w:rPr>
                <w:sz w:val="18"/>
                <w:szCs w:val="18"/>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i w:val="1"/>
                <w:iCs w:val="1"/>
                <w:color w:val="auto"/>
                <w:w w:val="99"/>
              </w:rPr>
              <w:t>Profit</w:t>
            </w:r>
          </w:p>
        </w:tc>
        <w:tc>
          <w:tcPr>
            <w:tcW w:w="8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0" w:type="dxa"/>
            <w:vAlign w:val="bottom"/>
          </w:tcPr>
          <w:p>
            <w:pPr>
              <w:spacing w:after="0"/>
              <w:rPr>
                <w:sz w:val="1"/>
                <w:szCs w:val="1"/>
                <w:color w:val="auto"/>
              </w:rPr>
            </w:pPr>
          </w:p>
        </w:tc>
      </w:tr>
      <w:tr>
        <w:trPr>
          <w:trHeight w:val="209"/>
        </w:trPr>
        <w:tc>
          <w:tcPr>
            <w:tcW w:w="2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Segment gross profit and margin</w:t>
            </w: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Device Solutions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30,452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35,684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rPr>
              <w:t>18.7%</w:t>
            </w:r>
          </w:p>
        </w:tc>
        <w:tc>
          <w:tcPr>
            <w:tcW w:w="0" w:type="dxa"/>
            <w:vAlign w:val="bottom"/>
          </w:tcPr>
          <w:p>
            <w:pPr>
              <w:spacing w:after="0"/>
              <w:rPr>
                <w:sz w:val="1"/>
                <w:szCs w:val="1"/>
                <w:color w:val="auto"/>
              </w:rPr>
            </w:pPr>
          </w:p>
        </w:tc>
      </w:tr>
      <w:tr>
        <w:trPr>
          <w:trHeight w:val="213"/>
        </w:trPr>
        <w:tc>
          <w:tcPr>
            <w:tcW w:w="2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Networked Solutions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89,909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95,953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36.2%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181,260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33.1%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208,712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37.7%</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Outcomes</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22,318</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23,470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38.2%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44,385</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rPr>
              <w:t>37.9%</w:t>
            </w:r>
          </w:p>
        </w:tc>
        <w:tc>
          <w:tcPr>
            <w:tcW w:w="0" w:type="dxa"/>
            <w:vAlign w:val="bottom"/>
          </w:tcPr>
          <w:p>
            <w:pPr>
              <w:spacing w:after="0"/>
              <w:rPr>
                <w:sz w:val="1"/>
                <w:szCs w:val="1"/>
                <w:color w:val="auto"/>
              </w:rPr>
            </w:pPr>
          </w:p>
        </w:tc>
      </w:tr>
      <w:tr>
        <w:trPr>
          <w:trHeight w:val="212"/>
        </w:trPr>
        <w:tc>
          <w:tcPr>
            <w:tcW w:w="25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gross profit and margin</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126,105</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149,875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30.6%</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261,329</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316,919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31.4%</w:t>
            </w:r>
          </w:p>
        </w:tc>
        <w:tc>
          <w:tcPr>
            <w:tcW w:w="0" w:type="dxa"/>
            <w:vAlign w:val="bottom"/>
          </w:tcPr>
          <w:p>
            <w:pPr>
              <w:spacing w:after="0"/>
              <w:rPr>
                <w:sz w:val="1"/>
                <w:szCs w:val="1"/>
                <w:color w:val="auto"/>
              </w:rPr>
            </w:pPr>
          </w:p>
        </w:tc>
      </w:tr>
      <w:tr>
        <w:trPr>
          <w:trHeight w:val="21"/>
        </w:trPr>
        <w:tc>
          <w:tcPr>
            <w:tcW w:w="2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Three Months Ended June</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gridSpan w:val="6"/>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30,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6"/>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Segment operating expenses</w:t>
            </w: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Device Solutions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8,419</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w w:val="99"/>
              </w:rPr>
              <w:t>(20)%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18,647</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w w:val="99"/>
              </w:rPr>
              <w:t>(11)%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Networked Solutions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27,627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57,971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Outcomes</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26,935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Corporate unallocated</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110,377</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104,087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center"/>
              <w:ind w:right="3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184,484</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184,475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center"/>
              <w:ind w:right="39"/>
              <w:spacing w:after="0"/>
              <w:rPr>
                <w:sz w:val="20"/>
                <w:szCs w:val="20"/>
                <w:color w:val="auto"/>
              </w:rPr>
            </w:pPr>
            <w:r>
              <w:rPr>
                <w:rFonts w:ascii="Times New Roman" w:cs="Times New Roman" w:eastAsia="Times New Roman" w:hAnsi="Times New Roman"/>
                <w:sz w:val="16"/>
                <w:szCs w:val="16"/>
                <w:color w:val="auto"/>
              </w:rPr>
              <w:t>NM</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5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159,632</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156,807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288,037</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292,911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w w:val="99"/>
              </w:rPr>
              <w:t>(2)%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1320" w:type="dxa"/>
            <w:vAlign w:val="bottom"/>
            <w:tcBorders>
              <w:top w:val="single" w:sz="8" w:color="CCEEFF"/>
            </w:tcBorders>
            <w:gridSpan w:val="5"/>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tcBorders>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25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8"/>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5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4"/>
          </w:tcPr>
          <w:p>
            <w:pPr>
              <w:jc w:val="center"/>
              <w:ind w:left="65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4"/>
          </w:tcPr>
          <w:p>
            <w:pPr>
              <w:jc w:val="center"/>
              <w:ind w:right="81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2021</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120" w:type="dxa"/>
            <w:vAlign w:val="bottom"/>
          </w:tcPr>
          <w:p>
            <w:pPr>
              <w:spacing w:after="0"/>
              <w:rPr>
                <w:sz w:val="13"/>
                <w:szCs w:val="13"/>
                <w:color w:val="auto"/>
              </w:rPr>
            </w:pPr>
          </w:p>
        </w:tc>
        <w:tc>
          <w:tcPr>
            <w:tcW w:w="110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120" w:type="dxa"/>
            <w:vAlign w:val="bottom"/>
          </w:tcPr>
          <w:p>
            <w:pPr>
              <w:spacing w:after="0"/>
              <w:rPr>
                <w:sz w:val="13"/>
                <w:szCs w:val="13"/>
                <w:color w:val="auto"/>
              </w:rPr>
            </w:pPr>
          </w:p>
        </w:tc>
        <w:tc>
          <w:tcPr>
            <w:tcW w:w="7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120" w:type="dxa"/>
            <w:vAlign w:val="bottom"/>
          </w:tcPr>
          <w:p>
            <w:pPr>
              <w:spacing w:after="0"/>
              <w:rPr>
                <w:sz w:val="13"/>
                <w:szCs w:val="13"/>
                <w:color w:val="auto"/>
              </w:rPr>
            </w:pPr>
          </w:p>
        </w:tc>
        <w:tc>
          <w:tcPr>
            <w:tcW w:w="112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840" w:type="dxa"/>
            <w:vAlign w:val="bottom"/>
            <w:vMerge w:val="restart"/>
          </w:tcPr>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w w:val="98"/>
              </w:rPr>
              <w:t>Operating</w:t>
            </w:r>
          </w:p>
        </w:tc>
        <w:tc>
          <w:tcPr>
            <w:tcW w:w="0" w:type="dxa"/>
            <w:vAlign w:val="bottom"/>
          </w:tcPr>
          <w:p>
            <w:pPr>
              <w:spacing w:after="0"/>
              <w:rPr>
                <w:sz w:val="1"/>
                <w:szCs w:val="1"/>
                <w:color w:val="auto"/>
              </w:rPr>
            </w:pPr>
          </w:p>
        </w:tc>
      </w:tr>
      <w:tr>
        <w:trPr>
          <w:trHeight w:val="162"/>
        </w:trPr>
        <w:tc>
          <w:tcPr>
            <w:tcW w:w="2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4"/>
                <w:szCs w:val="14"/>
                <w:color w:val="auto"/>
              </w:rPr>
            </w:pPr>
          </w:p>
        </w:tc>
        <w:tc>
          <w:tcPr>
            <w:tcW w:w="8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Income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Income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(Loss)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Income (Loss)</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12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w w:val="97"/>
              </w:rPr>
              <w:t>(Loss)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124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Income (Loss)</w:t>
            </w:r>
          </w:p>
        </w:tc>
        <w:tc>
          <w:tcPr>
            <w:tcW w:w="8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0" w:type="dxa"/>
            <w:vAlign w:val="bottom"/>
          </w:tcPr>
          <w:p>
            <w:pPr>
              <w:spacing w:after="0"/>
              <w:rPr>
                <w:sz w:val="1"/>
                <w:szCs w:val="1"/>
                <w:color w:val="auto"/>
              </w:rPr>
            </w:pPr>
          </w:p>
        </w:tc>
      </w:tr>
      <w:tr>
        <w:trPr>
          <w:trHeight w:val="156"/>
        </w:trPr>
        <w:tc>
          <w:tcPr>
            <w:tcW w:w="2560" w:type="dxa"/>
            <w:vAlign w:val="bottom"/>
            <w:tcBorders>
              <w:top w:val="single" w:sz="8" w:color="auto"/>
            </w:tcBorders>
          </w:tcPr>
          <w:p>
            <w:pPr>
              <w:ind w:left="20"/>
              <w:spacing w:after="0" w:line="156" w:lineRule="exact"/>
              <w:rPr>
                <w:sz w:val="20"/>
                <w:szCs w:val="20"/>
                <w:color w:val="auto"/>
              </w:rPr>
            </w:pPr>
            <w:r>
              <w:rPr>
                <w:rFonts w:ascii="Times New Roman" w:cs="Times New Roman" w:eastAsia="Times New Roman" w:hAnsi="Times New Roman"/>
                <w:sz w:val="16"/>
                <w:szCs w:val="16"/>
                <w:b w:val="1"/>
                <w:bCs w:val="1"/>
                <w:i w:val="1"/>
                <w:iCs w:val="1"/>
                <w:color w:val="auto"/>
              </w:rPr>
              <w:t>Segment operating income (loss) and</w:t>
            </w: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operating margin</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Device Solutions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19,988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17,037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13"/>
        </w:trPr>
        <w:tc>
          <w:tcPr>
            <w:tcW w:w="2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Networked Solutions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62,282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24.4%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123,289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143,921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26.0%</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Outcomes</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12,537</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20.4%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17,450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22,873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rPr>
              <w:t>19.1%</w:t>
            </w:r>
          </w:p>
        </w:tc>
        <w:tc>
          <w:tcPr>
            <w:tcW w:w="0" w:type="dxa"/>
            <w:vAlign w:val="bottom"/>
          </w:tcPr>
          <w:p>
            <w:pPr>
              <w:spacing w:after="0"/>
              <w:rPr>
                <w:sz w:val="1"/>
                <w:szCs w:val="1"/>
                <w:color w:val="auto"/>
              </w:rPr>
            </w:pPr>
          </w:p>
        </w:tc>
      </w:tr>
      <w:tr>
        <w:trPr>
          <w:trHeight w:val="213"/>
        </w:trPr>
        <w:tc>
          <w:tcPr>
            <w:tcW w:w="2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Corporate unallocated</w:t>
            </w: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(110,377)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NM</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(104,087)</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NM</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(184,484)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NM</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(184,475)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center"/>
              <w:ind w:right="19"/>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145"/>
        </w:trPr>
        <w:tc>
          <w:tcPr>
            <w:tcW w:w="256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6"/>
                <w:szCs w:val="16"/>
                <w:color w:val="auto"/>
              </w:rPr>
              <w:t>Total operating income (loss) and</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(33,527)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w w:val="99"/>
              </w:rPr>
              <w:t>(7.8)%</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(1.4)%</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(26,708)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w w:val="99"/>
              </w:rPr>
              <w:t>(2.9)%</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09"/>
        </w:trPr>
        <w:tc>
          <w:tcPr>
            <w:tcW w:w="25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operating margin</w:t>
            </w: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gridSpan w:val="2"/>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gridSpan w:val="2"/>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Device Solutions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effects of changes in foreign currency exchange rates and the constant currency changes in certain Device Solutions segment financial results were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760" w:type="dxa"/>
            <w:vAlign w:val="bottom"/>
            <w:gridSpan w:val="4"/>
            <w:vMerge w:val="restart"/>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2760" w:type="dxa"/>
            <w:vAlign w:val="bottom"/>
            <w:tcBorders>
              <w:bottom w:val="single" w:sz="8" w:color="auto"/>
            </w:tcBorders>
            <w:gridSpan w:val="4"/>
            <w:vMerge w:val="continue"/>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0" w:type="dxa"/>
            <w:vAlign w:val="bottom"/>
            <w:vMerge w:val="restart"/>
          </w:tcPr>
          <w:p>
            <w:pPr>
              <w:ind w:left="660"/>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3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Device Solutions Segment</w:t>
            </w:r>
          </w:p>
        </w:tc>
        <w:tc>
          <w:tcPr>
            <w:tcW w:w="100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CCEEFF"/>
            </w:tcBorders>
          </w:tcPr>
          <w:p>
            <w:pPr>
              <w:spacing w:after="0"/>
              <w:rPr>
                <w:sz w:val="18"/>
                <w:szCs w:val="18"/>
                <w:color w:val="auto"/>
              </w:rPr>
            </w:pPr>
          </w:p>
        </w:tc>
        <w:tc>
          <w:tcPr>
            <w:tcW w:w="60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104,810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162,967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(58,157)</w:t>
            </w:r>
          </w:p>
        </w:tc>
        <w:tc>
          <w:tcPr>
            <w:tcW w:w="0" w:type="dxa"/>
            <w:vAlign w:val="bottom"/>
          </w:tcPr>
          <w:p>
            <w:pPr>
              <w:spacing w:after="0"/>
              <w:rPr>
                <w:sz w:val="1"/>
                <w:szCs w:val="1"/>
                <w:color w:val="auto"/>
              </w:rPr>
            </w:pPr>
          </w:p>
        </w:tc>
      </w:tr>
      <w:tr>
        <w:trPr>
          <w:trHeight w:val="213"/>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13,878</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(16,574)</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expenses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8,419</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(2,045)</w:t>
            </w:r>
          </w:p>
        </w:tc>
        <w:tc>
          <w:tcPr>
            <w:tcW w:w="0" w:type="dxa"/>
            <w:vAlign w:val="bottom"/>
          </w:tcPr>
          <w:p>
            <w:pPr>
              <w:spacing w:after="0"/>
              <w:rPr>
                <w:sz w:val="1"/>
                <w:szCs w:val="1"/>
                <w:color w:val="auto"/>
              </w:rPr>
            </w:pPr>
          </w:p>
        </w:tc>
      </w:tr>
      <w:tr>
        <w:trPr>
          <w:trHeight w:val="783"/>
        </w:trPr>
        <w:tc>
          <w:tcPr>
            <w:tcW w:w="3000" w:type="dxa"/>
            <w:vAlign w:val="bottom"/>
          </w:tcPr>
          <w:p>
            <w:pPr>
              <w:spacing w:after="0"/>
              <w:rPr>
                <w:sz w:val="24"/>
                <w:szCs w:val="24"/>
                <w:color w:val="auto"/>
              </w:rPr>
            </w:pPr>
          </w:p>
        </w:tc>
        <w:tc>
          <w:tcPr>
            <w:tcW w:w="2760" w:type="dxa"/>
            <w:vAlign w:val="bottom"/>
            <w:gridSpan w:val="4"/>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2760" w:type="dxa"/>
            <w:vAlign w:val="bottom"/>
            <w:tcBorders>
              <w:bottom w:val="single" w:sz="8" w:color="auto"/>
            </w:tcBorders>
            <w:gridSpan w:val="4"/>
            <w:vMerge w:val="continue"/>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0" w:type="dxa"/>
            <w:vAlign w:val="bottom"/>
            <w:vMerge w:val="restart"/>
          </w:tcPr>
          <w:p>
            <w:pPr>
              <w:ind w:left="660"/>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3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Device Solutions Segment</w:t>
            </w:r>
          </w:p>
        </w:tc>
        <w:tc>
          <w:tcPr>
            <w:tcW w:w="100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CCEEFF"/>
            </w:tcBorders>
          </w:tcPr>
          <w:p>
            <w:pPr>
              <w:spacing w:after="0"/>
              <w:rPr>
                <w:sz w:val="18"/>
                <w:szCs w:val="18"/>
                <w:color w:val="auto"/>
              </w:rPr>
            </w:pPr>
          </w:p>
        </w:tc>
        <w:tc>
          <w:tcPr>
            <w:tcW w:w="60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244,375</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335,748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(24,404)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(91,373)</w:t>
            </w:r>
          </w:p>
        </w:tc>
        <w:tc>
          <w:tcPr>
            <w:tcW w:w="0" w:type="dxa"/>
            <w:vAlign w:val="bottom"/>
          </w:tcPr>
          <w:p>
            <w:pPr>
              <w:spacing w:after="0"/>
              <w:rPr>
                <w:sz w:val="1"/>
                <w:szCs w:val="1"/>
                <w:color w:val="auto"/>
              </w:rPr>
            </w:pPr>
          </w:p>
        </w:tc>
      </w:tr>
      <w:tr>
        <w:trPr>
          <w:trHeight w:val="213"/>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35,684</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(27,064)</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expenses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18,647</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21,059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(2,412)</w:t>
            </w: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Three months ended June 30, 2022 vs. Three months ended June 30, 2021</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Revenues decreased $58.2 million, or 36%. Changes in foreign currency exchange rates unfavorably impacted revenues by $14.9 million. Revenue decreased over the prior year due to the discontinuation of some legacy products and the sale of certain Gas product lines to Dresser during 2022.</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Six months ended June 30, 2022 vs. Six months ended June 30, 2021</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Revenues decreased $91.4 million, or 27%. Changes in foreign currency exchange rates unfavorably impacted revenues by $24.4 million. Revenue decreased over the prior year due to the discontinuation of some legacy products and the sale of certain Gas product lines to Dresser during the first quarter of 2022, as well as the impact of component shortages, which limited our ability to fulfill customer demand.</w:t>
      </w:r>
    </w:p>
    <w:p>
      <w:pPr>
        <w:spacing w:after="0" w:line="2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Three months ended June 30, 2022 vs. Three months ended June 30, 2021</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 the three months ended June 30, 2022, gross margin was 13.2%, compared with 18.7% for the same period in 2021. The 550 basis point decrease over the prior year was primarily due to higher input costs and manufacturing inefficiencies related to component shortages.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Six months ended June 30, 2022 vs. Six months ended June 30, 2021</w:t>
      </w:r>
    </w:p>
    <w:p>
      <w:pPr>
        <w:spacing w:after="0" w:line="2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For the six months ended June 30, 2022, gross margin was 14.6%, compared with 18.7% for the same period in 2021. The 410 basis point reduction over the prior year was primarily due to higher input costs and manufacturing inefficiencies related to component shortages.</w:t>
      </w:r>
    </w:p>
    <w:p>
      <w:pPr>
        <w:spacing w:after="0" w:line="2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Three months ended June 30, 2022 vs. Three months ended June 30, 2021</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Operating expenses in 2022 compared with the same period in 2021 decreased $2.0 million, or 20%, due to a $1.0 million decrease in sales and marketing expenses and a $1.0 million decrease in research and development expenses.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Six months ended June 30, 2022 vs. Six months ended June 30, 2021</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Operating expenses decreased $2.4 million, or 11%, for the first six months of 2022, compared with the same period in 2021. The decrease was primarily a result of a $1.7 million decrease in sales and marketing expenses and a $0.7 million decrease in research and development expenses.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Networked Solutions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effects of changes in foreign currency exchange rates and the constant currency changes in certain Networked Solutions segment financial results were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760" w:type="dxa"/>
            <w:vAlign w:val="bottom"/>
            <w:gridSpan w:val="4"/>
            <w:vMerge w:val="restart"/>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2760" w:type="dxa"/>
            <w:vAlign w:val="bottom"/>
            <w:tcBorders>
              <w:bottom w:val="single" w:sz="8" w:color="auto"/>
            </w:tcBorders>
            <w:gridSpan w:val="4"/>
            <w:vMerge w:val="continue"/>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0" w:type="dxa"/>
            <w:vAlign w:val="bottom"/>
            <w:vMerge w:val="restart"/>
          </w:tcPr>
          <w:p>
            <w:pPr>
              <w:ind w:left="660"/>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3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Networked Solutions Segment</w:t>
            </w:r>
          </w:p>
        </w:tc>
        <w:tc>
          <w:tcPr>
            <w:tcW w:w="100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CCEEFF"/>
            </w:tcBorders>
          </w:tcPr>
          <w:p>
            <w:pPr>
              <w:spacing w:after="0"/>
              <w:rPr>
                <w:sz w:val="18"/>
                <w:szCs w:val="18"/>
                <w:color w:val="auto"/>
              </w:rPr>
            </w:pPr>
          </w:p>
        </w:tc>
        <w:tc>
          <w:tcPr>
            <w:tcW w:w="60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269,462</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265,058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4,404</w:t>
            </w:r>
          </w:p>
        </w:tc>
        <w:tc>
          <w:tcPr>
            <w:tcW w:w="0" w:type="dxa"/>
            <w:vAlign w:val="bottom"/>
          </w:tcPr>
          <w:p>
            <w:pPr>
              <w:spacing w:after="0"/>
              <w:rPr>
                <w:sz w:val="1"/>
                <w:szCs w:val="1"/>
                <w:color w:val="auto"/>
              </w:rPr>
            </w:pPr>
          </w:p>
        </w:tc>
      </w:tr>
      <w:tr>
        <w:trPr>
          <w:trHeight w:val="213"/>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89,909</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(6,044)</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expenses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27,627</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31,323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(3,696)</w:t>
            </w:r>
          </w:p>
        </w:tc>
        <w:tc>
          <w:tcPr>
            <w:tcW w:w="0" w:type="dxa"/>
            <w:vAlign w:val="bottom"/>
          </w:tcPr>
          <w:p>
            <w:pPr>
              <w:spacing w:after="0"/>
              <w:rPr>
                <w:sz w:val="1"/>
                <w:szCs w:val="1"/>
                <w:color w:val="auto"/>
              </w:rPr>
            </w:pPr>
          </w:p>
        </w:tc>
      </w:tr>
      <w:tr>
        <w:trPr>
          <w:trHeight w:val="823"/>
        </w:trPr>
        <w:tc>
          <w:tcPr>
            <w:tcW w:w="3000" w:type="dxa"/>
            <w:vAlign w:val="bottom"/>
          </w:tcPr>
          <w:p>
            <w:pPr>
              <w:spacing w:after="0"/>
              <w:rPr>
                <w:sz w:val="24"/>
                <w:szCs w:val="24"/>
                <w:color w:val="auto"/>
              </w:rPr>
            </w:pPr>
          </w:p>
        </w:tc>
        <w:tc>
          <w:tcPr>
            <w:tcW w:w="2760" w:type="dxa"/>
            <w:vAlign w:val="bottom"/>
            <w:gridSpan w:val="4"/>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2760" w:type="dxa"/>
            <w:vAlign w:val="bottom"/>
            <w:tcBorders>
              <w:bottom w:val="single" w:sz="8" w:color="auto"/>
            </w:tcBorders>
            <w:gridSpan w:val="4"/>
            <w:vMerge w:val="continue"/>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0" w:type="dxa"/>
            <w:vAlign w:val="bottom"/>
            <w:vMerge w:val="restart"/>
          </w:tcPr>
          <w:p>
            <w:pPr>
              <w:ind w:left="660"/>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3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Networked Solutions Segment</w:t>
            </w:r>
          </w:p>
        </w:tc>
        <w:tc>
          <w:tcPr>
            <w:tcW w:w="100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CCEEFF"/>
            </w:tcBorders>
          </w:tcPr>
          <w:p>
            <w:pPr>
              <w:spacing w:after="0"/>
              <w:rPr>
                <w:sz w:val="18"/>
                <w:szCs w:val="18"/>
                <w:color w:val="auto"/>
              </w:rPr>
            </w:pPr>
          </w:p>
        </w:tc>
        <w:tc>
          <w:tcPr>
            <w:tcW w:w="60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548,282</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553,372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(5,090)</w:t>
            </w:r>
          </w:p>
        </w:tc>
        <w:tc>
          <w:tcPr>
            <w:tcW w:w="0" w:type="dxa"/>
            <w:vAlign w:val="bottom"/>
          </w:tcPr>
          <w:p>
            <w:pPr>
              <w:spacing w:after="0"/>
              <w:rPr>
                <w:sz w:val="1"/>
                <w:szCs w:val="1"/>
                <w:color w:val="auto"/>
              </w:rPr>
            </w:pPr>
          </w:p>
        </w:tc>
      </w:tr>
      <w:tr>
        <w:trPr>
          <w:trHeight w:val="213"/>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181,260</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208,712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(27,452)</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expenses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57,971</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64,791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(6,820)</w:t>
            </w: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Three months ended June 30, 2022 vs. Three months ended June 30, 2021</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Revenues increased $4.4 million, or 2%, compared with 2021. The change was primarily due to the ramp of new deployments, partially offset by component shortages, which limited our ability to fulfill customer demand. Product revenue was higher by $6.4 million partially offset by lower maintenance service revenue of $2.0 million.</w:t>
      </w:r>
    </w:p>
    <w:p>
      <w:pPr>
        <w:spacing w:after="0" w:line="2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Six months ended June 30, 2022 vs. Six months ended June 30, 2021</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Revenues decreased $5.1 million, or 1%, for the first six months of 2022 compared with the same period in 2021. The change was primarily due to component shortages that limited our ability to fulfill customer demand, partially offset by the ramp of new deployments. Product revenue was lower by $3.0 million and maintenance service revenue lower by $2.1 million.</w:t>
      </w:r>
    </w:p>
    <w:p>
      <w:pPr>
        <w:spacing w:after="0" w:line="2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Three months ended June 30, 2022 vs. Three months ended June 30, 2021</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Gross margin decreased to 33.4% for the period ending June 30, 2022, compared with 36.2% in 2021. The 280 basis point decrease was primarily driven by higher input costs and manufacturing inefficiencies related to component shortages.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Six months ended June 30, 2022 vs. Six months ended June 30, 2021</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Gross margin was 33.1% for the 2022 period, compared with 37.7% in 2021. The 460 basis point decrease was primarily related to higher input costs, manufacturing inefficiencies related to component shortages, and unfavorable product mix.</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Three months ended June 30, 2022 vs. Three months ended June 30, 2021</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Operating expenses decreased $3.7 million, or 12%, in 2022 compared with the same period in 2021. The decrease was primarily related to reduced research and development expenses.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Six months ended June 30, 2022 vs. Six months ended June 30, 2021</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Operating expenses decreased $6.8 million, or 11%, for the first six months of 2022, compared with the same period in 2021. The decrease was primarily related to reduced research and development expenses.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Outcomes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effects of changes in foreign currency exchange rates and the constant currency changes in certain Outcomes segment financial results were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760" w:type="dxa"/>
            <w:vAlign w:val="bottom"/>
            <w:gridSpan w:val="4"/>
            <w:vMerge w:val="restart"/>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2760" w:type="dxa"/>
            <w:vAlign w:val="bottom"/>
            <w:tcBorders>
              <w:bottom w:val="single" w:sz="8" w:color="auto"/>
            </w:tcBorders>
            <w:gridSpan w:val="4"/>
            <w:vMerge w:val="continue"/>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0" w:type="dxa"/>
            <w:vAlign w:val="bottom"/>
            <w:vMerge w:val="restart"/>
          </w:tcPr>
          <w:p>
            <w:pPr>
              <w:ind w:left="660"/>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3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Outcomes Segment</w:t>
            </w:r>
          </w:p>
        </w:tc>
        <w:tc>
          <w:tcPr>
            <w:tcW w:w="100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CCEEFF"/>
            </w:tcBorders>
          </w:tcPr>
          <w:p>
            <w:pPr>
              <w:spacing w:after="0"/>
              <w:rPr>
                <w:sz w:val="18"/>
                <w:szCs w:val="18"/>
                <w:color w:val="auto"/>
              </w:rPr>
            </w:pPr>
          </w:p>
        </w:tc>
        <w:tc>
          <w:tcPr>
            <w:tcW w:w="60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57,610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61,387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center"/>
              <w:ind w:left="699"/>
              <w:spacing w:after="0"/>
              <w:rPr>
                <w:sz w:val="20"/>
                <w:szCs w:val="20"/>
                <w:color w:val="auto"/>
              </w:rPr>
            </w:pPr>
            <w:r>
              <w:rPr>
                <w:rFonts w:ascii="Times New Roman" w:cs="Times New Roman" w:eastAsia="Times New Roman" w:hAnsi="Times New Roman"/>
                <w:sz w:val="16"/>
                <w:szCs w:val="16"/>
                <w:color w:val="auto"/>
              </w:rPr>
              <w:t>(3,777)</w:t>
            </w:r>
          </w:p>
        </w:tc>
        <w:tc>
          <w:tcPr>
            <w:tcW w:w="0" w:type="dxa"/>
            <w:vAlign w:val="bottom"/>
          </w:tcPr>
          <w:p>
            <w:pPr>
              <w:spacing w:after="0"/>
              <w:rPr>
                <w:sz w:val="1"/>
                <w:szCs w:val="1"/>
                <w:color w:val="auto"/>
              </w:rPr>
            </w:pPr>
          </w:p>
        </w:tc>
      </w:tr>
      <w:tr>
        <w:trPr>
          <w:trHeight w:val="213"/>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22,318</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left="699"/>
              <w:spacing w:after="0"/>
              <w:rPr>
                <w:sz w:val="20"/>
                <w:szCs w:val="20"/>
                <w:color w:val="auto"/>
              </w:rPr>
            </w:pPr>
            <w:r>
              <w:rPr>
                <w:rFonts w:ascii="Times New Roman" w:cs="Times New Roman" w:eastAsia="Times New Roman" w:hAnsi="Times New Roman"/>
                <w:sz w:val="16"/>
                <w:szCs w:val="16"/>
                <w:color w:val="auto"/>
              </w:rPr>
              <w:t>(1,152)</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expenses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13,209</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739"/>
              <w:spacing w:after="0"/>
              <w:rPr>
                <w:sz w:val="20"/>
                <w:szCs w:val="20"/>
                <w:color w:val="auto"/>
              </w:rPr>
            </w:pPr>
            <w:r>
              <w:rPr>
                <w:rFonts w:ascii="Times New Roman" w:cs="Times New Roman" w:eastAsia="Times New Roman" w:hAnsi="Times New Roman"/>
                <w:sz w:val="16"/>
                <w:szCs w:val="16"/>
                <w:color w:val="auto"/>
                <w:w w:val="99"/>
              </w:rPr>
              <w:t>2,276</w:t>
            </w:r>
          </w:p>
        </w:tc>
        <w:tc>
          <w:tcPr>
            <w:tcW w:w="0" w:type="dxa"/>
            <w:vAlign w:val="bottom"/>
          </w:tcPr>
          <w:p>
            <w:pPr>
              <w:spacing w:after="0"/>
              <w:rPr>
                <w:sz w:val="1"/>
                <w:szCs w:val="1"/>
                <w:color w:val="auto"/>
              </w:rPr>
            </w:pPr>
          </w:p>
        </w:tc>
      </w:tr>
      <w:tr>
        <w:trPr>
          <w:trHeight w:val="823"/>
        </w:trPr>
        <w:tc>
          <w:tcPr>
            <w:tcW w:w="3000" w:type="dxa"/>
            <w:vAlign w:val="bottom"/>
          </w:tcPr>
          <w:p>
            <w:pPr>
              <w:spacing w:after="0"/>
              <w:rPr>
                <w:sz w:val="24"/>
                <w:szCs w:val="24"/>
                <w:color w:val="auto"/>
              </w:rPr>
            </w:pPr>
          </w:p>
        </w:tc>
        <w:tc>
          <w:tcPr>
            <w:tcW w:w="2760" w:type="dxa"/>
            <w:vAlign w:val="bottom"/>
            <w:gridSpan w:val="4"/>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2760" w:type="dxa"/>
            <w:vAlign w:val="bottom"/>
            <w:tcBorders>
              <w:bottom w:val="single" w:sz="8" w:color="auto"/>
            </w:tcBorders>
            <w:gridSpan w:val="4"/>
            <w:vMerge w:val="continue"/>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0" w:type="dxa"/>
            <w:vAlign w:val="bottom"/>
            <w:vMerge w:val="restart"/>
          </w:tcPr>
          <w:p>
            <w:pPr>
              <w:ind w:left="660"/>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3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Outcomes Segment</w:t>
            </w:r>
          </w:p>
        </w:tc>
        <w:tc>
          <w:tcPr>
            <w:tcW w:w="100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CCEEFF"/>
            </w:tcBorders>
          </w:tcPr>
          <w:p>
            <w:pPr>
              <w:spacing w:after="0"/>
              <w:rPr>
                <w:sz w:val="18"/>
                <w:szCs w:val="18"/>
                <w:color w:val="auto"/>
              </w:rPr>
            </w:pPr>
          </w:p>
        </w:tc>
        <w:tc>
          <w:tcPr>
            <w:tcW w:w="60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114,556</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119,866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center"/>
              <w:ind w:left="699"/>
              <w:spacing w:after="0"/>
              <w:rPr>
                <w:sz w:val="20"/>
                <w:szCs w:val="20"/>
                <w:color w:val="auto"/>
              </w:rPr>
            </w:pPr>
            <w:r>
              <w:rPr>
                <w:rFonts w:ascii="Times New Roman" w:cs="Times New Roman" w:eastAsia="Times New Roman" w:hAnsi="Times New Roman"/>
                <w:sz w:val="16"/>
                <w:szCs w:val="16"/>
                <w:color w:val="auto"/>
              </w:rPr>
              <w:t>(5,310)</w:t>
            </w:r>
          </w:p>
        </w:tc>
        <w:tc>
          <w:tcPr>
            <w:tcW w:w="0" w:type="dxa"/>
            <w:vAlign w:val="bottom"/>
          </w:tcPr>
          <w:p>
            <w:pPr>
              <w:spacing w:after="0"/>
              <w:rPr>
                <w:sz w:val="1"/>
                <w:szCs w:val="1"/>
                <w:color w:val="auto"/>
              </w:rPr>
            </w:pPr>
          </w:p>
        </w:tc>
      </w:tr>
      <w:tr>
        <w:trPr>
          <w:trHeight w:val="213"/>
        </w:trPr>
        <w:tc>
          <w:tcPr>
            <w:tcW w:w="3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44,385</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left="699"/>
              <w:spacing w:after="0"/>
              <w:rPr>
                <w:sz w:val="20"/>
                <w:szCs w:val="20"/>
                <w:color w:val="auto"/>
              </w:rPr>
            </w:pPr>
            <w:r>
              <w:rPr>
                <w:rFonts w:ascii="Times New Roman" w:cs="Times New Roman" w:eastAsia="Times New Roman" w:hAnsi="Times New Roman"/>
                <w:sz w:val="16"/>
                <w:szCs w:val="16"/>
                <w:color w:val="auto"/>
              </w:rPr>
              <w:t>(1,074)</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expenses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26,935</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22,586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739"/>
              <w:spacing w:after="0"/>
              <w:rPr>
                <w:sz w:val="20"/>
                <w:szCs w:val="20"/>
                <w:color w:val="auto"/>
              </w:rPr>
            </w:pPr>
            <w:r>
              <w:rPr>
                <w:rFonts w:ascii="Times New Roman" w:cs="Times New Roman" w:eastAsia="Times New Roman" w:hAnsi="Times New Roman"/>
                <w:sz w:val="16"/>
                <w:szCs w:val="16"/>
                <w:color w:val="auto"/>
                <w:w w:val="99"/>
              </w:rPr>
              <w:t>4,349</w:t>
            </w: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Three months ended June 30, 2022 vs. Three months ended June 30, 2021</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Revenues decreased $3.8 million, or 6%, for the first three months of 2022, compared with 2021. This decrease was driven by a decrease in product sales, software licensing, and consulting services.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Six months ended June 30, 2022 vs. Six months ended June 30, 2021</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Revenues decreased $5.3 million, or 4%, for the first six months of 2022, compared with 2021. This decline was driven by a decrease in product sales, software licensing and consulting services.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Three months ended June 30, 2022 vs. Three months ended June 30, 2021</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Gross margin increased to 38.7% for the second quarter of 2022, compared with 38.2% for the same period last year. The 50 basis point increase was driven by more favorable managed services mix and other cost efficiencies.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Six months ended June 30, 2022 vs. Six months ended June 30, 2021</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Gross margin increased to 38.7% for the period ending in 2022, compared with 37.9% for last year. The 80 basis point increase was driven by favorable managed services mix and other cost efficiencies.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Three months ended June 30, 2022 vs. Three months ended June 30, 2021</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Operating expenses for the 2022 period increased $2.3 million, compared with the same period last year. The increase was primarily related to increased research and development investment of $2.2 million.</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Six months ended June 30, 2022 vs. Six months ended June 30, 2021</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Operating expenses for the first six months of 2022 increased $4.3 million, or 19%, compared with the same period last year. This was primarily related to increased research and development expenses of $3.9 million.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Unallocated</w:t>
      </w:r>
    </w:p>
    <w:p>
      <w:pPr>
        <w:spacing w:after="0" w:line="2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Corporate Unallocated Expenses - Three months ended June 30, 2022 vs. Three months ended June 30, 2021</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Operating expenses not directly associated with an operating segment are classified as Corporate unallocated. These expenses increased $6.3 million, or 6%, for the three months ended June 30, 2022 compared with the same period in 2021. This was primarily the result of $38.5 million in goodwill impairment, slightly offset by a reduction of $24.5 million in loss on sale of business primarily related to the Latin America divestiture in 2021, $3.7 million in restructuring, and $2.5 million in amortization of intangible assets.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Corporate Unallocated Expenses - Six months ended June 30, 2022 vs. Six months ended June 30, 2021</w:t>
      </w:r>
    </w:p>
    <w:p>
      <w:pPr>
        <w:spacing w:after="0" w:line="2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For the first six months of 2022, Corporate unallocated expenses were substantially flat compared with the 2021 period. This was primarily the result of $38.5 million in goodwill impairment, offset by a reduction of $23.7 million in loss on sale of business primarily related to the Latin America divestiture in 2021, $8.0 million in restructuring, and $4.9 million in amortization of intangible assets.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Bookings and Backlog of Orders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Bookings for a reported period represent customer contracts and purchase orders received during the period for hardware, software, and services that have met certain conditions, such as regulatory and/or contractual approval. Total backlog represents committed but undelivered products and services for contracts and purchase orders at period-end. Twelve-month backlog represents the portion of total backlog that we estimate will be recognized as revenue over the next 12 months. Backlog is not a complete measure of our future revenues as we also receive significant book-and-ship orders, as well as frame contracts. Bookings and backlog may fluctuate significantly due to the timing of large project awards. In addition, annual or multi-year contracts are subject to rescheduling and cancellation by customers due to the long-term nature of the contracts. Beginning total backlog, plus bookings, minus revenues, will not equal ending total backlog due to miscellaneous contract adjustments, foreign currency fluctuations, and other factors. Total bookings and backlog include certain contracts with termination for convenience clause, which will not agree to the total transaction price allocated to the remaining performance obligations disclosed in Item 1: Financial Statements (Unaudited), Note 16: Revenues included in this Quarterly Report on Form 10-Q.</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20" w:type="dxa"/>
            <w:vAlign w:val="bottom"/>
          </w:tcPr>
          <w:p>
            <w:pPr>
              <w:spacing w:after="0"/>
              <w:rPr>
                <w:sz w:val="16"/>
                <w:szCs w:val="16"/>
                <w:color w:val="auto"/>
              </w:rPr>
            </w:pPr>
          </w:p>
        </w:tc>
        <w:tc>
          <w:tcPr>
            <w:tcW w:w="3160" w:type="dxa"/>
            <w:vAlign w:val="bottom"/>
            <w:vMerge w:val="restart"/>
          </w:tcPr>
          <w:p>
            <w:pPr>
              <w:jc w:val="center"/>
              <w:ind w:left="2079"/>
              <w:spacing w:after="0"/>
              <w:rPr>
                <w:sz w:val="20"/>
                <w:szCs w:val="20"/>
                <w:color w:val="auto"/>
              </w:rPr>
            </w:pPr>
            <w:r>
              <w:rPr>
                <w:rFonts w:ascii="Times New Roman" w:cs="Times New Roman" w:eastAsia="Times New Roman" w:hAnsi="Times New Roman"/>
                <w:sz w:val="16"/>
                <w:szCs w:val="16"/>
                <w:b w:val="1"/>
                <w:bCs w:val="1"/>
                <w:color w:val="auto"/>
                <w:w w:val="99"/>
              </w:rPr>
              <w:t>Quarterly</w:t>
            </w:r>
          </w:p>
        </w:tc>
        <w:tc>
          <w:tcPr>
            <w:tcW w:w="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60" w:type="dxa"/>
            <w:vAlign w:val="bottom"/>
          </w:tcPr>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Ending</w:t>
            </w:r>
          </w:p>
        </w:tc>
        <w:tc>
          <w:tcPr>
            <w:tcW w:w="500" w:type="dxa"/>
            <w:vAlign w:val="bottom"/>
          </w:tcPr>
          <w:p>
            <w:pPr>
              <w:spacing w:after="0"/>
              <w:rPr>
                <w:sz w:val="16"/>
                <w:szCs w:val="16"/>
                <w:color w:val="auto"/>
              </w:rPr>
            </w:pPr>
          </w:p>
        </w:tc>
        <w:tc>
          <w:tcPr>
            <w:tcW w:w="1760" w:type="dxa"/>
            <w:vAlign w:val="bottom"/>
          </w:tcPr>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Ending</w:t>
            </w:r>
          </w:p>
        </w:tc>
        <w:tc>
          <w:tcPr>
            <w:tcW w:w="0" w:type="dxa"/>
            <w:vAlign w:val="bottom"/>
          </w:tcPr>
          <w:p>
            <w:pPr>
              <w:spacing w:after="0"/>
              <w:rPr>
                <w:sz w:val="1"/>
                <w:szCs w:val="1"/>
                <w:color w:val="auto"/>
              </w:rPr>
            </w:pPr>
          </w:p>
        </w:tc>
      </w:tr>
      <w:tr>
        <w:trPr>
          <w:trHeight w:val="162"/>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316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60" w:type="dxa"/>
            <w:vAlign w:val="bottom"/>
          </w:tcPr>
          <w:p>
            <w:pPr>
              <w:jc w:val="center"/>
              <w:ind w:right="399"/>
              <w:spacing w:after="0" w:line="162"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500" w:type="dxa"/>
            <w:vAlign w:val="bottom"/>
          </w:tcPr>
          <w:p>
            <w:pPr>
              <w:spacing w:after="0"/>
              <w:rPr>
                <w:sz w:val="14"/>
                <w:szCs w:val="14"/>
                <w:color w:val="auto"/>
              </w:rPr>
            </w:pPr>
          </w:p>
        </w:tc>
        <w:tc>
          <w:tcPr>
            <w:tcW w:w="1760" w:type="dxa"/>
            <w:vAlign w:val="bottom"/>
          </w:tcPr>
          <w:p>
            <w:pPr>
              <w:jc w:val="center"/>
              <w:ind w:right="359"/>
              <w:spacing w:after="0" w:line="162" w:lineRule="exact"/>
              <w:rPr>
                <w:sz w:val="20"/>
                <w:szCs w:val="20"/>
                <w:color w:val="auto"/>
              </w:rPr>
            </w:pPr>
            <w:r>
              <w:rPr>
                <w:rFonts w:ascii="Times New Roman" w:cs="Times New Roman" w:eastAsia="Times New Roman" w:hAnsi="Times New Roman"/>
                <w:sz w:val="16"/>
                <w:szCs w:val="16"/>
                <w:b w:val="1"/>
                <w:bCs w:val="1"/>
                <w:color w:val="auto"/>
              </w:rPr>
              <w:t>12-Month</w:t>
            </w:r>
          </w:p>
        </w:tc>
        <w:tc>
          <w:tcPr>
            <w:tcW w:w="0" w:type="dxa"/>
            <w:vAlign w:val="bottom"/>
          </w:tcPr>
          <w:p>
            <w:pPr>
              <w:spacing w:after="0"/>
              <w:rPr>
                <w:sz w:val="1"/>
                <w:szCs w:val="1"/>
                <w:color w:val="auto"/>
              </w:rPr>
            </w:pPr>
          </w:p>
        </w:tc>
      </w:tr>
      <w:tr>
        <w:trPr>
          <w:trHeight w:val="214"/>
        </w:trPr>
        <w:tc>
          <w:tcPr>
            <w:tcW w:w="2920" w:type="dxa"/>
            <w:vAlign w:val="bottom"/>
            <w:tcBorders>
              <w:bottom w:val="single" w:sz="8" w:color="auto"/>
            </w:tcBorders>
            <w:vMerge w:val="continue"/>
          </w:tcPr>
          <w:p>
            <w:pPr>
              <w:spacing w:after="0"/>
              <w:rPr>
                <w:sz w:val="18"/>
                <w:szCs w:val="18"/>
                <w:color w:val="auto"/>
              </w:rPr>
            </w:pPr>
          </w:p>
        </w:tc>
        <w:tc>
          <w:tcPr>
            <w:tcW w:w="3160" w:type="dxa"/>
            <w:vAlign w:val="bottom"/>
            <w:tcBorders>
              <w:bottom w:val="single" w:sz="8" w:color="auto"/>
            </w:tcBorders>
          </w:tcPr>
          <w:p>
            <w:pPr>
              <w:jc w:val="center"/>
              <w:ind w:left="2079"/>
              <w:spacing w:after="0"/>
              <w:rPr>
                <w:sz w:val="20"/>
                <w:szCs w:val="20"/>
                <w:color w:val="auto"/>
              </w:rPr>
            </w:pPr>
            <w:r>
              <w:rPr>
                <w:rFonts w:ascii="Times New Roman" w:cs="Times New Roman" w:eastAsia="Times New Roman" w:hAnsi="Times New Roman"/>
                <w:sz w:val="16"/>
                <w:szCs w:val="16"/>
                <w:b w:val="1"/>
                <w:bCs w:val="1"/>
                <w:color w:val="auto"/>
              </w:rPr>
              <w:t>Bookings</w:t>
            </w:r>
          </w:p>
        </w:tc>
        <w:tc>
          <w:tcPr>
            <w:tcW w:w="6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Backlog</w:t>
            </w:r>
          </w:p>
        </w:tc>
        <w:tc>
          <w:tcPr>
            <w:tcW w:w="5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Backlog</w:t>
            </w:r>
          </w:p>
        </w:tc>
        <w:tc>
          <w:tcPr>
            <w:tcW w:w="0" w:type="dxa"/>
            <w:vAlign w:val="bottom"/>
          </w:tcPr>
          <w:p>
            <w:pPr>
              <w:spacing w:after="0"/>
              <w:rPr>
                <w:sz w:val="1"/>
                <w:szCs w:val="1"/>
                <w:color w:val="auto"/>
              </w:rPr>
            </w:pPr>
          </w:p>
        </w:tc>
      </w:tr>
      <w:tr>
        <w:trPr>
          <w:trHeight w:val="210"/>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30, 2022</w:t>
            </w:r>
          </w:p>
        </w:tc>
        <w:tc>
          <w:tcPr>
            <w:tcW w:w="3160" w:type="dxa"/>
            <w:vAlign w:val="bottom"/>
            <w:shd w:val="clear" w:color="auto" w:fill="CCEEFF"/>
          </w:tcPr>
          <w:p>
            <w:pPr>
              <w:jc w:val="right"/>
              <w:ind w:right="141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612</w:t>
            </w:r>
          </w:p>
        </w:tc>
        <w:tc>
          <w:tcPr>
            <w:tcW w:w="52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4,063</w:t>
            </w:r>
          </w:p>
        </w:tc>
        <w:tc>
          <w:tcPr>
            <w:tcW w:w="5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1,746</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March 31, 2022</w:t>
            </w:r>
          </w:p>
        </w:tc>
        <w:tc>
          <w:tcPr>
            <w:tcW w:w="3160" w:type="dxa"/>
            <w:vAlign w:val="bottom"/>
          </w:tcPr>
          <w:p>
            <w:pPr>
              <w:spacing w:after="0"/>
              <w:rPr>
                <w:sz w:val="18"/>
                <w:szCs w:val="18"/>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417</w:t>
            </w:r>
          </w:p>
        </w:tc>
        <w:tc>
          <w:tcPr>
            <w:tcW w:w="520" w:type="dxa"/>
            <w:vAlign w:val="bottom"/>
          </w:tcPr>
          <w:p>
            <w:pPr>
              <w:spacing w:after="0"/>
              <w:rPr>
                <w:sz w:val="18"/>
                <w:szCs w:val="18"/>
                <w:color w:val="auto"/>
              </w:rPr>
            </w:pPr>
          </w:p>
        </w:tc>
        <w:tc>
          <w:tcPr>
            <w:tcW w:w="1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3,897</w:t>
            </w:r>
          </w:p>
        </w:tc>
        <w:tc>
          <w:tcPr>
            <w:tcW w:w="5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1,557</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2021</w:t>
            </w:r>
          </w:p>
        </w:tc>
        <w:tc>
          <w:tcPr>
            <w:tcW w:w="3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1,076</w:t>
            </w:r>
          </w:p>
        </w:tc>
        <w:tc>
          <w:tcPr>
            <w:tcW w:w="5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4,017</w:t>
            </w:r>
          </w:p>
        </w:tc>
        <w:tc>
          <w:tcPr>
            <w:tcW w:w="5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1,539</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September 30, 2021</w:t>
            </w:r>
          </w:p>
        </w:tc>
        <w:tc>
          <w:tcPr>
            <w:tcW w:w="3160" w:type="dxa"/>
            <w:vAlign w:val="bottom"/>
          </w:tcPr>
          <w:p>
            <w:pPr>
              <w:spacing w:after="0"/>
              <w:rPr>
                <w:sz w:val="18"/>
                <w:szCs w:val="18"/>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395</w:t>
            </w:r>
          </w:p>
        </w:tc>
        <w:tc>
          <w:tcPr>
            <w:tcW w:w="520" w:type="dxa"/>
            <w:vAlign w:val="bottom"/>
          </w:tcPr>
          <w:p>
            <w:pPr>
              <w:spacing w:after="0"/>
              <w:rPr>
                <w:sz w:val="18"/>
                <w:szCs w:val="18"/>
                <w:color w:val="auto"/>
              </w:rPr>
            </w:pPr>
          </w:p>
        </w:tc>
        <w:tc>
          <w:tcPr>
            <w:tcW w:w="1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3,433</w:t>
            </w:r>
          </w:p>
        </w:tc>
        <w:tc>
          <w:tcPr>
            <w:tcW w:w="5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30, 2021</w:t>
            </w:r>
          </w:p>
        </w:tc>
        <w:tc>
          <w:tcPr>
            <w:tcW w:w="3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596</w:t>
            </w:r>
          </w:p>
        </w:tc>
        <w:tc>
          <w:tcPr>
            <w:tcW w:w="5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3,530</w:t>
            </w:r>
          </w:p>
        </w:tc>
        <w:tc>
          <w:tcPr>
            <w:tcW w:w="5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first quarter of 2022, we reduced our total backlog by $55.7 million in order to reflect the sale of certain Gas product lines to Dresser, effective February 28,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Information</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280" w:type="dxa"/>
            <w:vAlign w:val="bottom"/>
            <w:tcBorders>
              <w:bottom w:val="single" w:sz="8" w:color="auto"/>
            </w:tcBorders>
          </w:tcPr>
          <w:p>
            <w:pPr>
              <w:spacing w:after="0"/>
              <w:rPr>
                <w:sz w:val="18"/>
                <w:szCs w:val="18"/>
                <w:color w:val="auto"/>
              </w:rPr>
            </w:pPr>
          </w:p>
        </w:tc>
      </w:tr>
      <w:tr>
        <w:trPr>
          <w:trHeight w:val="214"/>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21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22,656</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122,680</w:t>
            </w: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47,015</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(14,515)</w:t>
            </w: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(20,076)</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(108,144)</w:t>
            </w:r>
          </w:p>
        </w:tc>
      </w:tr>
      <w:tr>
        <w:trPr>
          <w:trHeight w:val="213"/>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foreign exchange rate changes on cash and cash equivalents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(3,674)</w:t>
            </w: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w:t>
            </w:r>
          </w:p>
        </w:tc>
      </w:tr>
      <w:tr>
        <w:trPr>
          <w:trHeight w:val="234"/>
        </w:trPr>
        <w:tc>
          <w:tcPr>
            <w:tcW w:w="6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Increase in cash and cash equivalents</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45,921</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and cash equivalents were $208.5 million at June 30, 2022, compared with $162.6 million at December 31, 2021. The $45.9 million increase in cash and cash equivalents in the 2022 period was primarily the result of proceeds from the sale of our Gas device businesses and operations to Dresser and cash flow from operating activities, offset by cash paid for shares repurchased and acquisition of property, plant, and equipment.</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Cash provided by operating activities during the six months in 2022 was $22.7 million compared with $122.7 million during the same period in 2021. The decrease was primarily due to lower earnings and higher variable compensation payouts in 2022.</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Cash provided in investing activities during the six months in 2022 was $61.5 million higher than in 2021. This increase of cash was primarily related to proceeds received from the sale of our Gas device businesses and operations to Dresser for</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$55.9 million, offset by $9.8 million less in purchases of property, plant, and equipment in 2022 compared with the same period in 2021.</w:t>
      </w:r>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Net cash used in financing activities during the six months in 2022 was $20.1 million, compared with net cash provided by of $108.1 million for the same period in 2021. In March 2021, we received $389.4 million from issuance of common stock related to the equity offering, after deducting underwriters' discounts of the offering, purchased $84.1 million of the convertible note hedge contracts, and proceeds of $45.3 million from the sale of warrants. Also in March 2021, we entered into the convertible senior notes with gross proceeds of $460 million, which was used to pay off the outstanding term loan balance. In April 2021, we repaid the senior subordinated notes totaling $410 million (including $10 million early repayment premium) with proceeds from the equity offering and cash on hand. For the six months ended June 30, 2022, we repurchased shares totaling $17.0 million.</w:t>
      </w:r>
    </w:p>
    <w:p>
      <w:pPr>
        <w:spacing w:after="0" w:line="2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Effect of exchange rates on cash and cash equivalents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effect of exchange rates on the cash balances of currencies held in foreign denominations at June 30, 2022 was a decrease of $3.7 million, compared with a increase of $0.2 million for the same period in 2021. Our foreign currency exposure relates to non-U.S. dollar denominated balances in our international subsidiary operations.</w:t>
      </w: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Free cash flow (Non-GAAP)</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supplement our Consolidated Statements of Cash Flows presented on a GAAP basis, we use the non-GAAP measure of free cash flow to analyze cash flows generated from our operations. The presentation of non-GAAP free cash flow is not meant to be considered in isolation or as an alternative to net income (loss) as an indicator of our performance, or as an alternative to cash flows from operating activities as a measure of liquidity. We calculate free cash flows, using amounts from our Consolidated Statements of Cash Flows, as follows: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280" w:type="dxa"/>
            <w:vAlign w:val="bottom"/>
            <w:tcBorders>
              <w:bottom w:val="single" w:sz="8" w:color="auto"/>
            </w:tcBorders>
          </w:tcPr>
          <w:p>
            <w:pPr>
              <w:spacing w:after="0"/>
              <w:rPr>
                <w:sz w:val="18"/>
                <w:szCs w:val="18"/>
                <w:color w:val="auto"/>
              </w:rPr>
            </w:pPr>
          </w:p>
        </w:tc>
      </w:tr>
      <w:tr>
        <w:trPr>
          <w:trHeight w:val="214"/>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21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center"/>
              <w:ind w:left="1019"/>
              <w:spacing w:after="0"/>
              <w:rPr>
                <w:sz w:val="20"/>
                <w:szCs w:val="20"/>
                <w:color w:val="auto"/>
              </w:rPr>
            </w:pPr>
            <w:r>
              <w:rPr>
                <w:rFonts w:ascii="Times New Roman" w:cs="Times New Roman" w:eastAsia="Times New Roman" w:hAnsi="Times New Roman"/>
                <w:sz w:val="16"/>
                <w:szCs w:val="16"/>
                <w:color w:val="auto"/>
                <w:w w:val="99"/>
              </w:rPr>
              <w:t>22,656</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122,680</w:t>
            </w:r>
          </w:p>
        </w:tc>
      </w:tr>
      <w:tr>
        <w:trPr>
          <w:trHeight w:val="213"/>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Acquisitions of property, plant, and equipment</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ind w:left="979"/>
              <w:spacing w:after="0"/>
              <w:rPr>
                <w:sz w:val="20"/>
                <w:szCs w:val="20"/>
                <w:color w:val="auto"/>
              </w:rPr>
            </w:pPr>
            <w:r>
              <w:rPr>
                <w:rFonts w:ascii="Times New Roman" w:cs="Times New Roman" w:eastAsia="Times New Roman" w:hAnsi="Times New Roman"/>
                <w:sz w:val="16"/>
                <w:szCs w:val="16"/>
                <w:color w:val="auto"/>
              </w:rPr>
              <w:t>(10,663)</w:t>
            </w: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(20,476)</w:t>
            </w:r>
          </w:p>
        </w:tc>
      </w:tr>
      <w:tr>
        <w:trPr>
          <w:trHeight w:val="237"/>
        </w:trPr>
        <w:tc>
          <w:tcPr>
            <w:tcW w:w="6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Free cash flow</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center"/>
              <w:ind w:left="1019"/>
              <w:spacing w:after="0"/>
              <w:rPr>
                <w:sz w:val="20"/>
                <w:szCs w:val="20"/>
                <w:color w:val="auto"/>
              </w:rPr>
            </w:pPr>
            <w:r>
              <w:rPr>
                <w:rFonts w:ascii="Times New Roman" w:cs="Times New Roman" w:eastAsia="Times New Roman" w:hAnsi="Times New Roman"/>
                <w:sz w:val="16"/>
                <w:szCs w:val="16"/>
                <w:color w:val="auto"/>
                <w:w w:val="99"/>
              </w:rPr>
              <w:t>11,993</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102,204</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Free cash flow fluctuated primarily as a result of changes in cash provided by operating activities. See the cash flow discussion of operating activities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 off-balance sheet financing agreements or guarantees as defined by Item 303 of Regulation S-K at June 30, 2022 and December 31, 2021 that we believe could reasonably likely have a current or future effect on our financial condition, results of operations, or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principal sources of liquidity are cash flows from operations, borrowings, and the sale of our common stock. Cash flows may fluctuate and are sensitive to many factors including changes in working capital and the timing and magnitude of capital expenditures and payments of debt. Working capital, which represents current assets less current liabilities, continues to be in a net favorable position. We expect existing cash, cash flows from operations, and access to capital markets to continue to be sufficient to fund our operating activities and cash commitments, such as material capital expenditures and debt obligations, for at least the next 12 months and into the foreseeable future.</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Borrowings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October 18, 2019 we amended our credit facility that was initially entered on January 5, 2018 (together with the amendment, the "2018 credit facility"). The 2018 credit facility provides for committed credit facilities in the amount of $1.2 billion U.S. dollars. The 2018 credit facility consists of a $650 million U.S. dollar term loan (the term loan) and a multicurrency revolving line of credit (the revolver) with a principal amount of up to $500 million. The revolver also contains a $300 million standby letter of credit sub-facility and a $50 million swingline sub-facility. The October 18, 2019, amendment extended the maturity date to October 18, 2024. At June 30, 2022, no amount was outstanding under the 2018 credit facility, and $64.7 million was utilized by outstanding standby letters of credit, resulting in $435.3 million available for borrowing or standby letters of credit under the revolver. At June 30, 2022, $235.3 million was available for additional standby letters of</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credit under the letter of credit sub-facility, and no amounts were outstanding under the swingline sub-facility. Amounts borrowed under the revolver may be repaid and reborrowed until the revolver's maturity on October 18, 2024, at which time all outstanding loans together with all accrued and unpaid interest must be repaid.</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12, 2021, we closed the sale of $460 million in Convertible Notes in a private placement to qualified institutional buyers. The Convertible Notes do not bear regular interest, and the principal amount does not accrete. The Convertible Notes will mature on March 15, 2026, unless earlier repurchased, redeemed, or converted in accordance with their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description of our borrowings, refer to Item 1: Financial Statements (Unaudited), Note 6: Debt included in this Quarterly Report on Form 10-Q.</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description of our letters of credit and performance bonds, and the amounts available for additional borrowings or letters of credit under our lines of credit, including the revolver that is part of our credit facility, refer to Item 1: Financial Statements (Unaudited), Note 11: Commitments and Contingencies included in this Quarterly Report on Form 10-Q.</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2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On September 17, 2020, our Board of Directors approved a restructuring plan (the 2020 Projects). The 2020 Projects include activities that continue our efforts to optimize its global supply chain and manufacturing operations, sales and marketing organizations, and other overhead. These projects are scheduled to be substantially complete by the end of 2022, with an estimated $13 million in cash payments remaining as of June 30, 2022.</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29, 2021, our Board of Directors approved a restructuring plan (the 2021 Projects), which in conjunction with the announcement of the sale of certain of our Gas device manufacturing operations, (refer to Item 1: Financial Statements (Unaudited), Note 17: Sale of Business), includes activities to drive reductions in certain locations and functional support areas. These projects are expected to be substantially complete by the end of 2024, with an estimated $39 million in cash payments remaining as of June 30, 2022.</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2022, we paid out a net $11.0 million related to all our restructuring projects. As of June 30, 2022, $60.3 million was accrued for these restructuring projects, of which $20.6 million is expected to be paid within the next 12 months.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details regarding our restructuring activities, refer to Item 1: Financial Statements (Unaudited), Note 12: Restructuring included in this Quarterly Report on Form 10-Q.</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Stock Repurchase Authorization</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Effective November 1, 2021, Itron's Board of Directors authorized a share repurchase program of up to $100 million of our common stock over an 18-month period (the 2021 Stock Repurchase Program). Repurchases are made in the open market or in privately negotiated transactions, and in accordance with applicable securities laws. Following the announcement of the program and through June 30, 2022, we repurchased 405,282 shares at an average share price of $61.67 (excluding commissions) for a total of $25 million. As of June 30, 2022, we are authorized to repurchase up to an additional $75 million of our common stock before May 1, 2023.</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Liquidity Considerations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tax credits and net operating loss carryforwards in various jurisdictions that are available to reduce cash taxes. However, utilization of tax credits and net operating losses are limited in certain jurisdictions. Based on current projections, we expect to pay, net of refunds, approximately $6.5 million in U.S federal taxes, $4 million in state taxes, and $5 million in local and foreign taxes during 2022. For a discussion of our tax provision and unrecognized tax benefits, see Item 1: Financial Statements (Unaudited), Note 10: Income Taxes included in this Quarterly Report on Form 10-Q.</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2022, we are under examination by certain tax authorities. We believe we have appropriately accrued for the expected outcome of all tax matters and do not currently anticipate that the ultimate resolution of these examinations will have a material adverse effect on our financial condition, future results of operations, or liquidity.</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2022, there was $42.5 million of cash and short-term investments held by certain foreign subsidiaries in which we are permanently reinvested for tax purposes. As a result of recent changes in U.S. tax legislation, any repatriation in the future would not result in U.S. federal income tax. Accordingly, there is no provision for U.S. deferred taxes on this cash. If this cash were repatriated to fund U.S. operations, additional withholding tax costs may be incurred. Tax is only one of the many factors that we consider in the management of global cash. Accordingly, the amount of taxes that we would need to accrue and pay to repatriate foreign cash could vary significantly.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several of our consolidated international subsidiaries, we have joint venture partners, who are minority shareholders. Although these entities are not wholly-owned by Itron, Inc., we consolidate them because we have a greater than 50% ownership interest and/or because we exercise control over the operations. The noncontrolling interest balance in our Consolidated Balance Sheets represents the proportional share of the equity of the joint venture entities, which is attributable to the minority shareholders. At June 30, 2022, $7.6 million of our consolidated cash balance was held in our joint venture entities. As a result, the minority shareholders of these entities have rights to their proportional share of this cash balance, and there may be limitations on our ability to repatriate cash to the United States from these entities.</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General Liquidity Overview</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Notwithstanding the expected short to mid-term impacts of the COVID-19 related supply shortages, we expect to grow through a combination of internal new research and development, licensing technology from and to others, distribution agreements, partnering arrangements, and acquisitions of technology or other companies. We expect these activities to be funded with existing cash, cash flow from operations, borrowings, or the sale of our common stock or other securities. We believe existing sources of liquidity will be sufficient to fund our existing operations and obligations for the next 12 months and into the foreseeable future, but offer no assurances. Our liquidity could be affected by the stability of the electricity, gas, and water utility industries, competitive pressures, </w:t>
      </w:r>
      <w:r>
        <w:rPr>
          <w:rFonts w:ascii="Times New Roman" w:cs="Times New Roman" w:eastAsia="Times New Roman" w:hAnsi="Times New Roman"/>
          <w:sz w:val="18"/>
          <w:szCs w:val="18"/>
          <w:color w:val="222222"/>
        </w:rPr>
        <w:t>our dependence on certain key vendors and components,</w:t>
      </w:r>
      <w:r>
        <w:rPr>
          <w:rFonts w:ascii="Times New Roman" w:cs="Times New Roman" w:eastAsia="Times New Roman" w:hAnsi="Times New Roman"/>
          <w:sz w:val="18"/>
          <w:szCs w:val="18"/>
          <w:color w:val="auto"/>
        </w:rPr>
        <w:t xml:space="preserve"> changes in estimated liabilities for product warranties and/or litigation, duration of the COVID-19 pandemic and resulting supply constraints, future business combinations, capital market fluctuations, international risks, and other factors described under Risk Factors within Item 1A of Part I of our 2021 Annual Report, as well as Quantitative and Qualitative Disclosures About Market Risk within Item 3 of Part I included in this Quarterly Report on Form 10-Q.</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Item 1: Financial Statements (Unaudited), Note 11: Commitments and Contingencies included in this Quarterly Report on Form 10-Q.</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 and Policies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and accompanying notes are prepared in accordance with GAAP. Preparing consolidated financial statements requires management to make estimates and assumptions that affect the reported amounts of assets, liabilities, revenues, and expenses. These estimates and assumptions are affected by management's application of accounting policies. Our critical accounting policies that require the use of estimates and assumptions were discussed in detail in the 2021 Annual Report and have not changed materially.</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 to Item 1: Financial Statements (Unaudited), Note 1: Summary of Significant Accounting Policies included in this Quarterly Report on Form 10-Q for further disclosures regarding new accounting pronouncements.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supplement our consolidated financial statements, which are prepared in accordance with GAAP, we use certain non-GAAP financial measures, including non-GAAP operating expense, non-GAAP operating income, non-GAAP net income, non-GAAP diluted EPS, adjusted EBITDA, free cash flow, and constant currency. The presentation of this financial information is not intended to be considered in isolation or as a substitute for, or superior to, the financial information prepared and presented in accordance with GAAP, and other companies may define such measures differently. For a reconciliation of each non-GAAP measure to the most comparable financial measure prepared and presented in accordance with GAAP, please see the table captioned Reconciliations of Non-GAAP Financial Measures to the Most Directly Comparable GAAP Financial Measures.</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use these non-GAAP financial measures for financial and operational decision making and/or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Our executive compensation plans exclude non-cash charges related to amortization of intangibles and certain discrete cash and non-cash charges, such as acquisition and integration related expenses, loss on sale of business, strategic initiative expenses, goodwill impairment, or restructuring charges.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Non-GAAP operating expenses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non-GAAP operating income </w:t>
      </w:r>
      <w:r>
        <w:rPr>
          <w:rFonts w:ascii="Times New Roman" w:cs="Times New Roman" w:eastAsia="Times New Roman" w:hAnsi="Times New Roman"/>
          <w:sz w:val="18"/>
          <w:szCs w:val="18"/>
          <w:color w:val="auto"/>
        </w:rPr>
        <w:t>– We define non-GAAP operating expenses as operating expenses excluding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related to the amortization of intangible assets, restructuring, loss on sale of business, strategic initiative, goodwill impairment, and acquisition and integration. We define non-GAAP operating income as operating income excluding the expenses related to the amortization of intangible assets, restructuring, loss on sale of business, strategic initiative, goodwill impairment, and acquisition and integration. Acquisition and integration related expenses include costs, which are incurred to affect and integrate business combinations, such as professional fees, certain employee retention and salaries related to integration, severances, contract terminations, travel costs related to knowledge transfer, system conversion costs, and asset impairment charges. We consider these non-GAAP financial measures to be useful metrics for management and investors because they exclude the effect of expenses that are related to acquisitions and restructuring projects.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expenses and non-GAAP operating income versus operating expenses and operating income calculated in accordance with GAAP. We compensate for these limitations by providing specific information about the GAAP amounts excluded from non-GAAP operating expense and non-GAAP operating income and evaluating non-GAAP operating expense and non-GAAP operating income together with GAAP operating expense and operating income.</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Non-GAAP net income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non-GAAP diluted EPS </w:t>
      </w:r>
      <w:r>
        <w:rPr>
          <w:rFonts w:ascii="Times New Roman" w:cs="Times New Roman" w:eastAsia="Times New Roman" w:hAnsi="Times New Roman"/>
          <w:sz w:val="18"/>
          <w:szCs w:val="18"/>
          <w:color w:val="auto"/>
        </w:rPr>
        <w:t>– We define non-GAAP net income as net income (loss) attributable to Itron, Inc. excluding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associated with amortization of intangible assets, amortization of debt placement fees, debt extinguishment, restructuring, loss on sale of business, strategic initiative, acquisition and integration, goodwill impairment, and the tax effect of excluding these expenses. We define non-GAAP diluted EPS as non-GAAP net income divided by diluted weighted-average shares outstanding during the period calculated on a GAAP basis and then reduced to reflect the anti-dilutive impact of the convertible note hedge transaction entered into in connection with the 0% Convertible Notes due 2026 issued in March 2021.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attributable to Itron, Inc. and GAAP diluted EPS.</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interim periods the budgeted annual effective tax rate (AETR) is used, adjusted for any discrete items, as defined in Accounting Standards Codification (ASC) 740 - Income Taxes. The budgeted AETR is determined at the beginning of the fiscal year. The AETR is revised throughout the year based on changes to our full-year forecast. If the revised AETR increases or decreases by 200 basis points or more from the budgeted AETR due to changes in the full-year forecast during the year, the revised AETR is used in place of the budgeted AETR beginning with the quarter the 200 basis point threshold is exceeded and going forward for all subsequent interim quarters in the year. We continue to assess the AETR based on latest forecast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throughout the year and use the most recent AETR anytime it increases or decreases by 200 basis points or more from the prior interim period.</w:t>
      </w:r>
    </w:p>
    <w:p>
      <w:pPr>
        <w:spacing w:after="0" w:line="2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 We define adjusted EBITDA as net income (loss) (a) minus interest income, (b) plus interest expense, depreciation and amortization,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extinguishment, restructuring, loss on sale of business, strategic initiative, goodwill impairment, acquisition and integration, and (c) excluding income tax provision or benefit.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 (loss).</w:t>
      </w:r>
    </w:p>
    <w:p>
      <w:pPr>
        <w:spacing w:after="0" w:line="21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Free cash flow </w:t>
      </w:r>
      <w:r>
        <w:rPr>
          <w:rFonts w:ascii="Times New Roman" w:cs="Times New Roman" w:eastAsia="Times New Roman" w:hAnsi="Times New Roman"/>
          <w:sz w:val="18"/>
          <w:szCs w:val="18"/>
          <w:color w:val="auto"/>
        </w:rPr>
        <w:t>– We define free cash flow as net cash provided by operating activities less cash used for acquisitions of property, plant and equipment.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and reconciling to free cash flow.</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Constant currency </w:t>
      </w:r>
      <w:r>
        <w:rPr>
          <w:rFonts w:ascii="Times New Roman" w:cs="Times New Roman" w:eastAsia="Times New Roman" w:hAnsi="Times New Roman"/>
          <w:sz w:val="18"/>
          <w:szCs w:val="18"/>
          <w:color w:val="auto"/>
        </w:rPr>
        <w:t>– We refer to the impact of foreign currency exchange rate fluctuations in our discussions of financial results, which references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differences between the foreign currency exchange rates used to translate operating results from the entity's functional currency into U.S. dollars for financial reporting purposes. We also use the term "constant currency", which represents financial results adjusted to exclude changes in foreign currency exchange rates as compared with the rates in the comparable prior year period. We calculate the constant currency change as the difference between the current period results and the comparable prior period's results restated using current period foreign currency exchange rates.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 of Non-GAAP Financial Measures to the Most Directly Comparable GAAP Financial Measures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tables below reconcile the non-GAAP financial measures of operating expenses, operating income, net income, diluted EPS, adjusted EBITDA, and free cash flow with the most directly comparable GAAP financial measures.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COMPANY RECONCILIATIONS</w:t>
            </w:r>
          </w:p>
        </w:tc>
        <w:tc>
          <w:tcPr>
            <w:tcW w:w="320" w:type="dxa"/>
            <w:vAlign w:val="bottom"/>
          </w:tcPr>
          <w:p>
            <w:pPr>
              <w:spacing w:after="0"/>
              <w:rPr>
                <w:sz w:val="18"/>
                <w:szCs w:val="18"/>
                <w:color w:val="auto"/>
              </w:rPr>
            </w:pPr>
          </w:p>
        </w:tc>
        <w:tc>
          <w:tcPr>
            <w:tcW w:w="300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60" w:type="dxa"/>
            <w:vAlign w:val="bottom"/>
          </w:tcPr>
          <w:p>
            <w:pPr>
              <w:spacing w:after="0"/>
              <w:rPr>
                <w:sz w:val="18"/>
                <w:szCs w:val="18"/>
                <w:color w:val="auto"/>
              </w:rPr>
            </w:pPr>
          </w:p>
        </w:tc>
        <w:tc>
          <w:tcPr>
            <w:tcW w:w="2880" w:type="dxa"/>
            <w:vAlign w:val="bottom"/>
            <w:gridSpan w:val="4"/>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3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OPERATING EXPENSES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00" w:type="dxa"/>
            <w:vAlign w:val="bottom"/>
            <w:shd w:val="clear" w:color="auto" w:fill="CCEEFF"/>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GAAP operating expenses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159,632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156,807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288,037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292,911</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(17,970)</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Restructuring</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1,788</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on sale of business</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(26,103)</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Strategic initiative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Goodwill impairment</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(38,480)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 and integration</w:t>
            </w: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Non-GAAP operating expenses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117,068</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123,016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243,003</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251,112</w:t>
            </w:r>
          </w:p>
        </w:tc>
        <w:tc>
          <w:tcPr>
            <w:tcW w:w="0" w:type="dxa"/>
            <w:vAlign w:val="bottom"/>
          </w:tcPr>
          <w:p>
            <w:pPr>
              <w:spacing w:after="0"/>
              <w:rPr>
                <w:sz w:val="1"/>
                <w:szCs w:val="1"/>
                <w:color w:val="auto"/>
              </w:rPr>
            </w:pPr>
          </w:p>
        </w:tc>
      </w:tr>
      <w:tr>
        <w:trPr>
          <w:trHeight w:val="20"/>
        </w:trPr>
        <w:tc>
          <w:tcPr>
            <w:tcW w:w="100" w:type="dxa"/>
            <w:vAlign w:val="bottom"/>
            <w:tcBorders>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00" w:type="dxa"/>
            <w:vAlign w:val="bottom"/>
            <w:shd w:val="clear" w:color="auto" w:fill="CCEEFF"/>
          </w:tcPr>
          <w:p>
            <w:pPr>
              <w:spacing w:after="0"/>
              <w:rPr>
                <w:sz w:val="6"/>
                <w:szCs w:val="6"/>
                <w:color w:val="auto"/>
              </w:rPr>
            </w:pPr>
          </w:p>
        </w:tc>
        <w:tc>
          <w:tcPr>
            <w:tcW w:w="45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OPERATING INCOME</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00" w:type="dxa"/>
            <w:vAlign w:val="bottom"/>
            <w:shd w:val="clear" w:color="auto" w:fill="CCEEFF"/>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GAAP operating income (loss)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(33,527)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(26,708)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24,008</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17,970</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Restructuring</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(1,788)</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on sale of business</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26,103</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Strategic initiative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Goodwill impairment</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38,480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 and integration</w:t>
            </w: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Non-GAAP operating income</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9,037</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26,859</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18,326</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65,807</w:t>
            </w:r>
          </w:p>
        </w:tc>
        <w:tc>
          <w:tcPr>
            <w:tcW w:w="0" w:type="dxa"/>
            <w:vAlign w:val="bottom"/>
          </w:tcPr>
          <w:p>
            <w:pPr>
              <w:spacing w:after="0"/>
              <w:rPr>
                <w:sz w:val="1"/>
                <w:szCs w:val="1"/>
                <w:color w:val="auto"/>
              </w:rPr>
            </w:pPr>
          </w:p>
        </w:tc>
      </w:tr>
      <w:tr>
        <w:trPr>
          <w:trHeight w:val="20"/>
        </w:trPr>
        <w:tc>
          <w:tcPr>
            <w:tcW w:w="100" w:type="dxa"/>
            <w:vAlign w:val="bottom"/>
            <w:tcBorders>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00" w:type="dxa"/>
            <w:vAlign w:val="bottom"/>
            <w:shd w:val="clear" w:color="auto" w:fill="CCEEFF"/>
          </w:tcPr>
          <w:p>
            <w:pPr>
              <w:spacing w:after="0"/>
              <w:rPr>
                <w:sz w:val="6"/>
                <w:szCs w:val="6"/>
                <w:color w:val="auto"/>
              </w:rPr>
            </w:pPr>
          </w:p>
        </w:tc>
        <w:tc>
          <w:tcPr>
            <w:tcW w:w="45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NET INCOME &amp; DILUTED EPS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00" w:type="dxa"/>
            <w:vAlign w:val="bottom"/>
            <w:shd w:val="clear" w:color="auto" w:fill="CCEEFF"/>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GAAP net loss attributable to Itron, Inc.</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(36,967)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(33,123)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(36,061)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(20,520)</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17,970</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debt placement fees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15,347</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Debt extinguishment</w:t>
            </w: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11,681</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Restructuring</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(1,788)</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on sale of business</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26,103</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Strategic initiative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Acquisition and integration</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0" w:type="dxa"/>
            <w:vAlign w:val="bottom"/>
          </w:tcPr>
          <w:p>
            <w:pPr>
              <w:spacing w:after="0"/>
              <w:rPr>
                <w:sz w:val="1"/>
                <w:szCs w:val="1"/>
                <w:color w:val="auto"/>
              </w:rPr>
            </w:pPr>
          </w:p>
        </w:tc>
      </w:tr>
      <w:tr>
        <w:trPr>
          <w:trHeight w:val="232"/>
        </w:trPr>
        <w:tc>
          <w:tcPr>
            <w:tcW w:w="100" w:type="dxa"/>
            <w:vAlign w:val="bottom"/>
            <w:shd w:val="clear" w:color="auto" w:fill="CCEEFF"/>
          </w:tcPr>
          <w:p>
            <w:pPr>
              <w:spacing w:after="0"/>
              <w:rPr>
                <w:sz w:val="20"/>
                <w:szCs w:val="20"/>
                <w:color w:val="auto"/>
              </w:rPr>
            </w:pPr>
          </w:p>
        </w:tc>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Goodwill impairment</w:t>
            </w: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38,480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38,480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100" w:type="dxa"/>
            <w:vAlign w:val="bottom"/>
            <w:tcBorders>
              <w:bottom w:val="single" w:sz="8" w:color="CCEEFF"/>
            </w:tcBorders>
          </w:tcPr>
          <w:p>
            <w:pPr>
              <w:spacing w:after="0"/>
              <w:rPr>
                <w:sz w:val="18"/>
                <w:szCs w:val="18"/>
                <w:color w:val="auto"/>
              </w:rPr>
            </w:pPr>
          </w:p>
        </w:tc>
        <w:tc>
          <w:tcPr>
            <w:tcW w:w="45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Income tax effect of non-GAAP adjustments</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(10,719)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(13,716)</w:t>
            </w:r>
          </w:p>
        </w:tc>
        <w:tc>
          <w:tcPr>
            <w:tcW w:w="0" w:type="dxa"/>
            <w:vAlign w:val="bottom"/>
          </w:tcPr>
          <w:p>
            <w:pPr>
              <w:spacing w:after="0"/>
              <w:rPr>
                <w:sz w:val="1"/>
                <w:szCs w:val="1"/>
                <w:color w:val="auto"/>
              </w:rPr>
            </w:pPr>
          </w:p>
        </w:tc>
      </w:tr>
      <w:tr>
        <w:trPr>
          <w:trHeight w:val="237"/>
        </w:trPr>
        <w:tc>
          <w:tcPr>
            <w:tcW w:w="100" w:type="dxa"/>
            <w:vAlign w:val="bottom"/>
            <w:tcBorders>
              <w:bottom w:val="single" w:sz="8" w:color="CCEEFF"/>
            </w:tcBorders>
            <w:shd w:val="clear" w:color="auto" w:fill="CCEEFF"/>
          </w:tcPr>
          <w:p>
            <w:pPr>
              <w:spacing w:after="0"/>
              <w:rPr>
                <w:sz w:val="20"/>
                <w:szCs w:val="20"/>
                <w:color w:val="auto"/>
              </w:rPr>
            </w:pPr>
          </w:p>
        </w:tc>
        <w:tc>
          <w:tcPr>
            <w:tcW w:w="45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Non-GAAP net income attributable to Itron, Inc.</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34,591</w:t>
            </w: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100" w:type="dxa"/>
            <w:vAlign w:val="bottom"/>
          </w:tcPr>
          <w:p>
            <w:pPr>
              <w:spacing w:after="0"/>
              <w:rPr>
                <w:sz w:val="4"/>
                <w:szCs w:val="4"/>
                <w:color w:val="auto"/>
              </w:rPr>
            </w:pPr>
          </w:p>
        </w:tc>
        <w:tc>
          <w:tcPr>
            <w:tcW w:w="4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100" w:type="dxa"/>
            <w:vAlign w:val="bottom"/>
            <w:tcBorders>
              <w:bottom w:val="single" w:sz="8" w:color="CCEEFF"/>
            </w:tcBorders>
            <w:shd w:val="clear" w:color="auto" w:fill="CCEEFF"/>
          </w:tcPr>
          <w:p>
            <w:pPr>
              <w:spacing w:after="0"/>
              <w:rPr>
                <w:sz w:val="20"/>
                <w:szCs w:val="20"/>
                <w:color w:val="auto"/>
              </w:rPr>
            </w:pPr>
          </w:p>
        </w:tc>
        <w:tc>
          <w:tcPr>
            <w:tcW w:w="45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Non-GAAP diluted EPS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0.79</w:t>
            </w: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100" w:type="dxa"/>
            <w:vAlign w:val="bottom"/>
          </w:tcPr>
          <w:p>
            <w:pPr>
              <w:spacing w:after="0"/>
              <w:rPr>
                <w:sz w:val="4"/>
                <w:szCs w:val="4"/>
                <w:color w:val="auto"/>
              </w:rPr>
            </w:pPr>
          </w:p>
        </w:tc>
        <w:tc>
          <w:tcPr>
            <w:tcW w:w="4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CCEEFF"/>
          </w:tcPr>
          <w:p>
            <w:pPr>
              <w:spacing w:after="0"/>
              <w:rPr>
                <w:sz w:val="14"/>
                <w:szCs w:val="14"/>
                <w:color w:val="auto"/>
              </w:rPr>
            </w:pPr>
          </w:p>
        </w:tc>
        <w:tc>
          <w:tcPr>
            <w:tcW w:w="458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6"/>
                <w:szCs w:val="16"/>
                <w:color w:val="auto"/>
              </w:rPr>
              <w:t>Non-GAAP weighted average common shares outstanding -</w:t>
            </w:r>
          </w:p>
        </w:tc>
        <w:tc>
          <w:tcPr>
            <w:tcW w:w="3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45,228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45,478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45,234</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43,731</w:t>
            </w:r>
          </w:p>
        </w:tc>
        <w:tc>
          <w:tcPr>
            <w:tcW w:w="0" w:type="dxa"/>
            <w:vAlign w:val="bottom"/>
          </w:tcPr>
          <w:p>
            <w:pPr>
              <w:spacing w:after="0"/>
              <w:rPr>
                <w:sz w:val="1"/>
                <w:szCs w:val="1"/>
                <w:color w:val="auto"/>
              </w:rPr>
            </w:pPr>
          </w:p>
        </w:tc>
      </w:tr>
      <w:tr>
        <w:trPr>
          <w:trHeight w:val="209"/>
        </w:trPr>
        <w:tc>
          <w:tcPr>
            <w:tcW w:w="100" w:type="dxa"/>
            <w:vAlign w:val="bottom"/>
            <w:tcBorders>
              <w:bottom w:val="single" w:sz="8" w:color="CCEEFF"/>
            </w:tcBorders>
            <w:shd w:val="clear" w:color="auto" w:fill="CCEEFF"/>
          </w:tcPr>
          <w:p>
            <w:pPr>
              <w:spacing w:after="0"/>
              <w:rPr>
                <w:sz w:val="18"/>
                <w:szCs w:val="18"/>
                <w:color w:val="auto"/>
              </w:rPr>
            </w:pPr>
          </w:p>
        </w:tc>
        <w:tc>
          <w:tcPr>
            <w:tcW w:w="45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Diluted</w:t>
            </w: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100" w:type="dxa"/>
            <w:vAlign w:val="bottom"/>
          </w:tcPr>
          <w:p>
            <w:pPr>
              <w:spacing w:after="0"/>
              <w:rPr>
                <w:sz w:val="4"/>
                <w:szCs w:val="4"/>
                <w:color w:val="auto"/>
              </w:rPr>
            </w:pPr>
          </w:p>
        </w:tc>
        <w:tc>
          <w:tcPr>
            <w:tcW w:w="4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GAAP net loss attributable to Itron, Inc.</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(36,967)</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(33,123)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(36,061)</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(20,520)</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income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24,479</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4,445</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Debt extinguishment</w:t>
            </w: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11,681</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33,251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42,919</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Restructuring</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(1,788)</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on sale of business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26,103</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Strategic initiative</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Goodwill impairment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38,480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00" w:type="dxa"/>
            <w:vAlign w:val="bottom"/>
            <w:tcBorders>
              <w:bottom w:val="single" w:sz="8" w:color="CCEEFF"/>
            </w:tcBorders>
          </w:tcPr>
          <w:p>
            <w:pPr>
              <w:spacing w:after="0"/>
              <w:rPr>
                <w:sz w:val="18"/>
                <w:szCs w:val="18"/>
                <w:color w:val="auto"/>
              </w:rPr>
            </w:pPr>
          </w:p>
        </w:tc>
        <w:tc>
          <w:tcPr>
            <w:tcW w:w="45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Acquisition and integration</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0" w:type="dxa"/>
            <w:vAlign w:val="bottom"/>
          </w:tcPr>
          <w:p>
            <w:pPr>
              <w:spacing w:after="0"/>
              <w:rPr>
                <w:sz w:val="1"/>
                <w:szCs w:val="1"/>
                <w:color w:val="auto"/>
              </w:rPr>
            </w:pPr>
          </w:p>
        </w:tc>
      </w:tr>
      <w:tr>
        <w:trPr>
          <w:trHeight w:val="237"/>
        </w:trPr>
        <w:tc>
          <w:tcPr>
            <w:tcW w:w="100" w:type="dxa"/>
            <w:vAlign w:val="bottom"/>
            <w:tcBorders>
              <w:bottom w:val="single" w:sz="8" w:color="CCEEFF"/>
            </w:tcBorders>
            <w:shd w:val="clear" w:color="auto" w:fill="CCEEFF"/>
          </w:tcPr>
          <w:p>
            <w:pPr>
              <w:spacing w:after="0"/>
              <w:rPr>
                <w:sz w:val="20"/>
                <w:szCs w:val="20"/>
                <w:color w:val="auto"/>
              </w:rPr>
            </w:pPr>
          </w:p>
        </w:tc>
        <w:tc>
          <w:tcPr>
            <w:tcW w:w="45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Adjusted EBITDA</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17,478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36,136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36,372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85,859</w:t>
            </w: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100" w:type="dxa"/>
            <w:vAlign w:val="bottom"/>
          </w:tcPr>
          <w:p>
            <w:pPr>
              <w:spacing w:after="0"/>
              <w:rPr>
                <w:sz w:val="4"/>
                <w:szCs w:val="4"/>
                <w:color w:val="auto"/>
              </w:rPr>
            </w:pPr>
          </w:p>
        </w:tc>
        <w:tc>
          <w:tcPr>
            <w:tcW w:w="4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FREE CASH FLOW</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15,065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72,725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22,656</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122,680</w:t>
            </w: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Acquisitions of property, plant, and equipment</w:t>
            </w: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(10,663)</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(20,476)</w:t>
            </w: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Free Cash Flow</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9,771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63,661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11,993</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102,204</w:t>
            </w: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0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001"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are exposed to interest rate and foreign currency exchange rate risks that could impact our financial position and results of operations. As part of our risk management strategy, we may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the fair values of assets and liabilities. We use derivative contracts only to manage existing underlying exposures. Accordingly, we do not use derivative contracts for trading or speculative purposes.</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We may be exposed to interest rate risk through our variable rate debt instruments. On August 12, 2021, the term loan under the credit facility was fully paid. At June 30, 2022, we had no outstanding variable rate debt.</w:t>
      </w:r>
    </w:p>
    <w:p>
      <w:pPr>
        <w:spacing w:after="0" w:line="2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continually monitor and assess our interest rate risk and may institute additional interest rate swaps or other derivative instruments to manage such risk in the future if we were to have variable rate debt outstanding.</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conduct business in a number of countries. Revenues denominated in functional currencies other than the U.S. dollar were 30% and 33% of total revenues for the three and six months ended June 30, 2022 compared with 40% for the same respective periods in 2021. These transactions expose our account balances to movements in foreign currency exchange rates that could have a material effect on our financial results. Our primary foreign currency exposure relates to non-U.S. dollar denominated transactions in our international subsidiary operations, the most significant of which is the euro.</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also exposed to foreign exchange risk when we enter into non-functional currency transactions, both intercompany and third-party. At each period-end, non-functional currency monetary assets and liabilities are revalued with the change recognized within other income (expense) in our Consolidated Statements of Operations. We enter into monthly foreign exchange forward contracts, which are not designated for hedge accounting, with the intent to reduce earnings volatility associated with currency exposures. As of June 30, 2022, a total of 36 contracts were offsetting our exposures from the euro, pound sterling, Indonesian rupiah, Canadian dollar, Australian dollar and various other currencies, with notional amounts ranging from $111,352 to $57.7 million. Based on a sensitivity analysis as of June 30, 2022, we estimate that, if foreign currency exchange rates average ten percentage points higher in 2022 for these financial instruments, our financial results in 2022 would not be materially impacted.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future periods, we may use additional derivative contracts to protect against foreign currency exchange rate risks.</w:t>
      </w:r>
    </w:p>
    <w:p>
      <w:pPr>
        <w:spacing w:after="0" w:line="24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our Company's 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as of June 30, 2022, the Company's disclosure controls and procedures were effective to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2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Changes in internal controls over financial reporting</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three months ended June 30, 2022 that materially affected, or are reasonably likely to materially affect, internal control over financial reporting.</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Item 1: Financial Statements (Unaudited), Note 11: Commitments and Contingencies included in this Quarterly Report on Form 10-Q.</w:t>
      </w:r>
    </w:p>
    <w:p>
      <w:pPr>
        <w:spacing w:after="0" w:line="24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a complete list of Risk Factors, refer to Part I, Item 1A: Risk Factors of our Annual Report on Form 10-K for the fiscal year ended December 31, 2021, which was filed with the Securities and Exchange Commission on February 28, 2022.</w:t>
      </w:r>
    </w:p>
    <w:p>
      <w:pPr>
        <w:spacing w:after="0" w:line="200" w:lineRule="exact"/>
        <w:rPr>
          <w:sz w:val="20"/>
          <w:szCs w:val="20"/>
          <w:color w:val="auto"/>
        </w:rPr>
      </w:pPr>
    </w:p>
    <w:p>
      <w:pPr>
        <w:spacing w:after="0" w:line="22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6"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52"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Repurchase of Equity Securities.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Maximum Dollar</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 as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Value of Shares that</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8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5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Average Price Paid</w:t>
            </w:r>
          </w:p>
        </w:tc>
        <w:tc>
          <w:tcPr>
            <w:tcW w:w="16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Part of Publicly</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w w:val="98"/>
              </w:rPr>
              <w:t>May Yet Be</w:t>
            </w:r>
          </w:p>
        </w:tc>
        <w:tc>
          <w:tcPr>
            <w:tcW w:w="0" w:type="dxa"/>
            <w:vAlign w:val="bottom"/>
          </w:tcPr>
          <w:p>
            <w:pPr>
              <w:spacing w:after="0"/>
              <w:rPr>
                <w:sz w:val="1"/>
                <w:szCs w:val="1"/>
                <w:color w:val="auto"/>
              </w:rPr>
            </w:pPr>
          </w:p>
        </w:tc>
      </w:tr>
      <w:tr>
        <w:trPr>
          <w:trHeight w:val="162"/>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820" w:type="dxa"/>
            <w:vAlign w:val="bottom"/>
            <w:gridSpan w:val="3"/>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6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Announced Plans or</w:t>
            </w:r>
          </w:p>
        </w:tc>
        <w:tc>
          <w:tcPr>
            <w:tcW w:w="100" w:type="dxa"/>
            <w:vAlign w:val="bottom"/>
          </w:tcPr>
          <w:p>
            <w:pPr>
              <w:spacing w:after="0"/>
              <w:rPr>
                <w:sz w:val="14"/>
                <w:szCs w:val="14"/>
                <w:color w:val="auto"/>
              </w:rPr>
            </w:pPr>
          </w:p>
        </w:tc>
        <w:tc>
          <w:tcPr>
            <w:tcW w:w="16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Under the</w:t>
            </w:r>
          </w:p>
        </w:tc>
        <w:tc>
          <w:tcPr>
            <w:tcW w:w="0" w:type="dxa"/>
            <w:vAlign w:val="bottom"/>
          </w:tcPr>
          <w:p>
            <w:pPr>
              <w:spacing w:after="0"/>
              <w:rPr>
                <w:sz w:val="1"/>
                <w:szCs w:val="1"/>
                <w:color w:val="auto"/>
              </w:rPr>
            </w:pPr>
          </w:p>
        </w:tc>
      </w:tr>
      <w:tr>
        <w:trPr>
          <w:trHeight w:val="216"/>
        </w:trPr>
        <w:tc>
          <w:tcPr>
            <w:tcW w:w="4540" w:type="dxa"/>
            <w:vAlign w:val="bottom"/>
            <w:vMerge w:val="continue"/>
          </w:tcPr>
          <w:p>
            <w:pPr>
              <w:spacing w:after="0"/>
              <w:rPr>
                <w:sz w:val="18"/>
                <w:szCs w:val="18"/>
                <w:color w:val="auto"/>
              </w:rPr>
            </w:pPr>
          </w:p>
        </w:tc>
        <w:tc>
          <w:tcPr>
            <w:tcW w:w="1820" w:type="dxa"/>
            <w:vAlign w:val="bottom"/>
            <w:gridSpan w:val="3"/>
          </w:tcPr>
          <w:p>
            <w:pPr>
              <w:ind w:left="10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Shares Purchased </w:t>
            </w:r>
            <w:r>
              <w:rPr>
                <w:rFonts w:ascii="Times New Roman" w:cs="Times New Roman" w:eastAsia="Times New Roman" w:hAnsi="Times New Roman"/>
                <w:sz w:val="21"/>
                <w:szCs w:val="21"/>
                <w:b w:val="1"/>
                <w:bCs w:val="1"/>
                <w:color w:val="auto"/>
                <w:vertAlign w:val="superscript"/>
              </w:rPr>
              <w:t>(1)</w:t>
            </w:r>
          </w:p>
        </w:tc>
        <w:tc>
          <w:tcPr>
            <w:tcW w:w="1580" w:type="dxa"/>
            <w:vAlign w:val="bottom"/>
            <w:gridSpan w:val="2"/>
          </w:tcPr>
          <w:p>
            <w:pPr>
              <w:jc w:val="center"/>
              <w:ind w:right="220"/>
              <w:spacing w:after="0" w:line="216" w:lineRule="exact"/>
              <w:rPr>
                <w:sz w:val="20"/>
                <w:szCs w:val="20"/>
                <w:color w:val="auto"/>
              </w:rPr>
            </w:pPr>
            <w:r>
              <w:rPr>
                <w:rFonts w:ascii="Times New Roman" w:cs="Times New Roman" w:eastAsia="Times New Roman" w:hAnsi="Times New Roman"/>
                <w:sz w:val="16"/>
                <w:szCs w:val="16"/>
                <w:b w:val="1"/>
                <w:bCs w:val="1"/>
                <w:color w:val="auto"/>
                <w:w w:val="96"/>
              </w:rPr>
              <w:t xml:space="preserve">per Share </w:t>
            </w:r>
            <w:r>
              <w:rPr>
                <w:rFonts w:ascii="Times New Roman" w:cs="Times New Roman" w:eastAsia="Times New Roman" w:hAnsi="Times New Roman"/>
                <w:sz w:val="21"/>
                <w:szCs w:val="21"/>
                <w:b w:val="1"/>
                <w:bCs w:val="1"/>
                <w:color w:val="auto"/>
                <w:w w:val="96"/>
                <w:vertAlign w:val="superscript"/>
              </w:rPr>
              <w:t>(2)</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Plans or Programs</w:t>
            </w:r>
          </w:p>
        </w:tc>
        <w:tc>
          <w:tcPr>
            <w:tcW w:w="0" w:type="dxa"/>
            <w:vAlign w:val="bottom"/>
          </w:tcPr>
          <w:p>
            <w:pPr>
              <w:spacing w:after="0"/>
              <w:rPr>
                <w:sz w:val="1"/>
                <w:szCs w:val="1"/>
                <w:color w:val="auto"/>
              </w:rPr>
            </w:pPr>
          </w:p>
        </w:tc>
      </w:tr>
      <w:tr>
        <w:trPr>
          <w:trHeight w:val="208"/>
        </w:trPr>
        <w:tc>
          <w:tcPr>
            <w:tcW w:w="45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0" w:type="dxa"/>
            <w:vAlign w:val="bottom"/>
          </w:tcPr>
          <w:p>
            <w:pPr>
              <w:spacing w:after="0"/>
              <w:rPr>
                <w:sz w:val="1"/>
                <w:szCs w:val="1"/>
                <w:color w:val="auto"/>
              </w:rPr>
            </w:pPr>
          </w:p>
        </w:tc>
      </w:tr>
      <w:tr>
        <w:trPr>
          <w:trHeight w:val="218"/>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April 1, 2022 through April 30, 2022</w:t>
            </w:r>
          </w:p>
        </w:tc>
        <w:tc>
          <w:tcPr>
            <w:tcW w:w="1820" w:type="dxa"/>
            <w:vAlign w:val="bottom"/>
            <w:gridSpan w:val="3"/>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   $</w:t>
            </w:r>
          </w:p>
        </w:tc>
        <w:tc>
          <w:tcPr>
            <w:tcW w:w="158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0" w:type="dxa"/>
            <w:vAlign w:val="bottom"/>
          </w:tcPr>
          <w:p>
            <w:pPr>
              <w:spacing w:after="0"/>
              <w:rPr>
                <w:sz w:val="1"/>
                <w:szCs w:val="1"/>
                <w:color w:val="auto"/>
              </w:rPr>
            </w:pPr>
          </w:p>
        </w:tc>
      </w:tr>
      <w:tr>
        <w:trPr>
          <w:trHeight w:val="213"/>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May 1, 2022 through May 31, 2022</w:t>
            </w:r>
          </w:p>
        </w:tc>
        <w:tc>
          <w:tcPr>
            <w:tcW w:w="1820" w:type="dxa"/>
            <w:vAlign w:val="bottom"/>
            <w:gridSpan w:val="3"/>
          </w:tcPr>
          <w:p>
            <w:pPr>
              <w:ind w:left="136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1, 2022 through June 30, 2022</w:t>
            </w:r>
          </w:p>
        </w:tc>
        <w:tc>
          <w:tcPr>
            <w:tcW w:w="1820" w:type="dxa"/>
            <w:vAlign w:val="bottom"/>
            <w:gridSpan w:val="3"/>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0" w:type="dxa"/>
            <w:vAlign w:val="bottom"/>
          </w:tcPr>
          <w:p>
            <w:pPr>
              <w:spacing w:after="0"/>
              <w:rPr>
                <w:sz w:val="1"/>
                <w:szCs w:val="1"/>
                <w:color w:val="auto"/>
              </w:rPr>
            </w:pPr>
          </w:p>
        </w:tc>
      </w:tr>
      <w:tr>
        <w:trPr>
          <w:trHeight w:val="209"/>
        </w:trPr>
        <w:tc>
          <w:tcPr>
            <w:tcW w:w="4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600" w:type="dxa"/>
            <w:vAlign w:val="bottom"/>
            <w:tcBorders>
              <w:top w:val="single" w:sz="8" w:color="auto"/>
              <w:bottom w:val="single" w:sz="8" w:color="auto"/>
            </w:tcBorders>
          </w:tcPr>
          <w:p>
            <w:pPr>
              <w:ind w:left="1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Borders>
              <w:top w:val="single" w:sz="8" w:color="auto"/>
              <w:bottom w:val="single" w:sz="8" w:color="auto"/>
            </w:tcBorders>
          </w:tcPr>
          <w:p>
            <w:pPr>
              <w:ind w:left="1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340" w:hanging="332"/>
        <w:spacing w:after="0" w:line="225" w:lineRule="auto"/>
        <w:tabs>
          <w:tab w:leader="none" w:pos="328"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Effective November 1, 2021, Itron's Board of Directors authorized a new share repurchase program of up to $100 million of Itron's common stock over an 18-month period. Repurchases are made in the open market or in privately negotiated transactions and in accordance with applicable securities laws.</w:t>
      </w:r>
    </w:p>
    <w:p>
      <w:pPr>
        <w:spacing w:after="0" w:line="15"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Excludes commissions.</w:t>
      </w:r>
    </w:p>
    <w:p>
      <w:pPr>
        <w:spacing w:after="0" w:line="213"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6"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information was required to be disclosed in a report on Form 8-K during the second quarter of 2022 that was not reported.</w:t>
      </w:r>
    </w:p>
    <w:p>
      <w:pPr>
        <w:spacing w:after="0" w:line="252"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24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5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800" w:type="dxa"/>
            <w:vAlign w:val="bottom"/>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26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10.1*</w:t>
            </w:r>
          </w:p>
        </w:tc>
        <w:tc>
          <w:tcPr>
            <w:tcW w:w="140" w:type="dxa"/>
            <w:vAlign w:val="bottom"/>
          </w:tcPr>
          <w:p>
            <w:pPr>
              <w:spacing w:after="0"/>
              <w:rPr>
                <w:sz w:val="15"/>
                <w:szCs w:val="15"/>
                <w:color w:val="auto"/>
              </w:rPr>
            </w:pPr>
          </w:p>
        </w:tc>
        <w:tc>
          <w:tcPr>
            <w:tcW w:w="9180" w:type="dxa"/>
            <w:vAlign w:val="bottom"/>
            <w:tcBorders>
              <w:top w:val="single" w:sz="8" w:color="auto"/>
              <w:bottom w:val="single" w:sz="8" w:color="0000FF"/>
            </w:tcBorders>
            <w:gridSpan w:val="3"/>
          </w:tcPr>
          <w:p>
            <w:pPr>
              <w:ind w:left="20"/>
              <w:spacing w:after="0" w:line="182" w:lineRule="exact"/>
              <w:rPr>
                <w:sz w:val="20"/>
                <w:szCs w:val="20"/>
                <w:color w:val="auto"/>
              </w:rPr>
            </w:pPr>
            <w:r>
              <w:rPr>
                <w:rFonts w:ascii="Times New Roman" w:cs="Times New Roman" w:eastAsia="Times New Roman" w:hAnsi="Times New Roman"/>
                <w:sz w:val="18"/>
                <w:szCs w:val="18"/>
                <w:color w:val="0000FF"/>
                <w:w w:val="99"/>
              </w:rPr>
              <w:t>Form of Second Amended and Restated Change in Control Severance Agreement for Executive Officers (filed with this report)</w:t>
            </w:r>
          </w:p>
        </w:tc>
        <w:tc>
          <w:tcPr>
            <w:tcW w:w="6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66"/>
        </w:trPr>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10.2*</w:t>
            </w:r>
          </w:p>
        </w:tc>
        <w:tc>
          <w:tcPr>
            <w:tcW w:w="140" w:type="dxa"/>
            <w:vAlign w:val="bottom"/>
          </w:tcPr>
          <w:p>
            <w:pPr>
              <w:spacing w:after="0"/>
              <w:rPr>
                <w:sz w:val="24"/>
                <w:szCs w:val="24"/>
                <w:color w:val="auto"/>
              </w:rPr>
            </w:pPr>
          </w:p>
        </w:tc>
        <w:tc>
          <w:tcPr>
            <w:tcW w:w="98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Second Amended and Restated Change in Control Severance Agreement for Thomas L. Deitrich (filed with this report)</w:t>
            </w:r>
          </w:p>
        </w:tc>
        <w:tc>
          <w:tcPr>
            <w:tcW w:w="0" w:type="dxa"/>
            <w:vAlign w:val="bottom"/>
          </w:tcPr>
          <w:p>
            <w:pPr>
              <w:spacing w:after="0"/>
              <w:rPr>
                <w:sz w:val="1"/>
                <w:szCs w:val="1"/>
                <w:color w:val="auto"/>
              </w:rPr>
            </w:pPr>
          </w:p>
        </w:tc>
      </w:tr>
      <w:tr>
        <w:trPr>
          <w:trHeight w:val="466"/>
        </w:trPr>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5240" w:type="dxa"/>
            <w:vAlign w:val="bottom"/>
            <w:tcBorders>
              <w:top w:val="single" w:sz="8" w:color="0000FF"/>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9"/>
              </w:rPr>
              <w:t>Certification Pursuant to Section 302 of the Sarbanes-Oxley Act of 2002</w:t>
            </w:r>
          </w:p>
        </w:tc>
        <w:tc>
          <w:tcPr>
            <w:tcW w:w="3360" w:type="dxa"/>
            <w:vAlign w:val="bottom"/>
            <w:tcBorders>
              <w:top w:val="single" w:sz="8" w:color="0000FF"/>
            </w:tcBorders>
          </w:tcPr>
          <w:p>
            <w:pPr>
              <w:spacing w:after="0"/>
              <w:rPr>
                <w:sz w:val="24"/>
                <w:szCs w:val="24"/>
                <w:color w:val="auto"/>
              </w:rPr>
            </w:pPr>
          </w:p>
        </w:tc>
        <w:tc>
          <w:tcPr>
            <w:tcW w:w="12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524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9"/>
              </w:rPr>
              <w:t>Certification Pursuant to Section 302 of the Sarbanes-Oxley Act of 2002</w:t>
            </w:r>
          </w:p>
        </w:tc>
        <w:tc>
          <w:tcPr>
            <w:tcW w:w="45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524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9"/>
              </w:rPr>
              <w:t>Certification Pursuant to Section 906 of the Sarbanes-Oxley Act of 2002</w:t>
            </w:r>
          </w:p>
        </w:tc>
        <w:tc>
          <w:tcPr>
            <w:tcW w:w="45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left="1440" w:right="20" w:hanging="939"/>
        <w:spacing w:after="0" w:line="224" w:lineRule="auto"/>
        <w:tabs>
          <w:tab w:leader="none" w:pos="1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Itron, Inc.'s Quarterly Report on Form 10-Q for the quarter ended June 30, 2022 formatted in Inline XBRL (Extensible Business Reporting Language) includes: (i) the Consolidated Statements of Operations, (ii) the Consolidated Statements of Comprehensive Income (Loss), (iii) the Consolidated Balance Sheets, (iv) the Consolidated Statements of Equity, (v) the Consolidated Statements of Cash Flows, and (vi) Notes to the Consolidated Financial Statements.</w:t>
      </w:r>
    </w:p>
    <w:p>
      <w:pPr>
        <w:spacing w:after="0" w:line="267" w:lineRule="exact"/>
        <w:rPr>
          <w:sz w:val="20"/>
          <w:szCs w:val="20"/>
          <w:color w:val="auto"/>
        </w:rPr>
      </w:pPr>
    </w:p>
    <w:p>
      <w:pPr>
        <w:ind w:left="500"/>
        <w:spacing w:after="0"/>
        <w:tabs>
          <w:tab w:leader="none" w:pos="14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293" w:lineRule="exact"/>
        <w:rPr>
          <w:sz w:val="20"/>
          <w:szCs w:val="20"/>
          <w:color w:val="auto"/>
        </w:rPr>
      </w:pPr>
    </w:p>
    <w:p>
      <w:pPr>
        <w:ind w:left="1440" w:hanging="849"/>
        <w:spacing w:after="0"/>
        <w:tabs>
          <w:tab w:leader="none" w:pos="1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arrangement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0"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0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38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ITRON, INC.</w:t>
            </w:r>
          </w:p>
        </w:tc>
      </w:tr>
      <w:tr>
        <w:trPr>
          <w:trHeight w:val="486"/>
        </w:trPr>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August 4, 2022</w:t>
            </w:r>
          </w:p>
        </w:tc>
        <w:tc>
          <w:tcPr>
            <w:tcW w:w="1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By:</w:t>
            </w:r>
          </w:p>
        </w:tc>
        <w:tc>
          <w:tcPr>
            <w:tcW w:w="6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JOAN S. HOOPER</w:t>
            </w:r>
          </w:p>
        </w:tc>
      </w:tr>
      <w:tr>
        <w:trPr>
          <w:trHeight w:val="214"/>
        </w:trPr>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80" w:type="dxa"/>
            <w:vAlign w:val="bottom"/>
          </w:tcPr>
          <w:p>
            <w:pPr>
              <w:spacing w:after="0"/>
              <w:rPr>
                <w:sz w:val="18"/>
                <w:szCs w:val="18"/>
                <w:color w:val="auto"/>
              </w:rPr>
            </w:pPr>
          </w:p>
        </w:tc>
        <w:tc>
          <w:tcPr>
            <w:tcW w:w="6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Joan S. Hooper</w:t>
            </w:r>
          </w:p>
        </w:tc>
      </w:tr>
      <w:tr>
        <w:trPr>
          <w:trHeight w:val="238"/>
        </w:trPr>
        <w:tc>
          <w:tcPr>
            <w:tcW w:w="3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21"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u w:val="single" w:color="auto"/>
          <w:color w:val="auto"/>
        </w:rPr>
        <w:t>SECOND AMENDED AND RESTATED CHANGE IN CONTROL SEVERANCE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 EXECUTIVE OFFICERS</w:t>
      </w:r>
    </w:p>
    <w:p>
      <w:pPr>
        <w:spacing w:after="0" w:line="315" w:lineRule="exact"/>
        <w:rPr>
          <w:sz w:val="20"/>
          <w:szCs w:val="20"/>
          <w:color w:val="auto"/>
        </w:rPr>
      </w:pPr>
    </w:p>
    <w:p>
      <w:pPr>
        <w:jc w:val="both"/>
        <w:ind w:left="220" w:right="220" w:firstLine="1089"/>
        <w:spacing w:after="0" w:line="282" w:lineRule="auto"/>
        <w:rPr>
          <w:sz w:val="20"/>
          <w:szCs w:val="20"/>
          <w:color w:val="auto"/>
        </w:rPr>
      </w:pPr>
      <w:r>
        <w:rPr>
          <w:rFonts w:ascii="Times New Roman" w:cs="Times New Roman" w:eastAsia="Times New Roman" w:hAnsi="Times New Roman"/>
          <w:sz w:val="18"/>
          <w:szCs w:val="18"/>
          <w:color w:val="auto"/>
        </w:rPr>
        <w:t>THIS SECOND AMENDED AND RESTATED CHANGE IN CONTROL SEVERANCE AGREEMENT FOR EXECUTIVE OFFICERS (“Agreement”), dated _________, 2022 is made by and between Itron, Inc. (the “Company”), and _________ (the “Executive”).</w:t>
      </w:r>
    </w:p>
    <w:p>
      <w:pPr>
        <w:spacing w:after="0" w:line="121" w:lineRule="exact"/>
        <w:rPr>
          <w:sz w:val="20"/>
          <w:szCs w:val="20"/>
          <w:color w:val="auto"/>
        </w:rPr>
      </w:pPr>
    </w:p>
    <w:p>
      <w:pPr>
        <w:jc w:val="both"/>
        <w:ind w:left="220" w:right="220" w:firstLine="1089"/>
        <w:spacing w:after="0" w:line="282" w:lineRule="auto"/>
        <w:rPr>
          <w:sz w:val="20"/>
          <w:szCs w:val="20"/>
          <w:color w:val="auto"/>
        </w:rPr>
      </w:pPr>
      <w:r>
        <w:rPr>
          <w:rFonts w:ascii="Times New Roman" w:cs="Times New Roman" w:eastAsia="Times New Roman" w:hAnsi="Times New Roman"/>
          <w:sz w:val="18"/>
          <w:szCs w:val="18"/>
          <w:color w:val="auto"/>
        </w:rPr>
        <w:t>WHEREAS, the Company and Executive are parties to an Amended and Restated Change in Control Severance Agreement for Executive Officers originally dated January 1, 2013 (“Prior Agreement”);</w:t>
      </w:r>
    </w:p>
    <w:p>
      <w:pPr>
        <w:spacing w:after="0" w:line="12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WHEREAS, the Company determined that the Executive’s Prior Agreement should be amended and restated with an effective date of</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__________, 2022;</w:t>
      </w:r>
    </w:p>
    <w:p>
      <w:pPr>
        <w:spacing w:after="0" w:line="180" w:lineRule="exact"/>
        <w:rPr>
          <w:sz w:val="20"/>
          <w:szCs w:val="20"/>
          <w:color w:val="auto"/>
        </w:rPr>
      </w:pPr>
    </w:p>
    <w:p>
      <w:pPr>
        <w:jc w:val="both"/>
        <w:ind w:left="220" w:right="220" w:firstLine="1089"/>
        <w:spacing w:after="0" w:line="282" w:lineRule="auto"/>
        <w:rPr>
          <w:sz w:val="20"/>
          <w:szCs w:val="20"/>
          <w:color w:val="auto"/>
        </w:rPr>
      </w:pPr>
      <w:r>
        <w:rPr>
          <w:rFonts w:ascii="Times New Roman" w:cs="Times New Roman" w:eastAsia="Times New Roman" w:hAnsi="Times New Roman"/>
          <w:sz w:val="18"/>
          <w:szCs w:val="18"/>
          <w:color w:val="auto"/>
        </w:rPr>
        <w:t>WHEREAS, the Company considers the establishment and maintenance of a sound and vital management to be essential to protecting and enhancing the best interests of the Company and its stockholders; and</w:t>
      </w:r>
    </w:p>
    <w:p>
      <w:pPr>
        <w:spacing w:after="0" w:line="12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WHEREAS, the Executive has made and is expected to make a significant contribution to the Company; and</w:t>
      </w:r>
    </w:p>
    <w:p>
      <w:pPr>
        <w:spacing w:after="0" w:line="185" w:lineRule="exact"/>
        <w:rPr>
          <w:sz w:val="20"/>
          <w:szCs w:val="20"/>
          <w:color w:val="auto"/>
        </w:rPr>
      </w:pPr>
    </w:p>
    <w:p>
      <w:pPr>
        <w:jc w:val="both"/>
        <w:ind w:left="220" w:right="220" w:firstLine="1089"/>
        <w:spacing w:after="0" w:line="266" w:lineRule="auto"/>
        <w:rPr>
          <w:sz w:val="20"/>
          <w:szCs w:val="20"/>
          <w:color w:val="auto"/>
        </w:rPr>
      </w:pPr>
      <w:r>
        <w:rPr>
          <w:rFonts w:ascii="Times New Roman" w:cs="Times New Roman" w:eastAsia="Times New Roman" w:hAnsi="Times New Roman"/>
          <w:sz w:val="18"/>
          <w:szCs w:val="18"/>
          <w:color w:val="auto"/>
        </w:rPr>
        <w:t>WHEREAS, the Company, as a publicly held corporation, recognizes that the possibility of a Change in Control may exist, and that such possibility and the uncertainty and questions which it may raise among management may result in the departure or distraction of the Executive in the performance of the Executive’s duties, to the detriment of the Company and its stockholders; and</w:t>
      </w:r>
    </w:p>
    <w:p>
      <w:pPr>
        <w:spacing w:after="0" w:line="149" w:lineRule="exact"/>
        <w:rPr>
          <w:sz w:val="20"/>
          <w:szCs w:val="20"/>
          <w:color w:val="auto"/>
        </w:rPr>
      </w:pPr>
    </w:p>
    <w:p>
      <w:pPr>
        <w:jc w:val="both"/>
        <w:ind w:left="220" w:right="240" w:firstLine="1089"/>
        <w:spacing w:after="0" w:line="266" w:lineRule="auto"/>
        <w:rPr>
          <w:sz w:val="20"/>
          <w:szCs w:val="20"/>
          <w:color w:val="auto"/>
        </w:rPr>
      </w:pPr>
      <w:r>
        <w:rPr>
          <w:rFonts w:ascii="Times New Roman" w:cs="Times New Roman" w:eastAsia="Times New Roman" w:hAnsi="Times New Roman"/>
          <w:sz w:val="18"/>
          <w:szCs w:val="18"/>
          <w:color w:val="auto"/>
        </w:rPr>
        <w:t>WHEREAS, it is in the best interests of the Company and its stockholders to reinforce and encourage the continued attention and dedication of management personnel, including the Executive, to their assigned duties without distraction and to ensure the continued availability to the Company of the Executive in the event of a Change in Control;</w:t>
      </w:r>
    </w:p>
    <w:p>
      <w:pPr>
        <w:spacing w:after="0" w:line="135" w:lineRule="exact"/>
        <w:rPr>
          <w:sz w:val="20"/>
          <w:szCs w:val="20"/>
          <w:color w:val="auto"/>
        </w:rPr>
      </w:pPr>
    </w:p>
    <w:p>
      <w:pPr>
        <w:jc w:val="both"/>
        <w:ind w:left="220" w:right="240" w:firstLine="1089"/>
        <w:spacing w:after="0" w:line="282" w:lineRule="auto"/>
        <w:rPr>
          <w:sz w:val="20"/>
          <w:szCs w:val="20"/>
          <w:color w:val="auto"/>
        </w:rPr>
      </w:pPr>
      <w:r>
        <w:rPr>
          <w:rFonts w:ascii="Times New Roman" w:cs="Times New Roman" w:eastAsia="Times New Roman" w:hAnsi="Times New Roman"/>
          <w:sz w:val="18"/>
          <w:szCs w:val="18"/>
          <w:color w:val="auto"/>
        </w:rPr>
        <w:t>THEREFORE, in consideration of the foregoing and other respective covenants and agreements of the parties herein contained, the parties hereto agree as follows:</w:t>
      </w:r>
    </w:p>
    <w:p>
      <w:pPr>
        <w:spacing w:after="0" w:line="121" w:lineRule="exact"/>
        <w:rPr>
          <w:sz w:val="20"/>
          <w:szCs w:val="20"/>
          <w:color w:val="auto"/>
        </w:rPr>
      </w:pPr>
    </w:p>
    <w:p>
      <w:pPr>
        <w:ind w:left="720" w:hanging="544"/>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The definitions of capitalized terms used in this Agreement are provided in Section 15.</w:t>
      </w:r>
    </w:p>
    <w:p>
      <w:pPr>
        <w:spacing w:after="0" w:line="198" w:lineRule="exact"/>
        <w:rPr>
          <w:rFonts w:ascii="Times New Roman" w:cs="Times New Roman" w:eastAsia="Times New Roman" w:hAnsi="Times New Roman"/>
          <w:sz w:val="18"/>
          <w:szCs w:val="18"/>
          <w:color w:val="auto"/>
        </w:rPr>
      </w:pPr>
    </w:p>
    <w:p>
      <w:pPr>
        <w:jc w:val="both"/>
        <w:ind w:left="720" w:right="220" w:hanging="544"/>
        <w:spacing w:after="0" w:line="243" w:lineRule="auto"/>
        <w:tabs>
          <w:tab w:leader="none" w:pos="7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Agreement</w:t>
      </w:r>
      <w:r>
        <w:rPr>
          <w:rFonts w:ascii="Times New Roman" w:cs="Times New Roman" w:eastAsia="Times New Roman" w:hAnsi="Times New Roman"/>
          <w:sz w:val="18"/>
          <w:szCs w:val="18"/>
          <w:color w:val="auto"/>
        </w:rPr>
        <w:t xml:space="preserve">. The term of this Agreement (the “Term”) shall commence on __________, 2022 and shall continue in effect through December 31, 2023;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commencing on January 1, 2024 and each January 1 thereafter (“Anniversary Date”), the Term shall automatically be extended for one additional year unless, not later than one year prior to the Anniversary Date, the Company or the Executive shall have given notice not to extend the Term; and </w:t>
      </w:r>
      <w:r>
        <w:rPr>
          <w:rFonts w:ascii="Times New Roman" w:cs="Times New Roman" w:eastAsia="Times New Roman" w:hAnsi="Times New Roman"/>
          <w:sz w:val="18"/>
          <w:szCs w:val="18"/>
          <w:u w:val="single" w:color="auto"/>
          <w:color w:val="auto"/>
        </w:rPr>
        <w:t>further 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 Change in Control shall have occurred during the Term, the Term shall expire on the last day of the twenty-fourth (24</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month following the month in which such Change in Control occurred.</w:t>
      </w:r>
    </w:p>
    <w:p>
      <w:pPr>
        <w:spacing w:after="0" w:line="155" w:lineRule="exact"/>
        <w:rPr>
          <w:rFonts w:ascii="Times New Roman" w:cs="Times New Roman" w:eastAsia="Times New Roman" w:hAnsi="Times New Roman"/>
          <w:sz w:val="18"/>
          <w:szCs w:val="18"/>
          <w:color w:val="auto"/>
        </w:rPr>
      </w:pPr>
    </w:p>
    <w:p>
      <w:pPr>
        <w:jc w:val="both"/>
        <w:ind w:left="720" w:right="220" w:hanging="544"/>
        <w:spacing w:after="0" w:line="255" w:lineRule="auto"/>
        <w:tabs>
          <w:tab w:leader="none" w:pos="7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Covenants Summarized</w:t>
      </w:r>
      <w:r>
        <w:rPr>
          <w:rFonts w:ascii="Times New Roman" w:cs="Times New Roman" w:eastAsia="Times New Roman" w:hAnsi="Times New Roman"/>
          <w:sz w:val="18"/>
          <w:szCs w:val="18"/>
          <w:color w:val="auto"/>
        </w:rPr>
        <w:t>. In order to induce the Executive to remain in the employ of the Company and in consideration of the Executive’s covenants in Section 14, the Company, under the conditions described herein, shall pay the Executive the Severance Payments and the other payments and benefits described herein. Except as provided in Section 4.3, no Severance Payments shall be payable under this Agreement unless there shall have been (or, pursuant to the second sentence of Section 5.1, there shall be deemed to have been) a termination of the Executive’s employment with the Company following a Change in Control and during the Term. This Agreement shall not be construed as creating an express or implied contract of employment and, except as otherwise agreed in writing between the Executive and the Company, the Executive shall not have any right to be retained in the employ of the Company.</w:t>
      </w:r>
    </w:p>
    <w:p>
      <w:pPr>
        <w:spacing w:after="0" w:line="148" w:lineRule="exact"/>
        <w:rPr>
          <w:rFonts w:ascii="Times New Roman" w:cs="Times New Roman" w:eastAsia="Times New Roman" w:hAnsi="Times New Roman"/>
          <w:sz w:val="18"/>
          <w:szCs w:val="18"/>
          <w:color w:val="auto"/>
        </w:rPr>
      </w:pPr>
    </w:p>
    <w:p>
      <w:pPr>
        <w:ind w:left="720" w:hanging="544"/>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Other Than Severance Payments; Equity Award Treatment.</w:t>
      </w:r>
    </w:p>
    <w:p>
      <w:pPr>
        <w:spacing w:after="0" w:line="198" w:lineRule="exact"/>
        <w:rPr>
          <w:sz w:val="20"/>
          <w:szCs w:val="20"/>
          <w:color w:val="auto"/>
        </w:rPr>
      </w:pPr>
    </w:p>
    <w:p>
      <w:pPr>
        <w:jc w:val="both"/>
        <w:ind w:left="340" w:right="220" w:firstLine="1102"/>
        <w:spacing w:after="0" w:line="256" w:lineRule="auto"/>
        <w:rPr>
          <w:sz w:val="20"/>
          <w:szCs w:val="20"/>
          <w:color w:val="auto"/>
        </w:rPr>
      </w:pPr>
      <w:r>
        <w:rPr>
          <w:rFonts w:ascii="Times New Roman" w:cs="Times New Roman" w:eastAsia="Times New Roman" w:hAnsi="Times New Roman"/>
          <w:sz w:val="18"/>
          <w:szCs w:val="18"/>
          <w:color w:val="auto"/>
        </w:rPr>
        <w:t>4.1 If the Executive’s employment shall be terminated for any reason following a Change in Control, the Company shall pay the Base Salary to the Executive through the Date of Termination, together with all compensation and benefits payable to the Executive through the Date of Termination under the terms of the Company’s compensation and benefit plans, programs or arrangements as in effect immediately prior to the Date of Termination or, if more favorable to the Executive, as in effect immediately prior to the first occurrence of an event or circumstance constituting Good Reason (including, without limitation, a payment in respect of the Executive’s accrued and unused vacation, determined without regard to any adverse change to the vacation accrual or payout policy occurring following the Change in Control).</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156750709.3</w:t>
      </w:r>
    </w:p>
    <w:p>
      <w:pPr>
        <w:sectPr>
          <w:pgSz w:w="11900" w:h="16838" w:orient="portrait"/>
          <w:cols w:equalWidth="0" w:num="1">
            <w:col w:w="11240"/>
          </w:cols>
          <w:pgMar w:left="320" w:top="104"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left="340" w:right="220" w:firstLine="1102"/>
        <w:spacing w:after="0" w:line="258" w:lineRule="auto"/>
        <w:rPr>
          <w:sz w:val="20"/>
          <w:szCs w:val="20"/>
          <w:color w:val="auto"/>
        </w:rPr>
      </w:pPr>
      <w:r>
        <w:rPr>
          <w:rFonts w:ascii="Times New Roman" w:cs="Times New Roman" w:eastAsia="Times New Roman" w:hAnsi="Times New Roman"/>
          <w:sz w:val="18"/>
          <w:szCs w:val="18"/>
          <w:color w:val="auto"/>
        </w:rPr>
        <w:t>4.2 If the Executive’s employment shall be terminated for any reason following a Change in Control, the Company shall pay to the Executive the Executive’s normal post-termination compensation and benefits as such payments become due. Such post-termination compensation and benefits shall be determined under, and paid in accordance with, the Company’s retirement, insurance and other compensation or benefit plans, programs and arrangements as in effect immediately prior to the Date of Termination or, if more favorable to the Executive, as in effect immediately prior to the occurrence of the first event or circumstance constituting Good Reason, subject to the application of 6.1(D) hereof.</w:t>
      </w:r>
    </w:p>
    <w:p>
      <w:pPr>
        <w:spacing w:after="0" w:line="143" w:lineRule="exact"/>
        <w:rPr>
          <w:sz w:val="20"/>
          <w:szCs w:val="20"/>
          <w:color w:val="auto"/>
        </w:rPr>
      </w:pPr>
    </w:p>
    <w:p>
      <w:pPr>
        <w:jc w:val="both"/>
        <w:ind w:left="340" w:right="240" w:firstLine="1102"/>
        <w:spacing w:after="0" w:line="282" w:lineRule="auto"/>
        <w:rPr>
          <w:sz w:val="20"/>
          <w:szCs w:val="20"/>
          <w:color w:val="auto"/>
        </w:rPr>
      </w:pPr>
      <w:r>
        <w:rPr>
          <w:rFonts w:ascii="Times New Roman" w:cs="Times New Roman" w:eastAsia="Times New Roman" w:hAnsi="Times New Roman"/>
          <w:sz w:val="18"/>
          <w:szCs w:val="18"/>
          <w:color w:val="auto"/>
        </w:rPr>
        <w:t>4.3 Each outstanding equity or equity-based award granted to the Executive shall be governed by the terms of the applicable award agreement governing the treatment of such award in connection with a Change in Control.</w:t>
      </w:r>
    </w:p>
    <w:p>
      <w:pPr>
        <w:spacing w:after="0" w:line="121" w:lineRule="exact"/>
        <w:rPr>
          <w:sz w:val="20"/>
          <w:szCs w:val="20"/>
          <w:color w:val="auto"/>
        </w:rPr>
      </w:pPr>
    </w:p>
    <w:p>
      <w:pPr>
        <w:ind w:left="720" w:hanging="544"/>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Payments and Benefits.</w:t>
      </w:r>
    </w:p>
    <w:p>
      <w:pPr>
        <w:spacing w:after="0" w:line="198" w:lineRule="exact"/>
        <w:rPr>
          <w:sz w:val="20"/>
          <w:szCs w:val="20"/>
          <w:color w:val="auto"/>
        </w:rPr>
      </w:pPr>
    </w:p>
    <w:p>
      <w:pPr>
        <w:jc w:val="both"/>
        <w:ind w:left="340" w:right="220" w:firstLine="1102"/>
        <w:spacing w:after="0" w:line="254" w:lineRule="auto"/>
        <w:rPr>
          <w:sz w:val="20"/>
          <w:szCs w:val="20"/>
          <w:color w:val="auto"/>
        </w:rPr>
      </w:pPr>
      <w:r>
        <w:rPr>
          <w:rFonts w:ascii="Times New Roman" w:cs="Times New Roman" w:eastAsia="Times New Roman" w:hAnsi="Times New Roman"/>
          <w:sz w:val="18"/>
          <w:szCs w:val="18"/>
          <w:color w:val="auto"/>
        </w:rPr>
        <w:t>5.1 Subject to the terms and conditions set forth in this Agreement, if the Executive’s employment is terminated within twenty-four (24) months following a Change in Control, other than (a) by the Company for Cause, (b) by reason of death or Disability, or (c) by the Executive without Good Reason, then the Company shall pay the Executive the amounts, and provide the Executive the benefits, described in this Section 5.1 (“Severance Payments”), in addition to any payments and benefits to which the Executive is entitled under Section 4. For purposes of this Agreement, the Executive’s employment shall be deemed to have been terminated within twenty-four (24) months following a Change in Control and during the Term by the Company without Cause or by the Executive with Good Reason, if (i) the Executive’s employment is terminated by the Company without Cause during a Potential Change in Control Period, or (ii) the Executive terminates Executive’s employment for Good Reason during a Potential Change in Control Period. Except as described above, the Executive shall not be entitled to benefits pursuant to this Section 5.1 unless a Change in Control shall have occurred during the Term.</w:t>
      </w:r>
    </w:p>
    <w:p>
      <w:pPr>
        <w:spacing w:after="0" w:line="148" w:lineRule="exact"/>
        <w:rPr>
          <w:sz w:val="20"/>
          <w:szCs w:val="20"/>
          <w:color w:val="auto"/>
        </w:rPr>
      </w:pPr>
    </w:p>
    <w:p>
      <w:pPr>
        <w:ind w:left="2580" w:hanging="822"/>
        <w:spacing w:after="0"/>
        <w:tabs>
          <w:tab w:leader="none" w:pos="25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to the Executive a lump sum severance payment, in cash, equal to 2.5 times the sum of</w:t>
      </w:r>
    </w:p>
    <w:p>
      <w:pPr>
        <w:spacing w:after="0" w:line="27" w:lineRule="exact"/>
        <w:rPr>
          <w:rFonts w:ascii="Times New Roman" w:cs="Times New Roman" w:eastAsia="Times New Roman" w:hAnsi="Times New Roman"/>
          <w:sz w:val="18"/>
          <w:szCs w:val="18"/>
          <w:color w:val="auto"/>
        </w:rPr>
      </w:pPr>
    </w:p>
    <w:p>
      <w:pPr>
        <w:jc w:val="both"/>
        <w:ind w:left="720" w:right="220" w:firstLine="1"/>
        <w:spacing w:after="0" w:line="255" w:lineRule="auto"/>
        <w:tabs>
          <w:tab w:leader="none" w:pos="98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Salary, and (b) the target annual bonus available to the Executive pursuant to the Company’s annual bonus plan in which the Executive participates in respect of the fiscal year in which the Date of Termination occurs (without giving effect to any event or circumstance constituting Good Reason).</w:t>
      </w:r>
    </w:p>
    <w:p>
      <w:pPr>
        <w:spacing w:after="0" w:line="145" w:lineRule="exact"/>
        <w:rPr>
          <w:rFonts w:ascii="Times New Roman" w:cs="Times New Roman" w:eastAsia="Times New Roman" w:hAnsi="Times New Roman"/>
          <w:sz w:val="18"/>
          <w:szCs w:val="18"/>
          <w:color w:val="auto"/>
        </w:rPr>
      </w:pPr>
    </w:p>
    <w:p>
      <w:pPr>
        <w:jc w:val="both"/>
        <w:ind w:left="720" w:right="220" w:firstLine="1038"/>
        <w:spacing w:after="0" w:line="254" w:lineRule="auto"/>
        <w:tabs>
          <w:tab w:leader="none" w:pos="259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30 month period immediately following the Date of Termination, the Company shall arrange to provide the Executive and Executive’s dependents life, disability and health insurance benefits substantially similar to those provided to the Executive and Executive’s dependents immediately prior to the Date of Termination or, if more favorable to the Executive, those provided to the Executive and Executive’s dependents immediately prior to the first occurrence of an event or circumstance constituting Good Reason, at no greater after-tax cost to the Executive than the cost to the Executive immediately prior to such date or occurrence. The cost of providing the benefits set forth in this Section 5.1(B) shall be in addition to (and shall not reduce) the Severance Payments. Benefits otherwise receivable by the Executive pursuant to this Section 5.1(B) shall be reduced to the extent the Executive becomes eligible to receive comparable benefits at comparable cost from a new employer or pursuant to a government-sponsored health insurance or health care program.</w:t>
      </w:r>
    </w:p>
    <w:p>
      <w:pPr>
        <w:spacing w:after="0" w:line="164" w:lineRule="exact"/>
        <w:rPr>
          <w:rFonts w:ascii="Times New Roman" w:cs="Times New Roman" w:eastAsia="Times New Roman" w:hAnsi="Times New Roman"/>
          <w:sz w:val="18"/>
          <w:szCs w:val="18"/>
          <w:color w:val="auto"/>
        </w:rPr>
      </w:pPr>
    </w:p>
    <w:p>
      <w:pPr>
        <w:jc w:val="both"/>
        <w:ind w:left="720" w:right="220" w:firstLine="1038"/>
        <w:spacing w:after="0" w:line="266" w:lineRule="auto"/>
        <w:tabs>
          <w:tab w:leader="none" w:pos="259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to the Executive an amount in respect of the Executive’s target annual cash bonus compensation for the fiscal year in which the Date of Termination occurs, which amount shall be paid out pro-rata, based on the portion of the performance period which has elapsed as of the Date of Termination.</w:t>
      </w:r>
    </w:p>
    <w:p>
      <w:pPr>
        <w:spacing w:after="0" w:line="135" w:lineRule="exact"/>
        <w:rPr>
          <w:rFonts w:ascii="Times New Roman" w:cs="Times New Roman" w:eastAsia="Times New Roman" w:hAnsi="Times New Roman"/>
          <w:sz w:val="18"/>
          <w:szCs w:val="18"/>
          <w:color w:val="auto"/>
        </w:rPr>
      </w:pPr>
    </w:p>
    <w:p>
      <w:pPr>
        <w:ind w:left="720" w:right="220" w:firstLine="1038"/>
        <w:spacing w:after="0" w:line="282" w:lineRule="auto"/>
        <w:tabs>
          <w:tab w:leader="none" w:pos="258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Long Term Performance Plan award outstanding as of the Date of Termination shall be vested at the greater of target or actual performance for the year (if the Date of Termination occurs during the performance period applicable to such award).</w:t>
      </w:r>
    </w:p>
    <w:p>
      <w:pPr>
        <w:spacing w:after="0" w:line="121" w:lineRule="exact"/>
        <w:rPr>
          <w:sz w:val="20"/>
          <w:szCs w:val="20"/>
          <w:color w:val="auto"/>
        </w:rPr>
      </w:pPr>
    </w:p>
    <w:p>
      <w:pPr>
        <w:ind w:left="1440"/>
        <w:spacing w:after="0"/>
        <w:tabs>
          <w:tab w:leader="none" w:pos="192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u w:val="single" w:color="auto"/>
          <w:color w:val="auto"/>
        </w:rPr>
        <w:t>Code Section 280G</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both"/>
        <w:ind w:left="720" w:right="220" w:firstLine="1038"/>
        <w:spacing w:after="0" w:line="254" w:lineRule="auto"/>
        <w:tabs>
          <w:tab w:leader="none" w:pos="258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the Agreement to the contrary notwithstanding, in the event the Auditor determines that receipt of all Payments would subject the Executive to the Excise Tax, the Auditor shall determine whether to reduce any of the Payments that are otherwise payable pursuant to this Agreement (the “Agreement Payments”) so that the Parachute Value of all Payments, in the aggregate, equals the Safe Harbor Amount. The Agreement Payments shall be so reduced only if the Auditor determines that the Executive would have a greater Net After-Tax Receipt of aggregate Payments if the Agreement Payments were so reduced. If the Auditor determines that the Executive would not have a greater Net After-Tax Receipt of aggregate Payments if the Agreement Payments were so reduced, the Executive shall receive the full amount of all Agreement Payments to which the Executive is otherwise entitled hereunder. The Auditor may make reasonable assumptions and approximations concerning applicable taxes and may rely on reasonable, good faith interpretations concerning the application of Sections 280G and 4999 of the Code in making its determination under this Section 5.2.</w:t>
      </w:r>
    </w:p>
    <w:p>
      <w:pPr>
        <w:sectPr>
          <w:pgSz w:w="11900" w:h="16838" w:orient="portrait"/>
          <w:cols w:equalWidth="0" w:num="1">
            <w:col w:w="11240"/>
          </w:cols>
          <w:pgMar w:left="320" w:top="2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156750709.3</w:t>
      </w:r>
    </w:p>
    <w:p>
      <w:pPr>
        <w:sectPr>
          <w:pgSz w:w="11900" w:h="16838" w:orient="portrait"/>
          <w:cols w:equalWidth="0" w:num="1">
            <w:col w:w="11240"/>
          </w:cols>
          <w:pgMar w:left="320" w:top="266" w:right="339" w:bottom="1440" w:gutter="0" w:footer="0" w:header="0"/>
          <w:type w:val="continuous"/>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left="720" w:right="220" w:firstLine="1038"/>
        <w:spacing w:after="0" w:line="253" w:lineRule="auto"/>
        <w:tabs>
          <w:tab w:leader="none" w:pos="259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Auditor determines that aggregate Agreement Payments should be reduced so that the Parachute Value of all Payments, in the aggregate, equals the Safe Harbor Amount, the Company shall give the Executive notice to that effect and a copy of the detailed calculation thereof. All determinations made by the Auditor under this Section 5.2 shall be binding upon the Company and the Executive. For purposes of reducing the Agreement Payments so that the Parachute Value of all Payments, in the aggregate, equals the Safe Harbor Amount, only amounts payable under this Agreement (and no other Payments) shall be reduced. The reduction of the amounts payable hereunder, if applicable, shall be made by reducing the payments and benefits in the following order: (i) reduction of cash payments, which will occur in reverse chronological order with the cash payment owed on the latest date following the event triggering the Excise Tax being the first cash payment to be reduced; (ii) cancellation of accelerated vesting of equity awards, which will occur in the reverse order of the date of grant for the stock awards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vesting of the most recently granted equity awards will be reduced first); and (iii) reduction of other employee benefits, which will occur in reverse chronological order with the benefit owed on the latest date following the event triggering the Excise Tax being the first benefit to be reduced. With respect to each of clauses (i)-(iii), if any payments or benefits constitute deferred compensation subject to Section 409A of the Code, the reduction will occur first as to amounts that are not deferred. If two or more of the same type of awards are granted on the same date, the parachute payments associated with each award will be reduced on a pro-rata basis.</w:t>
      </w:r>
    </w:p>
    <w:p>
      <w:pPr>
        <w:spacing w:after="0" w:line="146" w:lineRule="exact"/>
        <w:rPr>
          <w:rFonts w:ascii="Times New Roman" w:cs="Times New Roman" w:eastAsia="Times New Roman" w:hAnsi="Times New Roman"/>
          <w:sz w:val="18"/>
          <w:szCs w:val="18"/>
          <w:color w:val="auto"/>
        </w:rPr>
      </w:pPr>
    </w:p>
    <w:p>
      <w:pPr>
        <w:ind w:left="2600" w:hanging="842"/>
        <w:spacing w:after="0"/>
        <w:tabs>
          <w:tab w:leader="none" w:pos="2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5.2, the following definitions apply:</w:t>
      </w:r>
    </w:p>
    <w:p>
      <w:pPr>
        <w:spacing w:after="0" w:line="18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“Auditor” means the accounting firm which was, immediately prior to the applicable Change in Control, the Company’s</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independent auditor.</w:t>
      </w:r>
    </w:p>
    <w:p>
      <w:pPr>
        <w:spacing w:after="0" w:line="180" w:lineRule="exact"/>
        <w:rPr>
          <w:sz w:val="20"/>
          <w:szCs w:val="20"/>
          <w:color w:val="auto"/>
        </w:rPr>
      </w:pPr>
    </w:p>
    <w:p>
      <w:pPr>
        <w:jc w:val="both"/>
        <w:ind w:left="520" w:right="220" w:firstLine="1802"/>
        <w:spacing w:after="0" w:line="281" w:lineRule="auto"/>
        <w:rPr>
          <w:sz w:val="20"/>
          <w:szCs w:val="20"/>
          <w:color w:val="auto"/>
        </w:rPr>
      </w:pPr>
      <w:r>
        <w:rPr>
          <w:rFonts w:ascii="Times New Roman" w:cs="Times New Roman" w:eastAsia="Times New Roman" w:hAnsi="Times New Roman"/>
          <w:sz w:val="17"/>
          <w:szCs w:val="17"/>
          <w:color w:val="auto"/>
        </w:rPr>
        <w:t>“Net After-Tax Receipt” means the Parachute Value of a Payment net of all taxes imposed on the Executive with respect thereto under Sections 1, 3101 and 4999 of the Code and under applicable state and local laws, determined by applying the highest rate of federal income tax under Section 1 of the Code and under state and local laws which applied to the Executive’s taxable income for the immediately preceding taxable year, or such other rate(s) as the Auditor determines to be likely to apply to the Executive in the relevant tax year(s).</w:t>
      </w:r>
    </w:p>
    <w:p>
      <w:pPr>
        <w:spacing w:after="0" w:line="124" w:lineRule="exact"/>
        <w:rPr>
          <w:sz w:val="20"/>
          <w:szCs w:val="20"/>
          <w:color w:val="auto"/>
        </w:rPr>
      </w:pPr>
    </w:p>
    <w:p>
      <w:pPr>
        <w:jc w:val="both"/>
        <w:ind w:left="520" w:right="220" w:firstLine="1802"/>
        <w:spacing w:after="0" w:line="266" w:lineRule="auto"/>
        <w:rPr>
          <w:sz w:val="20"/>
          <w:szCs w:val="20"/>
          <w:color w:val="auto"/>
        </w:rPr>
      </w:pPr>
      <w:r>
        <w:rPr>
          <w:rFonts w:ascii="Times New Roman" w:cs="Times New Roman" w:eastAsia="Times New Roman" w:hAnsi="Times New Roman"/>
          <w:sz w:val="18"/>
          <w:szCs w:val="18"/>
          <w:color w:val="auto"/>
        </w:rPr>
        <w:t>“Parachute Value” means, with respect to a Payment, the present value (as determined in accordance with Sections 280G(b)(2)(A)(ii) and 280G(d)(4) of the Code) of the portion of such Payment that constitutes a “parachute payment” under Section 280G(b)(2) of the Code, as determined by the Auditor for purposes of determining whether and to what extent the Excise Tax will apply to such Payment.</w:t>
      </w:r>
    </w:p>
    <w:p>
      <w:pPr>
        <w:spacing w:after="0" w:line="135" w:lineRule="exact"/>
        <w:rPr>
          <w:sz w:val="20"/>
          <w:szCs w:val="20"/>
          <w:color w:val="auto"/>
        </w:rPr>
      </w:pPr>
    </w:p>
    <w:p>
      <w:pPr>
        <w:jc w:val="both"/>
        <w:ind w:left="520" w:right="220" w:firstLine="1802"/>
        <w:spacing w:after="0" w:line="282" w:lineRule="auto"/>
        <w:rPr>
          <w:sz w:val="20"/>
          <w:szCs w:val="20"/>
          <w:color w:val="auto"/>
        </w:rPr>
      </w:pPr>
      <w:r>
        <w:rPr>
          <w:rFonts w:ascii="Times New Roman" w:cs="Times New Roman" w:eastAsia="Times New Roman" w:hAnsi="Times New Roman"/>
          <w:sz w:val="18"/>
          <w:szCs w:val="18"/>
          <w:color w:val="auto"/>
        </w:rPr>
        <w:t>“Payments” means any payment or benefit in the nature of compensation (within the meaning of Section 280G(b)(2) of the Code) provided to or for the benefit of the Executive, whether pursuant to this Agreement or otherwise.</w:t>
      </w:r>
    </w:p>
    <w:p>
      <w:pPr>
        <w:spacing w:after="0" w:line="135" w:lineRule="exact"/>
        <w:rPr>
          <w:sz w:val="20"/>
          <w:szCs w:val="20"/>
          <w:color w:val="auto"/>
        </w:rPr>
      </w:pPr>
    </w:p>
    <w:p>
      <w:pPr>
        <w:jc w:val="both"/>
        <w:ind w:left="520" w:right="220" w:firstLine="1802"/>
        <w:spacing w:after="0" w:line="282" w:lineRule="auto"/>
        <w:rPr>
          <w:sz w:val="20"/>
          <w:szCs w:val="20"/>
          <w:color w:val="auto"/>
        </w:rPr>
      </w:pPr>
      <w:r>
        <w:rPr>
          <w:rFonts w:ascii="Times New Roman" w:cs="Times New Roman" w:eastAsia="Times New Roman" w:hAnsi="Times New Roman"/>
          <w:sz w:val="18"/>
          <w:szCs w:val="18"/>
          <w:color w:val="auto"/>
        </w:rPr>
        <w:t>“Safe Harbor Amount” means the greatest amount that the Auditor determines may be paid or provided to the Executive without having any portion of any Payment treated as an "excess parachute payment" within the meaning of Section 280G(b)(1) of the Code.</w:t>
      </w:r>
    </w:p>
    <w:p>
      <w:pPr>
        <w:spacing w:after="0" w:line="121" w:lineRule="exact"/>
        <w:rPr>
          <w:sz w:val="20"/>
          <w:szCs w:val="20"/>
          <w:color w:val="auto"/>
        </w:rPr>
      </w:pPr>
    </w:p>
    <w:p>
      <w:pPr>
        <w:jc w:val="both"/>
        <w:ind w:left="520" w:right="220" w:firstLine="1802"/>
        <w:spacing w:after="0" w:line="282" w:lineRule="auto"/>
        <w:rPr>
          <w:sz w:val="20"/>
          <w:szCs w:val="20"/>
          <w:color w:val="auto"/>
        </w:rPr>
      </w:pPr>
      <w:r>
        <w:rPr>
          <w:rFonts w:ascii="Times New Roman" w:cs="Times New Roman" w:eastAsia="Times New Roman" w:hAnsi="Times New Roman"/>
          <w:sz w:val="18"/>
          <w:szCs w:val="18"/>
          <w:color w:val="auto"/>
        </w:rPr>
        <w:t>“Section 280G Change of Control” means a change in the ownership or effective control of the Company, or in the ownership of a substantial portion of the assets of the Company, within the meaning of Section 280G(b)(2).</w:t>
      </w:r>
    </w:p>
    <w:p>
      <w:pPr>
        <w:spacing w:after="0" w:line="121" w:lineRule="exact"/>
        <w:rPr>
          <w:sz w:val="20"/>
          <w:szCs w:val="20"/>
          <w:color w:val="auto"/>
        </w:rPr>
      </w:pPr>
    </w:p>
    <w:p>
      <w:pPr>
        <w:jc w:val="both"/>
        <w:ind w:left="340" w:right="220" w:firstLine="1102"/>
        <w:spacing w:after="0" w:line="253" w:lineRule="auto"/>
        <w:rPr>
          <w:sz w:val="20"/>
          <w:szCs w:val="20"/>
          <w:color w:val="auto"/>
        </w:rPr>
      </w:pPr>
      <w:r>
        <w:rPr>
          <w:rFonts w:ascii="Times New Roman" w:cs="Times New Roman" w:eastAsia="Times New Roman" w:hAnsi="Times New Roman"/>
          <w:sz w:val="18"/>
          <w:szCs w:val="18"/>
          <w:color w:val="auto"/>
        </w:rPr>
        <w:t xml:space="preserve">5.3 Except as set forth below or as required by the operation of Section 13.3, the payments provided in subsection (A) of Section 5.1 and the benefits to be provided in subsection (D) of Section 5.1 shall be made or provided not later than the fifth day following the date upon which the release described in Section 5.5 becomes irrevocable,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amounts of such payments cannot be finally determined on or before such day, the Company shall pay to the Executive on such day an estimate, as determined in good faith by the Company and shall pay the remainder of such payments (together with interest on the unpaid remainder (or on all such payments to the extent the Company fails to make such payments when due) at 120% of the rate provided in section 1274(b)(2)(B) of the Code) as soon as the amount thereof can be determined but in no event later than the thirtieth (30th) day after the occurrence of a Date of Termination. In the event that the amount of the estimated payments exceeds the amount subsequently determined to have been due, such excess shall constitute a loan by the Company to the Executive, payable on the fifth (5th) business day after demand by the Company (together with interest at 120% of the rate provided in section 1274(b)(2)(B) of the Code). At the time that payments are made under this Agreement, the Company shall provide the Executive with a written statement setting forth the manner in which such payments were calculated and the basis for such calculations including, without limitation, any opinions or other advice the Company has received from the Auditor or other advisors or consultants (and any such opinions or advice which are in writing shall be attached to the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156750709.3</w:t>
      </w:r>
    </w:p>
    <w:p>
      <w:pPr>
        <w:sectPr>
          <w:pgSz w:w="11900" w:h="16838" w:orient="portrait"/>
          <w:cols w:equalWidth="0" w:num="1">
            <w:col w:w="11240"/>
          </w:cols>
          <w:pgMar w:left="320" w:top="266"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left="340" w:right="220"/>
        <w:spacing w:after="0" w:line="282" w:lineRule="auto"/>
        <w:rPr>
          <w:sz w:val="20"/>
          <w:szCs w:val="20"/>
          <w:color w:val="auto"/>
        </w:rPr>
      </w:pPr>
      <w:r>
        <w:rPr>
          <w:rFonts w:ascii="Times New Roman" w:cs="Times New Roman" w:eastAsia="Times New Roman" w:hAnsi="Times New Roman"/>
          <w:sz w:val="18"/>
          <w:szCs w:val="18"/>
          <w:color w:val="auto"/>
        </w:rPr>
        <w:t>The payments provided in Section 5.1(C) will be paid not later than 75 days following the end of the calendar year in which the Date of Termination occurs, unless another payment date is required by the operation of Section 13.3.</w:t>
      </w:r>
    </w:p>
    <w:p>
      <w:pPr>
        <w:spacing w:after="0" w:line="121" w:lineRule="exact"/>
        <w:rPr>
          <w:sz w:val="20"/>
          <w:szCs w:val="20"/>
          <w:color w:val="auto"/>
        </w:rPr>
      </w:pPr>
    </w:p>
    <w:p>
      <w:pPr>
        <w:jc w:val="both"/>
        <w:ind w:left="340" w:right="220" w:firstLine="1102"/>
        <w:spacing w:after="0" w:line="254" w:lineRule="auto"/>
        <w:rPr>
          <w:sz w:val="20"/>
          <w:szCs w:val="20"/>
          <w:color w:val="auto"/>
        </w:rPr>
      </w:pPr>
      <w:r>
        <w:rPr>
          <w:rFonts w:ascii="Times New Roman" w:cs="Times New Roman" w:eastAsia="Times New Roman" w:hAnsi="Times New Roman"/>
          <w:sz w:val="18"/>
          <w:szCs w:val="18"/>
          <w:color w:val="auto"/>
        </w:rPr>
        <w:t>5.4 The Company shall pay to the Executive all legal fees and expenses incurred by the Executive in disputing in good faith any issue hereunder relating to the termination of the Executive's employment or in seeking in good faith to obtain or enforce any benefit or right provided by this Agreement or in connection with any tax audit or proceeding to the extent attributable to the application of section 4999 of the Code to any payment or benefit provided hereunder. Such payments shall be made within five (5) business days after delivery of the Executive's written requests for payment accompanied with such evidence of fees and expenses incurred as the Company reasonably may require. The Executive's reimbursement rights described in this Section 5.4 shall remain in effect for the life of the Executive, provided, that, in order for the Executive to be entitled to reimbursement hereunder, the Executive must submit the written reimbursement request described above within 180 days following the date upon which the applicable fee or expense is incurred.</w:t>
      </w:r>
    </w:p>
    <w:p>
      <w:pPr>
        <w:spacing w:after="0" w:line="151" w:lineRule="exact"/>
        <w:rPr>
          <w:sz w:val="20"/>
          <w:szCs w:val="20"/>
          <w:color w:val="auto"/>
        </w:rPr>
      </w:pPr>
    </w:p>
    <w:p>
      <w:pPr>
        <w:jc w:val="both"/>
        <w:ind w:left="340" w:right="220" w:firstLine="1102"/>
        <w:spacing w:after="0" w:line="256" w:lineRule="auto"/>
        <w:rPr>
          <w:sz w:val="20"/>
          <w:szCs w:val="20"/>
          <w:color w:val="auto"/>
        </w:rPr>
      </w:pPr>
      <w:r>
        <w:rPr>
          <w:rFonts w:ascii="Times New Roman" w:cs="Times New Roman" w:eastAsia="Times New Roman" w:hAnsi="Times New Roman"/>
          <w:sz w:val="18"/>
          <w:szCs w:val="18"/>
          <w:color w:val="auto"/>
        </w:rPr>
        <w:t>5.5 Notwithstanding anything in this Agreement to the contrary, the Executive’s entitlement to payments and benefits described in Section 5.1 hereof shall be conditioned upon the Executive’s execution and non-revocation of a customary and reasonable release of claims in favor of the Company, which release of claims shall be delivered to the Executive on the Date of Termination and which shall be required to be executed not later than the 60th day following such Date of Termination. If such a 60-day period includes portions of two calendar years, then for purposes of the first sentence of Section 5.3, the release of claims shall be deemed to have become irrevocable in the later of such calendar years, notwithstanding that it may in fact have become irrevocable in the earlier calendar year.</w:t>
      </w:r>
    </w:p>
    <w:p>
      <w:pPr>
        <w:spacing w:after="0" w:line="160" w:lineRule="exact"/>
        <w:rPr>
          <w:sz w:val="20"/>
          <w:szCs w:val="20"/>
          <w:color w:val="auto"/>
        </w:rPr>
      </w:pPr>
    </w:p>
    <w:p>
      <w:pPr>
        <w:ind w:left="720" w:hanging="544"/>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Procedures and Compensation During Dispute.</w:t>
      </w:r>
    </w:p>
    <w:p>
      <w:pPr>
        <w:spacing w:after="0" w:line="185" w:lineRule="exact"/>
        <w:rPr>
          <w:sz w:val="20"/>
          <w:szCs w:val="20"/>
          <w:color w:val="auto"/>
        </w:rPr>
      </w:pPr>
    </w:p>
    <w:p>
      <w:pPr>
        <w:jc w:val="both"/>
        <w:ind w:left="340" w:right="220" w:firstLine="1102"/>
        <w:spacing w:after="0" w:line="254"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After a Change in Control, any purported termination of the Executive’s employment (other than by reason of death) shall be communicated by written Notice of Termination from one party hereto to the other party hereto in accordance with Section 9. For purposes of this Agreement, a “Notice of Termination” shall mean a notice which shall indicate the specific termination provision in this Agreement relied upon and shall set forth in reasonable detail any facts and circumstances claimed to provide a basis for termination of the Executive’s employment under the provision so indicated. Further, a Notice of Termination for Cause is required to include a copy of a resolution duly adopted by the affirmative vote of not less than two-thirds (2/3) of the entire membership of the Board at a meeting of the Board which was called and held for the purpose of considering such termination (after reasonable notice to the Executive and an opportunity for the Executive, together with the Executive’s counsel, to be heard before the Board) finding that, in the good faith opinion of the Board, the Executive was guilty of conduct set forth in clause (i), (ii) or (iii) of the definition of Cause herein, and specifying the particulars thereof in detail.</w:t>
      </w:r>
    </w:p>
    <w:p>
      <w:pPr>
        <w:spacing w:after="0" w:line="148" w:lineRule="exact"/>
        <w:rPr>
          <w:sz w:val="20"/>
          <w:szCs w:val="20"/>
          <w:color w:val="auto"/>
        </w:rPr>
      </w:pPr>
    </w:p>
    <w:p>
      <w:pPr>
        <w:jc w:val="both"/>
        <w:ind w:left="340" w:right="220" w:firstLine="1102"/>
        <w:spacing w:after="0" w:line="257"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Date of Termination</w:t>
      </w:r>
      <w:r>
        <w:rPr>
          <w:rFonts w:ascii="Times New Roman" w:cs="Times New Roman" w:eastAsia="Times New Roman" w:hAnsi="Times New Roman"/>
          <w:sz w:val="18"/>
          <w:szCs w:val="18"/>
          <w:color w:val="auto"/>
        </w:rPr>
        <w:t>. “Date of Termination,” with respect to any purported termination of the Executive’s employment after a Change in Control, shall mean (i) if the Executive’s employment is terminated for Disability, thirty (30) days after Notice of Termination is given (provided that the Executive shall not have returned to the full-time performance of the Executive’s duties during such thirty (30) day period), and</w:t>
      </w:r>
    </w:p>
    <w:p>
      <w:pPr>
        <w:spacing w:after="0" w:line="1" w:lineRule="exact"/>
        <w:rPr>
          <w:sz w:val="20"/>
          <w:szCs w:val="20"/>
          <w:color w:val="auto"/>
        </w:rPr>
      </w:pPr>
    </w:p>
    <w:p>
      <w:pPr>
        <w:jc w:val="both"/>
        <w:ind w:left="340" w:right="220" w:hanging="8"/>
        <w:spacing w:after="0" w:line="253" w:lineRule="auto"/>
        <w:tabs>
          <w:tab w:leader="none" w:pos="63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Executive’s employment is terminated for any other reason, the date specified in the Notice of Termination (which, in the case of a termination by the Company, shall not be less than thirty (30) days (except in the case of a termination for Cause) and, in the case of a termination by the Executive, shall not be less than fifteen (15) days nor more than sixty (60) days, respectively, from the date the Company’s right to cure set forth in Section 15.15 expires).</w:t>
      </w:r>
    </w:p>
    <w:p>
      <w:pPr>
        <w:spacing w:after="0" w:line="162" w:lineRule="exact"/>
        <w:rPr>
          <w:sz w:val="20"/>
          <w:szCs w:val="20"/>
          <w:color w:val="auto"/>
        </w:rPr>
      </w:pPr>
    </w:p>
    <w:p>
      <w:pPr>
        <w:jc w:val="both"/>
        <w:ind w:left="340" w:right="220" w:firstLine="1102"/>
        <w:spacing w:after="0" w:line="257"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Dispute Concerning Termination</w:t>
      </w:r>
      <w:r>
        <w:rPr>
          <w:rFonts w:ascii="Times New Roman" w:cs="Times New Roman" w:eastAsia="Times New Roman" w:hAnsi="Times New Roman"/>
          <w:sz w:val="18"/>
          <w:szCs w:val="18"/>
          <w:color w:val="auto"/>
        </w:rPr>
        <w:t>. If within ten (10) days after any Notice of Termination is given, or, if later, prior to the Date of Termination (as determined without regard to this Section 6.3), the party receiving such Notice of Termination notifies the other party that a dispute exists concerning the termination, the Date of Termination shall be extended until the earlier of (i) the date on which the Term ends or</w:t>
      </w:r>
    </w:p>
    <w:p>
      <w:pPr>
        <w:spacing w:after="0" w:line="1" w:lineRule="exact"/>
        <w:rPr>
          <w:sz w:val="20"/>
          <w:szCs w:val="20"/>
          <w:color w:val="auto"/>
        </w:rPr>
      </w:pPr>
    </w:p>
    <w:p>
      <w:pPr>
        <w:jc w:val="both"/>
        <w:ind w:left="340" w:right="220" w:hanging="8"/>
        <w:spacing w:after="0" w:line="253" w:lineRule="auto"/>
        <w:tabs>
          <w:tab w:leader="none" w:pos="61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date on which the dispute is finally resolved, either by mutual written agreement of the parties or by a final judgment, order or decree of an arbitrator or a court of competent jurisdiction (which is not appealable or with respect to which the time for appeal therefrom has expired and no appeal has been perfected);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Date of Termination shall be extended by a notice of dispute given by the Executive only if such notice is given in good faith and the Executive pursues the resolution of such dispute with reasonable diligence.</w:t>
      </w:r>
    </w:p>
    <w:p>
      <w:pPr>
        <w:spacing w:after="0" w:line="148" w:lineRule="exact"/>
        <w:rPr>
          <w:sz w:val="20"/>
          <w:szCs w:val="20"/>
          <w:color w:val="auto"/>
        </w:rPr>
      </w:pPr>
    </w:p>
    <w:p>
      <w:pPr>
        <w:jc w:val="both"/>
        <w:ind w:left="340" w:right="220" w:firstLine="1102"/>
        <w:spacing w:after="0" w:line="256"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Compensation During Dispute</w:t>
      </w:r>
      <w:r>
        <w:rPr>
          <w:rFonts w:ascii="Times New Roman" w:cs="Times New Roman" w:eastAsia="Times New Roman" w:hAnsi="Times New Roman"/>
          <w:sz w:val="18"/>
          <w:szCs w:val="18"/>
          <w:color w:val="auto"/>
        </w:rPr>
        <w:t>. If the Date of Termination is extended in accordance with Section 6.3, the Company shall continue to pay the Executive the full compensation in effect when the notice giving rise to the dispute was given (including, but not limited to, the Base Salary) and continue the Executive as a participant in all compensation, benefit and insurance plans in which the Executive was participating when the notice giving rise to the dispute was given, until the Date of Termination, as determined in accordance with Section 6.3. Amounts paid under this Section 6.4 are in addition to all other amounts due under this Agreement (other than those due under Section 4.1) and shall not be offset against or reduce any other amounts due under this Agreement.</w:t>
      </w:r>
    </w:p>
    <w:p>
      <w:pPr>
        <w:sectPr>
          <w:pgSz w:w="11900" w:h="16838" w:orient="portrait"/>
          <w:cols w:equalWidth="0" w:num="1">
            <w:col w:w="11240"/>
          </w:cols>
          <w:pgMar w:left="320" w:top="2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156750709.3</w:t>
      </w:r>
    </w:p>
    <w:p>
      <w:pPr>
        <w:sectPr>
          <w:pgSz w:w="11900" w:h="16838" w:orient="portrait"/>
          <w:cols w:equalWidth="0" w:num="1">
            <w:col w:w="11240"/>
          </w:cols>
          <w:pgMar w:left="320" w:top="266" w:right="339" w:bottom="1440" w:gutter="0" w:footer="0" w:header="0"/>
          <w:type w:val="continuous"/>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left="720" w:right="220" w:hanging="544"/>
        <w:spacing w:after="0" w:line="258" w:lineRule="auto"/>
        <w:tabs>
          <w:tab w:leader="none" w:pos="7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Mitigation</w:t>
      </w:r>
      <w:r>
        <w:rPr>
          <w:rFonts w:ascii="Times New Roman" w:cs="Times New Roman" w:eastAsia="Times New Roman" w:hAnsi="Times New Roman"/>
          <w:sz w:val="18"/>
          <w:szCs w:val="18"/>
          <w:color w:val="auto"/>
        </w:rPr>
        <w:t>. If the Executive’s employment with the Company terminates following a Change in Control, the Executive is not required to seek other employment or to attempt in any way to reduce any amounts payable to the Executive by the Company pursuant to Section 5 or Section 6.4. Except as set forth in Section 5.1(B), the amount of any payment or benefit provided for or referenced in this Agreement shall not be reduced by any compensation earned by the Executive as the result of employment by another employer, by retirement benefits, by offset against any amount claimed to be owed by the Executive to the Company, or otherwise.</w:t>
      </w:r>
    </w:p>
    <w:p>
      <w:pPr>
        <w:spacing w:after="0" w:line="142" w:lineRule="exact"/>
        <w:rPr>
          <w:rFonts w:ascii="Times New Roman" w:cs="Times New Roman" w:eastAsia="Times New Roman" w:hAnsi="Times New Roman"/>
          <w:sz w:val="18"/>
          <w:szCs w:val="18"/>
          <w:color w:val="auto"/>
        </w:rPr>
      </w:pPr>
    </w:p>
    <w:p>
      <w:pPr>
        <w:ind w:left="720" w:hanging="544"/>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Binding Agreement.</w:t>
      </w:r>
    </w:p>
    <w:p>
      <w:pPr>
        <w:spacing w:after="0" w:line="185" w:lineRule="exact"/>
        <w:rPr>
          <w:sz w:val="20"/>
          <w:szCs w:val="20"/>
          <w:color w:val="auto"/>
        </w:rPr>
      </w:pPr>
    </w:p>
    <w:p>
      <w:pPr>
        <w:jc w:val="both"/>
        <w:ind w:left="340" w:right="220" w:firstLine="1102"/>
        <w:spacing w:after="0" w:line="261" w:lineRule="auto"/>
        <w:rPr>
          <w:sz w:val="20"/>
          <w:szCs w:val="20"/>
          <w:color w:val="auto"/>
        </w:rPr>
      </w:pPr>
      <w:r>
        <w:rPr>
          <w:rFonts w:ascii="Times New Roman" w:cs="Times New Roman" w:eastAsia="Times New Roman" w:hAnsi="Times New Roman"/>
          <w:sz w:val="18"/>
          <w:szCs w:val="18"/>
          <w:color w:val="auto"/>
        </w:rPr>
        <w:t xml:space="preserve">8.1 This Agreement supersedes any other agreements, including the Prior Agreement, or representations, oral or otherwise, express or implied, with respect to the subject matter hereof (including the Change in Control Agreement by and between the Company and the Executive dated February 22, 2007) which have been made by either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Agreement shall not supersede any agreement setting forth the terms and conditions of the Executive’s employment with the Company or any subsidiary of the Company.</w:t>
      </w:r>
    </w:p>
    <w:p>
      <w:pPr>
        <w:spacing w:after="0" w:line="153" w:lineRule="exact"/>
        <w:rPr>
          <w:sz w:val="20"/>
          <w:szCs w:val="20"/>
          <w:color w:val="auto"/>
        </w:rPr>
      </w:pPr>
    </w:p>
    <w:p>
      <w:pPr>
        <w:jc w:val="both"/>
        <w:ind w:left="340" w:right="220" w:firstLine="1102"/>
        <w:spacing w:after="0" w:line="258" w:lineRule="auto"/>
        <w:rPr>
          <w:sz w:val="20"/>
          <w:szCs w:val="20"/>
          <w:color w:val="auto"/>
        </w:rPr>
      </w:pPr>
      <w:r>
        <w:rPr>
          <w:rFonts w:ascii="Times New Roman" w:cs="Times New Roman" w:eastAsia="Times New Roman" w:hAnsi="Times New Roman"/>
          <w:sz w:val="18"/>
          <w:szCs w:val="18"/>
          <w:color w:val="auto"/>
        </w:rPr>
        <w:t>8.2 This Agreement shall inure to the benefit of and be enforceable by the Executive’s personal or legal representatives, executors, administrators, successors, heirs, distributees, devisees and legatees. If the Executive shall die while any amount would still be payable to the Executive hereunder (other than amounts which, by their terms, terminate upon the death of the Executive) if the Executive had continued to live, all such amounts, unless otherwise provided herein, shall be paid in accordance with the terms of this Agreement to the executors, personal representatives or administrators of the Executive’s estate.</w:t>
      </w:r>
    </w:p>
    <w:p>
      <w:pPr>
        <w:spacing w:after="0" w:line="143" w:lineRule="exact"/>
        <w:rPr>
          <w:sz w:val="20"/>
          <w:szCs w:val="20"/>
          <w:color w:val="auto"/>
        </w:rPr>
      </w:pPr>
    </w:p>
    <w:p>
      <w:pPr>
        <w:jc w:val="both"/>
        <w:ind w:left="720" w:right="220" w:hanging="544"/>
        <w:spacing w:after="0" w:line="258" w:lineRule="auto"/>
        <w:tabs>
          <w:tab w:leader="none" w:pos="7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For the purpose of this Agreement, notices and all other communications provided for in the Agreement shall be in writing and shall be deemed to have been duly given when delivered or mailed by United States registered or certified mail, return receipt requested, postage prepaid, addressed to the last known residence address of the Executive or in the case of the Company, to its principal office to the attention of the General Counsel of the Company with a copy to its clerk or Secretary, or to such other address as either party may have furnished to the other in writing in accordance herewith, except that notice of change of address shall be effective only upon receipt.</w:t>
      </w:r>
    </w:p>
    <w:p>
      <w:pPr>
        <w:spacing w:after="0" w:line="142" w:lineRule="exact"/>
        <w:rPr>
          <w:rFonts w:ascii="Times New Roman" w:cs="Times New Roman" w:eastAsia="Times New Roman" w:hAnsi="Times New Roman"/>
          <w:sz w:val="18"/>
          <w:szCs w:val="18"/>
          <w:color w:val="auto"/>
        </w:rPr>
      </w:pPr>
    </w:p>
    <w:p>
      <w:pPr>
        <w:jc w:val="both"/>
        <w:ind w:left="720" w:right="220" w:hanging="544"/>
        <w:spacing w:after="0" w:line="253" w:lineRule="auto"/>
        <w:tabs>
          <w:tab w:leader="none" w:pos="71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No provision of this Agreement may be modified, waived or discharged unless such waiver, modification or discharge is agreed to in writing and signed by the Executive and such officer as may be specifically designated by the Board. No waiver by either party hereto at any time of any breach by the other party hereto of, or of any lack of compliance with, any condition or provision of this Agreement to be performed by such other party shall be deemed a waiver of similar or dissimilar provisions or conditions at the same or at any prior or subsequent time. The validity, interpretation, construction and performance of this Agreement shall be governed by the laws of the State of Washington. All references to sections of the Exchange Act or the Code shall be deemed also to refer to any successor provisions to such sections. Any payments provided for hereunder shall be paid net of any applicable withholding required under federal, state or local law and any additional withholding to which the Executive has agreed. The obligations of the Company and the Executive under this Agreement which by their nature may require either partial or total performance after the expiration of the Term (including, without limitation, those under Sections 5, 6 and 14) shall survive such expiration.</w:t>
      </w:r>
    </w:p>
    <w:p>
      <w:pPr>
        <w:spacing w:after="0" w:line="167" w:lineRule="exact"/>
        <w:rPr>
          <w:rFonts w:ascii="Times New Roman" w:cs="Times New Roman" w:eastAsia="Times New Roman" w:hAnsi="Times New Roman"/>
          <w:sz w:val="18"/>
          <w:szCs w:val="18"/>
          <w:color w:val="auto"/>
        </w:rPr>
      </w:pPr>
    </w:p>
    <w:p>
      <w:pPr>
        <w:ind w:left="720" w:right="220" w:hanging="544"/>
        <w:spacing w:after="0" w:line="282" w:lineRule="auto"/>
        <w:tabs>
          <w:tab w:leader="none" w:pos="70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Validity</w:t>
      </w:r>
      <w:r>
        <w:rPr>
          <w:rFonts w:ascii="Times New Roman" w:cs="Times New Roman" w:eastAsia="Times New Roman" w:hAnsi="Times New Roman"/>
          <w:sz w:val="18"/>
          <w:szCs w:val="18"/>
          <w:color w:val="auto"/>
        </w:rPr>
        <w:t>. The invalidity or unenforceability of any provision of this Agreement shall not affect the validity or enforceability of any other provision of this Agreement, which shall remain in full force and effect.</w:t>
      </w:r>
    </w:p>
    <w:p>
      <w:pPr>
        <w:spacing w:after="0" w:line="121" w:lineRule="exact"/>
        <w:rPr>
          <w:rFonts w:ascii="Times New Roman" w:cs="Times New Roman" w:eastAsia="Times New Roman" w:hAnsi="Times New Roman"/>
          <w:sz w:val="18"/>
          <w:szCs w:val="18"/>
          <w:color w:val="auto"/>
        </w:rPr>
      </w:pPr>
    </w:p>
    <w:p>
      <w:pPr>
        <w:ind w:left="720" w:right="220" w:hanging="544"/>
        <w:spacing w:after="0" w:line="282" w:lineRule="auto"/>
        <w:tabs>
          <w:tab w:leader="none" w:pos="71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several counterparts, each of which shall be deemed to be an original but all of which together will constitute one and the same instrument.</w:t>
      </w:r>
    </w:p>
    <w:p>
      <w:pPr>
        <w:spacing w:after="0" w:line="121" w:lineRule="exact"/>
        <w:rPr>
          <w:rFonts w:ascii="Times New Roman" w:cs="Times New Roman" w:eastAsia="Times New Roman" w:hAnsi="Times New Roman"/>
          <w:sz w:val="18"/>
          <w:szCs w:val="18"/>
          <w:color w:val="auto"/>
        </w:rPr>
      </w:pPr>
    </w:p>
    <w:p>
      <w:pPr>
        <w:ind w:left="720" w:hanging="544"/>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Disputes; Arbitration; 409A Compliance.</w:t>
      </w:r>
    </w:p>
    <w:p>
      <w:pPr>
        <w:spacing w:after="0" w:line="198" w:lineRule="exact"/>
        <w:rPr>
          <w:sz w:val="20"/>
          <w:szCs w:val="20"/>
          <w:color w:val="auto"/>
        </w:rPr>
      </w:pPr>
    </w:p>
    <w:p>
      <w:pPr>
        <w:jc w:val="both"/>
        <w:ind w:left="340" w:right="220" w:firstLine="1102"/>
        <w:spacing w:after="0" w:line="258" w:lineRule="auto"/>
        <w:rPr>
          <w:sz w:val="20"/>
          <w:szCs w:val="20"/>
          <w:color w:val="auto"/>
        </w:rPr>
      </w:pPr>
      <w:r>
        <w:rPr>
          <w:rFonts w:ascii="Times New Roman" w:cs="Times New Roman" w:eastAsia="Times New Roman" w:hAnsi="Times New Roman"/>
          <w:sz w:val="18"/>
          <w:szCs w:val="18"/>
          <w:color w:val="auto"/>
        </w:rPr>
        <w:t>13.1 All claims by the Executive for benefits under this Agreement shall be directed to and determined by the Board and shall be in writing. Any denial by the Board of a claim for benefits under this Agreement shall be delivered to the Executive in writing and shall set forth the specific reasons for the denial and the specific provisions of this Agreement relied upon. The Board shall afford a reasonable opportunity to the Executive for a review of the decision denying a claim and shall further allow the Executive to appeal to the Board a decision of the Board within sixty (60) days after notification by the Board that the Executive’s claim has been denied.</w:t>
      </w:r>
    </w:p>
    <w:p>
      <w:pPr>
        <w:spacing w:after="0" w:line="143" w:lineRule="exact"/>
        <w:rPr>
          <w:sz w:val="20"/>
          <w:szCs w:val="20"/>
          <w:color w:val="auto"/>
        </w:rPr>
      </w:pPr>
    </w:p>
    <w:p>
      <w:pPr>
        <w:jc w:val="both"/>
        <w:ind w:left="340" w:right="220" w:firstLine="1102"/>
        <w:spacing w:after="0" w:line="258" w:lineRule="auto"/>
        <w:rPr>
          <w:sz w:val="20"/>
          <w:szCs w:val="20"/>
          <w:color w:val="auto"/>
        </w:rPr>
      </w:pPr>
      <w:r>
        <w:rPr>
          <w:rFonts w:ascii="Times New Roman" w:cs="Times New Roman" w:eastAsia="Times New Roman" w:hAnsi="Times New Roman"/>
          <w:sz w:val="18"/>
          <w:szCs w:val="18"/>
          <w:color w:val="auto"/>
        </w:rPr>
        <w:t xml:space="preserve">13.2 Any further dispute or controversy arising under or in connection with this Agreement shall be settled exclusively by arbitration in Seattle, Washington in accordance with the rules of the American Arbitration Association then in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evidentiary standards set forth in this Agreement shall apply. Judgment may be entered on the arbitrator’s award in any court having jurisdiction. Notwithstanding any provision of this Agreement to the contrary, the Executive shall be entitled to seek specific performance of the Executive’s right to be</w:t>
      </w:r>
    </w:p>
    <w:p>
      <w:pPr>
        <w:sectPr>
          <w:pgSz w:w="11900" w:h="16838" w:orient="portrait"/>
          <w:cols w:equalWidth="0" w:num="1">
            <w:col w:w="11240"/>
          </w:cols>
          <w:pgMar w:left="320" w:top="2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156750709.3</w:t>
      </w:r>
    </w:p>
    <w:p>
      <w:pPr>
        <w:sectPr>
          <w:pgSz w:w="11900" w:h="16838" w:orient="portrait"/>
          <w:cols w:equalWidth="0" w:num="1">
            <w:col w:w="11240"/>
          </w:cols>
          <w:pgMar w:left="320" w:top="266" w:right="339" w:bottom="1440" w:gutter="0" w:footer="0" w:header="0"/>
          <w:type w:val="continuous"/>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paid until the Date of Termination during the pendency of any dispute or controversy arising under or in connection with this Agreement.</w:t>
      </w:r>
    </w:p>
    <w:p>
      <w:pPr>
        <w:spacing w:after="0" w:line="185" w:lineRule="exact"/>
        <w:rPr>
          <w:sz w:val="20"/>
          <w:szCs w:val="20"/>
          <w:color w:val="auto"/>
        </w:rPr>
      </w:pPr>
    </w:p>
    <w:p>
      <w:pPr>
        <w:jc w:val="both"/>
        <w:ind w:left="340" w:right="220" w:firstLine="1102"/>
        <w:spacing w:after="0" w:line="266" w:lineRule="auto"/>
        <w:rPr>
          <w:sz w:val="20"/>
          <w:szCs w:val="20"/>
          <w:color w:val="auto"/>
        </w:rPr>
      </w:pPr>
      <w:r>
        <w:rPr>
          <w:rFonts w:ascii="Times New Roman" w:cs="Times New Roman" w:eastAsia="Times New Roman" w:hAnsi="Times New Roman"/>
          <w:sz w:val="18"/>
          <w:szCs w:val="18"/>
          <w:color w:val="auto"/>
        </w:rPr>
        <w:t>13.3 It is the intention of the Company and the Executive that this Agreement not result in taxation of the Executive under Section 409A of the Code and the regulations and guidance promulgated thereunder and that the Agreement shall be construed in accordance with such intention. Without limiting the generality of the foregoing, the Company and the Executive agree as follows:</w:t>
      </w:r>
    </w:p>
    <w:p>
      <w:pPr>
        <w:spacing w:after="0" w:line="135" w:lineRule="exact"/>
        <w:rPr>
          <w:sz w:val="20"/>
          <w:szCs w:val="20"/>
          <w:color w:val="auto"/>
        </w:rPr>
      </w:pPr>
    </w:p>
    <w:p>
      <w:pPr>
        <w:jc w:val="both"/>
        <w:ind w:left="720" w:right="220" w:firstLine="1038"/>
        <w:spacing w:after="0" w:line="255" w:lineRule="auto"/>
        <w:tabs>
          <w:tab w:leader="none" w:pos="2587"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if the Executive is a “specified employee” (within the meaning of Section 409A(a)(2)(B)(i) of the Code) with respect to the Company, any amounts (or benefits) otherwise payable to or in respect of him under this Agreement pursuant to the Executive’s termination of employment with the Company shall be delayed, to the extent required so that taxes are not imposed on the Executive pursuant to Section 409A of the Code, and shall be paid upon the earliest date permitted by Section 409A(a)</w:t>
      </w:r>
    </w:p>
    <w:p>
      <w:pPr>
        <w:spacing w:after="0" w:line="2" w:lineRule="exact"/>
        <w:rPr>
          <w:rFonts w:ascii="Times New Roman" w:cs="Times New Roman" w:eastAsia="Times New Roman" w:hAnsi="Times New Roman"/>
          <w:sz w:val="18"/>
          <w:szCs w:val="18"/>
          <w:color w:val="auto"/>
        </w:rPr>
      </w:pPr>
    </w:p>
    <w:p>
      <w:pPr>
        <w:ind w:left="980" w:hanging="259"/>
        <w:spacing w:after="0"/>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w:t>
      </w:r>
    </w:p>
    <w:p>
      <w:pPr>
        <w:spacing w:after="0" w:line="179" w:lineRule="exact"/>
        <w:rPr>
          <w:rFonts w:ascii="Times New Roman" w:cs="Times New Roman" w:eastAsia="Times New Roman" w:hAnsi="Times New Roman"/>
          <w:sz w:val="18"/>
          <w:szCs w:val="18"/>
          <w:color w:val="auto"/>
        </w:rPr>
      </w:pPr>
    </w:p>
    <w:p>
      <w:pPr>
        <w:ind w:left="720" w:right="220" w:firstLine="1038"/>
        <w:spacing w:after="0" w:line="282" w:lineRule="auto"/>
        <w:tabs>
          <w:tab w:leader="none" w:pos="2591"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the Executive’s employment with the Company will not be treated as terminated unless and until such termination of employment constitutes a “separation from service” for purposes of Section 409A of the Code;</w:t>
      </w:r>
    </w:p>
    <w:p>
      <w:pPr>
        <w:spacing w:after="0" w:line="121" w:lineRule="exact"/>
        <w:rPr>
          <w:rFonts w:ascii="Times New Roman" w:cs="Times New Roman" w:eastAsia="Times New Roman" w:hAnsi="Times New Roman"/>
          <w:sz w:val="18"/>
          <w:szCs w:val="18"/>
          <w:color w:val="auto"/>
        </w:rPr>
      </w:pPr>
    </w:p>
    <w:p>
      <w:pPr>
        <w:jc w:val="both"/>
        <w:ind w:left="720" w:right="220" w:firstLine="1038"/>
        <w:spacing w:after="0" w:line="254" w:lineRule="auto"/>
        <w:tabs>
          <w:tab w:leader="none" w:pos="2591"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necessary to comply with the provisions of Section 409A of the Code and the guidance issued thereunder (1) reimbursements to the Executive as a result of the operation of Section 5.1(B) or Section 5.4 hereof shall be made not later than the end of the calendar year following the year in which the reimbursable expense is incurred or applicable tax is paid and shall otherwise be made in a manner that complies with the requirements of Treasury Regulation Section 1.409A-3(i)(l)(iv), (2) if Executive is a “specified employee” (within the meaning of Section 409A(a)(2)(B)(i) of the Code), any reimbursements to the Executive as a result of the operation of such sections with respect to a reimbursable event within the first six months following the Date of Termination which are required to be delayed pursuant to Section 13.1(A) shall be made as soon as practicable following the date which is six months and one day following the Date of Termination (subject to clause (A) of this sentence); and</w:t>
      </w:r>
    </w:p>
    <w:p>
      <w:pPr>
        <w:spacing w:after="0" w:line="151" w:lineRule="exact"/>
        <w:rPr>
          <w:rFonts w:ascii="Times New Roman" w:cs="Times New Roman" w:eastAsia="Times New Roman" w:hAnsi="Times New Roman"/>
          <w:sz w:val="18"/>
          <w:szCs w:val="18"/>
          <w:color w:val="auto"/>
        </w:rPr>
      </w:pPr>
    </w:p>
    <w:p>
      <w:pPr>
        <w:jc w:val="both"/>
        <w:ind w:left="720" w:right="220" w:firstLine="1038"/>
        <w:spacing w:after="0" w:line="261" w:lineRule="auto"/>
        <w:tabs>
          <w:tab w:leader="none" w:pos="2587"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provisions of Section 4.3 or 5.1(C) are applicable to an equity or equity-based award subject to the provisions of Section 409A of the Code and the immediate payment of the award contemplated by such sections would result in taxation under Section 409A, payment of such awards shall be made upon the earliest date upon which such payment may be made without resulting in taxation under Section 409A of the Code.</w:t>
      </w:r>
    </w:p>
    <w:p>
      <w:pPr>
        <w:spacing w:after="0" w:line="152" w:lineRule="exact"/>
        <w:rPr>
          <w:rFonts w:ascii="Times New Roman" w:cs="Times New Roman" w:eastAsia="Times New Roman" w:hAnsi="Times New Roman"/>
          <w:sz w:val="18"/>
          <w:szCs w:val="18"/>
          <w:color w:val="auto"/>
        </w:rPr>
      </w:pPr>
    </w:p>
    <w:p>
      <w:pPr>
        <w:ind w:left="720" w:hanging="544"/>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 Non-Disparagement.</w:t>
      </w:r>
    </w:p>
    <w:p>
      <w:pPr>
        <w:spacing w:after="0" w:line="185" w:lineRule="exact"/>
        <w:rPr>
          <w:sz w:val="20"/>
          <w:szCs w:val="20"/>
          <w:color w:val="auto"/>
        </w:rPr>
      </w:pPr>
    </w:p>
    <w:p>
      <w:pPr>
        <w:jc w:val="both"/>
        <w:ind w:left="340" w:right="220" w:firstLine="1102"/>
        <w:spacing w:after="0" w:line="255" w:lineRule="auto"/>
        <w:rPr>
          <w:sz w:val="20"/>
          <w:szCs w:val="20"/>
          <w:color w:val="auto"/>
        </w:rPr>
      </w:pPr>
      <w:r>
        <w:rPr>
          <w:rFonts w:ascii="Times New Roman" w:cs="Times New Roman" w:eastAsia="Times New Roman" w:hAnsi="Times New Roman"/>
          <w:sz w:val="18"/>
          <w:szCs w:val="18"/>
          <w:color w:val="auto"/>
        </w:rPr>
        <w:t>14.1 During the period commencing on the Date of Termination and ending upon the first anniversary of the Date of Termination, the Executive shall not, directly or indirectly: (i) recruit, hire or solicit for employment or engagement, any person who is employed by the Company or any Affiliate, or (ii) solicit (A) any client or customer doing business with the Company or any Affiliate, as of the Date of Termination and with whom or which the Executive had any contact or involvement during the Executive’s employment with the Company or (B) any prospective client or customer of the Company or any Affiliate whom or which is a prospective client of the Company or any Affiliate as of the Date of Termination and with whom or which the Executive had any contact or involvement during the Executive’s employment with the Company to adversely alter its relationship or cease doing business with the Company or any Affiliate.</w:t>
      </w:r>
    </w:p>
    <w:p>
      <w:pPr>
        <w:spacing w:after="0" w:line="148" w:lineRule="exact"/>
        <w:rPr>
          <w:sz w:val="20"/>
          <w:szCs w:val="20"/>
          <w:color w:val="auto"/>
        </w:rPr>
      </w:pPr>
    </w:p>
    <w:p>
      <w:pPr>
        <w:jc w:val="both"/>
        <w:ind w:left="340" w:right="220" w:firstLine="1102"/>
        <w:spacing w:after="0" w:line="282" w:lineRule="auto"/>
        <w:rPr>
          <w:sz w:val="20"/>
          <w:szCs w:val="20"/>
          <w:color w:val="auto"/>
        </w:rPr>
      </w:pPr>
      <w:r>
        <w:rPr>
          <w:rFonts w:ascii="Times New Roman" w:cs="Times New Roman" w:eastAsia="Times New Roman" w:hAnsi="Times New Roman"/>
          <w:sz w:val="18"/>
          <w:szCs w:val="18"/>
          <w:color w:val="auto"/>
        </w:rPr>
        <w:t>14.2 Following the Date of Termination and thereafter, the Executive shall not, directly or indirectly, make disparaging remarks about the Company or any Affiliate or any of their respective directors, officers or employees.</w:t>
      </w:r>
    </w:p>
    <w:p>
      <w:pPr>
        <w:spacing w:after="0" w:line="135" w:lineRule="exact"/>
        <w:rPr>
          <w:sz w:val="20"/>
          <w:szCs w:val="20"/>
          <w:color w:val="auto"/>
        </w:rPr>
      </w:pPr>
    </w:p>
    <w:p>
      <w:pPr>
        <w:ind w:left="720" w:hanging="544"/>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 the following terms shall have the meanings indicated below:</w:t>
      </w:r>
    </w:p>
    <w:p>
      <w:pPr>
        <w:spacing w:after="0" w:line="185" w:lineRule="exact"/>
        <w:rPr>
          <w:sz w:val="20"/>
          <w:szCs w:val="20"/>
          <w:color w:val="auto"/>
        </w:rPr>
      </w:pPr>
    </w:p>
    <w:p>
      <w:pPr>
        <w:ind w:left="1440"/>
        <w:spacing w:after="0"/>
        <w:tabs>
          <w:tab w:leader="none" w:pos="194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7"/>
          <w:szCs w:val="17"/>
          <w:color w:val="auto"/>
        </w:rPr>
        <w:t>“Affiliate” shall have the meaning set forth in Rule 12b-2 promulgated under Section 12 of the Exchange Act.</w:t>
      </w:r>
    </w:p>
    <w:p>
      <w:pPr>
        <w:spacing w:after="0" w:line="185" w:lineRule="exact"/>
        <w:rPr>
          <w:sz w:val="20"/>
          <w:szCs w:val="20"/>
          <w:color w:val="auto"/>
        </w:rPr>
      </w:pPr>
    </w:p>
    <w:p>
      <w:pPr>
        <w:ind w:left="1440"/>
        <w:spacing w:after="0"/>
        <w:tabs>
          <w:tab w:leader="none" w:pos="194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7"/>
          <w:szCs w:val="17"/>
          <w:color w:val="auto"/>
        </w:rPr>
        <w:t>“Agreement Payments” shall have the meaning set forth in Section 5.2.</w:t>
      </w:r>
    </w:p>
    <w:p>
      <w:pPr>
        <w:spacing w:after="0" w:line="198" w:lineRule="exact"/>
        <w:rPr>
          <w:sz w:val="20"/>
          <w:szCs w:val="20"/>
          <w:color w:val="auto"/>
        </w:rPr>
      </w:pPr>
    </w:p>
    <w:p>
      <w:pPr>
        <w:jc w:val="both"/>
        <w:ind w:left="340" w:right="220" w:firstLine="1102"/>
        <w:spacing w:after="0" w:line="266" w:lineRule="auto"/>
        <w:rPr>
          <w:sz w:val="20"/>
          <w:szCs w:val="20"/>
          <w:color w:val="auto"/>
        </w:rPr>
      </w:pPr>
      <w:r>
        <w:rPr>
          <w:rFonts w:ascii="Times New Roman" w:cs="Times New Roman" w:eastAsia="Times New Roman" w:hAnsi="Times New Roman"/>
          <w:sz w:val="18"/>
          <w:szCs w:val="18"/>
          <w:color w:val="auto"/>
        </w:rPr>
        <w:t>15.3 “Base Salary” shall mean the annual base salary in effect for the Executive immediately prior to a Change in Control, as such salary may be increased from time to time during the Term (in which case such increased amount shall be the Base Salary for purposes hereof), but without giving effect to any reduction thereto.</w:t>
      </w:r>
    </w:p>
    <w:p>
      <w:pPr>
        <w:spacing w:after="0" w:line="135" w:lineRule="exact"/>
        <w:rPr>
          <w:sz w:val="20"/>
          <w:szCs w:val="20"/>
          <w:color w:val="auto"/>
        </w:rPr>
      </w:pPr>
    </w:p>
    <w:p>
      <w:pPr>
        <w:ind w:left="1440"/>
        <w:spacing w:after="0"/>
        <w:tabs>
          <w:tab w:leader="none" w:pos="1940" w:val="left"/>
        </w:tabs>
        <w:rPr>
          <w:sz w:val="20"/>
          <w:szCs w:val="20"/>
          <w:color w:val="auto"/>
        </w:rPr>
      </w:pPr>
      <w:r>
        <w:rPr>
          <w:rFonts w:ascii="Times New Roman" w:cs="Times New Roman" w:eastAsia="Times New Roman" w:hAnsi="Times New Roman"/>
          <w:sz w:val="18"/>
          <w:szCs w:val="18"/>
          <w:color w:val="auto"/>
        </w:rPr>
        <w:t>15.4</w:t>
      </w:r>
      <w:r>
        <w:rPr>
          <w:sz w:val="20"/>
          <w:szCs w:val="20"/>
          <w:color w:val="auto"/>
        </w:rPr>
        <w:tab/>
      </w:r>
      <w:r>
        <w:rPr>
          <w:rFonts w:ascii="Times New Roman" w:cs="Times New Roman" w:eastAsia="Times New Roman" w:hAnsi="Times New Roman"/>
          <w:sz w:val="17"/>
          <w:szCs w:val="17"/>
          <w:color w:val="auto"/>
        </w:rPr>
        <w:t>“Beneficial Owner” shall have the meaning set forth in Rule 13d-3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156750709.3</w:t>
      </w:r>
    </w:p>
    <w:p>
      <w:pPr>
        <w:sectPr>
          <w:pgSz w:w="11900" w:h="16838" w:orient="portrait"/>
          <w:cols w:equalWidth="0" w:num="1">
            <w:col w:w="11240"/>
          </w:cols>
          <w:pgMar w:left="320" w:top="266"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440"/>
        <w:spacing w:after="0"/>
        <w:tabs>
          <w:tab w:leader="none" w:pos="1940" w:val="left"/>
        </w:tabs>
        <w:rPr>
          <w:sz w:val="20"/>
          <w:szCs w:val="20"/>
          <w:color w:val="auto"/>
        </w:rPr>
      </w:pPr>
      <w:r>
        <w:rPr>
          <w:rFonts w:ascii="Times New Roman" w:cs="Times New Roman" w:eastAsia="Times New Roman" w:hAnsi="Times New Roman"/>
          <w:sz w:val="18"/>
          <w:szCs w:val="18"/>
          <w:color w:val="auto"/>
        </w:rPr>
        <w:t>15.5</w:t>
      </w:r>
      <w:r>
        <w:rPr>
          <w:sz w:val="20"/>
          <w:szCs w:val="20"/>
          <w:color w:val="auto"/>
        </w:rPr>
        <w:tab/>
      </w:r>
      <w:r>
        <w:rPr>
          <w:rFonts w:ascii="Times New Roman" w:cs="Times New Roman" w:eastAsia="Times New Roman" w:hAnsi="Times New Roman"/>
          <w:sz w:val="17"/>
          <w:szCs w:val="17"/>
          <w:color w:val="auto"/>
        </w:rPr>
        <w:t>“Board” shall mean the Board of Directors of the Company.</w:t>
      </w:r>
    </w:p>
    <w:p>
      <w:pPr>
        <w:spacing w:after="0" w:line="185" w:lineRule="exact"/>
        <w:rPr>
          <w:sz w:val="20"/>
          <w:szCs w:val="20"/>
          <w:color w:val="auto"/>
        </w:rPr>
      </w:pPr>
    </w:p>
    <w:p>
      <w:pPr>
        <w:jc w:val="both"/>
        <w:ind w:left="340" w:right="220" w:firstLine="1102"/>
        <w:spacing w:after="0" w:line="253" w:lineRule="auto"/>
        <w:rPr>
          <w:sz w:val="20"/>
          <w:szCs w:val="20"/>
          <w:color w:val="auto"/>
        </w:rPr>
      </w:pPr>
      <w:r>
        <w:rPr>
          <w:rFonts w:ascii="Times New Roman" w:cs="Times New Roman" w:eastAsia="Times New Roman" w:hAnsi="Times New Roman"/>
          <w:sz w:val="18"/>
          <w:szCs w:val="18"/>
          <w:color w:val="auto"/>
        </w:rPr>
        <w:t>15.6 “Cause” for termination by the Company of the Executive’s employment shall mean (i) the willful and continued failure by the Executive (other than any such failure resulting from (A) the Executive’s incapacity due to physical or mental illness, (B) any such actual or anticipated failure after the issuance of a Notice of Termination by the Executive for Good Reason or (C) the Company’s active or passive obstruction of the performance of the Executive’s duties and responsibilities) to perform substantially the duties and responsibilities of the Executive’s position with the Company after a written demand for substantial performance is delivered to the Executive by the Board, which demand specifically identifies the manner in which the Board believes that the Executive has not substantially performed such duties or responsibilities; (ii) the conviction of the Executive by a court of competent jurisdiction for felony criminal conduct; (iii) the willful engaging by the Executive in fraud or dishonesty which is demonstrably and materially injurious to the Company or its reputation, monetarily or otherwise; (iv) the willful and serious misconduct by the Executive; or (v) the material violation by the Executive of the Company’s policies or procedures in effect from time to time which results in a material adverse effect on the Company. No act, or failure to act, on the Executive’s part shall be deemed “willful” unless committed, or omitted by the Executive in bad faith and without reasonable belief that the Executive’s act or failure to act was in, or not opposed to, the best interest of the Company.</w:t>
      </w:r>
    </w:p>
    <w:p>
      <w:pPr>
        <w:spacing w:after="0" w:line="149" w:lineRule="exact"/>
        <w:rPr>
          <w:sz w:val="20"/>
          <w:szCs w:val="20"/>
          <w:color w:val="auto"/>
        </w:rPr>
      </w:pPr>
    </w:p>
    <w:p>
      <w:pPr>
        <w:jc w:val="both"/>
        <w:ind w:left="340" w:right="220" w:firstLine="1102"/>
        <w:spacing w:after="0" w:line="282" w:lineRule="auto"/>
        <w:rPr>
          <w:sz w:val="20"/>
          <w:szCs w:val="20"/>
          <w:color w:val="auto"/>
        </w:rPr>
      </w:pPr>
      <w:r>
        <w:rPr>
          <w:rFonts w:ascii="Times New Roman" w:cs="Times New Roman" w:eastAsia="Times New Roman" w:hAnsi="Times New Roman"/>
          <w:sz w:val="18"/>
          <w:szCs w:val="18"/>
          <w:color w:val="auto"/>
        </w:rPr>
        <w:t>15.7 A “Change in Control” shall be deemed to have occurred if any of the events set forth in any one of the following paragraphs shall have occurred:</w:t>
      </w:r>
    </w:p>
    <w:p>
      <w:pPr>
        <w:spacing w:after="0" w:line="135" w:lineRule="exact"/>
        <w:rPr>
          <w:sz w:val="20"/>
          <w:szCs w:val="20"/>
          <w:color w:val="auto"/>
        </w:rPr>
      </w:pPr>
    </w:p>
    <w:p>
      <w:pPr>
        <w:jc w:val="both"/>
        <w:ind w:left="720" w:right="220" w:firstLine="1038"/>
        <w:spacing w:after="0" w:line="261" w:lineRule="auto"/>
        <w:tabs>
          <w:tab w:leader="none" w:pos="258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is or becomes the Beneficial Owner, directly or indirectly, of securities of the Company representing 25% or more of either the then outstanding shares of common stock of the Company or the combined voting power of the Company’s then outstanding securities, excluding any Person who becomes such a Beneficial Owner in connection with a transaction described in Section 15.7(C)(i);</w:t>
      </w:r>
    </w:p>
    <w:p>
      <w:pPr>
        <w:spacing w:after="0" w:line="139" w:lineRule="exact"/>
        <w:rPr>
          <w:rFonts w:ascii="Times New Roman" w:cs="Times New Roman" w:eastAsia="Times New Roman" w:hAnsi="Times New Roman"/>
          <w:sz w:val="18"/>
          <w:szCs w:val="18"/>
          <w:color w:val="auto"/>
        </w:rPr>
      </w:pPr>
    </w:p>
    <w:p>
      <w:pPr>
        <w:jc w:val="both"/>
        <w:ind w:left="720" w:right="220" w:firstLine="1038"/>
        <w:spacing w:after="0" w:line="254" w:lineRule="auto"/>
        <w:tabs>
          <w:tab w:leader="none" w:pos="259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composition of the Board during any two-year period such that the individuals who, as of the date of this agreement, constitute the Board (the “Incumbent Board”) cease for any reason to constitute at least a majority of the Board; provided, however, that for purposes of this definition, any individual who becomes a member of the Board subsequent to the beginning of the two-year period, whose election, or nomination for election by the Company’s shareholders, was approved by a vote of at least two-thirds of those individuals who are members of the Board and who were also members of the Incumbent Board (or deemed to be such pursuant to this proviso) shall be considered as though such individual were a member of the Incumbent Board; and provided further, however, that any such individual whose initial assumption of office occurs as a result of or in connection with an actual or threatened solicitation of proxies or consents by or on behalf of an Person other than the Board shall not be considered a member of the Incumbent Board;</w:t>
      </w:r>
    </w:p>
    <w:p>
      <w:pPr>
        <w:spacing w:after="0" w:line="151" w:lineRule="exact"/>
        <w:rPr>
          <w:rFonts w:ascii="Times New Roman" w:cs="Times New Roman" w:eastAsia="Times New Roman" w:hAnsi="Times New Roman"/>
          <w:sz w:val="18"/>
          <w:szCs w:val="18"/>
          <w:color w:val="auto"/>
        </w:rPr>
      </w:pPr>
    </w:p>
    <w:p>
      <w:pPr>
        <w:jc w:val="both"/>
        <w:ind w:left="720" w:right="220" w:firstLine="1038"/>
        <w:spacing w:after="0" w:line="255" w:lineRule="auto"/>
        <w:tabs>
          <w:tab w:leader="none" w:pos="259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consummated a merger or consolidation of the Company or any direct or indirect subsidiary of the Company with any other corporation, other than (i) a merger or consolidation immediately following which members of the Incumbent Board constitute a majority of the members of the board of directors (or similar body) of the surviving entity or, if the surviving entity is a subsidiary, any parent thereof, or (ii)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25% or more of the combined voting power of the Company’s then outstanding securities; or</w:t>
      </w:r>
    </w:p>
    <w:p>
      <w:pPr>
        <w:spacing w:after="0" w:line="161" w:lineRule="exact"/>
        <w:rPr>
          <w:rFonts w:ascii="Times New Roman" w:cs="Times New Roman" w:eastAsia="Times New Roman" w:hAnsi="Times New Roman"/>
          <w:sz w:val="18"/>
          <w:szCs w:val="18"/>
          <w:color w:val="auto"/>
        </w:rPr>
      </w:pPr>
    </w:p>
    <w:p>
      <w:pPr>
        <w:jc w:val="both"/>
        <w:ind w:left="720" w:right="220" w:firstLine="1038"/>
        <w:spacing w:after="0" w:line="258" w:lineRule="auto"/>
        <w:tabs>
          <w:tab w:leader="none" w:pos="258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Company approve a plan of complete liquidation or dissolution of the Company or the consummation of a sale or disposition by the Company of all or substantially all of the Company’s assets, other than a sale or disposition by the Company of all or substantially all of the Company’s assets to an entity, at least 50% of the combined voting power of the voting securities of which are owned by stockholders of the Company in substantially the same proportions as their ownership of the Company immediately prior to such sale.</w:t>
      </w:r>
    </w:p>
    <w:p>
      <w:pPr>
        <w:spacing w:after="0" w:line="143" w:lineRule="exact"/>
        <w:rPr>
          <w:sz w:val="20"/>
          <w:szCs w:val="20"/>
          <w:color w:val="auto"/>
        </w:rPr>
      </w:pPr>
    </w:p>
    <w:p>
      <w:pPr>
        <w:ind w:left="1440"/>
        <w:spacing w:after="0"/>
        <w:tabs>
          <w:tab w:leader="none" w:pos="1940" w:val="left"/>
        </w:tabs>
        <w:rPr>
          <w:sz w:val="20"/>
          <w:szCs w:val="20"/>
          <w:color w:val="auto"/>
        </w:rPr>
      </w:pPr>
      <w:r>
        <w:rPr>
          <w:rFonts w:ascii="Times New Roman" w:cs="Times New Roman" w:eastAsia="Times New Roman" w:hAnsi="Times New Roman"/>
          <w:sz w:val="18"/>
          <w:szCs w:val="18"/>
          <w:color w:val="auto"/>
        </w:rPr>
        <w:t>15.8</w:t>
      </w:r>
      <w:r>
        <w:rPr>
          <w:sz w:val="20"/>
          <w:szCs w:val="20"/>
          <w:color w:val="auto"/>
        </w:rPr>
        <w:tab/>
      </w:r>
      <w:r>
        <w:rPr>
          <w:rFonts w:ascii="Times New Roman" w:cs="Times New Roman" w:eastAsia="Times New Roman" w:hAnsi="Times New Roman"/>
          <w:sz w:val="17"/>
          <w:szCs w:val="17"/>
          <w:color w:val="auto"/>
        </w:rPr>
        <w:t>“Code” shall mean the Internal Revenue Code of 1986, as amended from time to time.</w:t>
      </w:r>
    </w:p>
    <w:p>
      <w:pPr>
        <w:spacing w:after="0" w:line="185" w:lineRule="exact"/>
        <w:rPr>
          <w:sz w:val="20"/>
          <w:szCs w:val="20"/>
          <w:color w:val="auto"/>
        </w:rPr>
      </w:pPr>
    </w:p>
    <w:p>
      <w:pPr>
        <w:jc w:val="both"/>
        <w:ind w:left="340" w:right="220" w:firstLine="1102"/>
        <w:spacing w:after="0" w:line="266" w:lineRule="auto"/>
        <w:rPr>
          <w:sz w:val="20"/>
          <w:szCs w:val="20"/>
          <w:color w:val="auto"/>
        </w:rPr>
      </w:pPr>
      <w:r>
        <w:rPr>
          <w:rFonts w:ascii="Times New Roman" w:cs="Times New Roman" w:eastAsia="Times New Roman" w:hAnsi="Times New Roman"/>
          <w:sz w:val="18"/>
          <w:szCs w:val="18"/>
          <w:color w:val="auto"/>
        </w:rPr>
        <w:t>15.9 “Company” shall mean Itron, Inc. and, except in determining under Section 15.7 whether or not any Change in Control of the Company has occurred, shall include any successor to its business and/or assets which assumes and agrees to perform this Agreement by operation of law, or otherwise.</w:t>
      </w:r>
    </w:p>
    <w:p>
      <w:pPr>
        <w:spacing w:after="0" w:line="14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15.10 “Date of Termination” shall have the meaning set forth in Section 6.2.</w:t>
      </w:r>
    </w:p>
    <w:p>
      <w:pPr>
        <w:spacing w:after="0" w:line="185" w:lineRule="exact"/>
        <w:rPr>
          <w:sz w:val="20"/>
          <w:szCs w:val="20"/>
          <w:color w:val="auto"/>
        </w:rPr>
      </w:pPr>
    </w:p>
    <w:p>
      <w:pPr>
        <w:jc w:val="both"/>
        <w:ind w:left="340" w:right="240" w:firstLine="1102"/>
        <w:spacing w:after="0" w:line="282" w:lineRule="auto"/>
        <w:rPr>
          <w:sz w:val="20"/>
          <w:szCs w:val="20"/>
          <w:color w:val="auto"/>
        </w:rPr>
      </w:pPr>
      <w:r>
        <w:rPr>
          <w:rFonts w:ascii="Times New Roman" w:cs="Times New Roman" w:eastAsia="Times New Roman" w:hAnsi="Times New Roman"/>
          <w:sz w:val="18"/>
          <w:szCs w:val="18"/>
          <w:color w:val="auto"/>
        </w:rPr>
        <w:t>15.11 “Disability” shall be deemed the reason for the termination by the Company of the Executive’s employment, if, as a result of the Executive’s incapacity due to physical or mental illness, the Executive shall have been</w:t>
      </w:r>
    </w:p>
    <w:p>
      <w:pPr>
        <w:sectPr>
          <w:pgSz w:w="11900" w:h="16838" w:orient="portrait"/>
          <w:cols w:equalWidth="0" w:num="1">
            <w:col w:w="11240"/>
          </w:cols>
          <w:pgMar w:left="320" w:top="2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156750709.3</w:t>
      </w:r>
    </w:p>
    <w:p>
      <w:pPr>
        <w:sectPr>
          <w:pgSz w:w="11900" w:h="16838" w:orient="portrait"/>
          <w:cols w:equalWidth="0" w:num="1">
            <w:col w:w="11240"/>
          </w:cols>
          <w:pgMar w:left="320" w:top="266" w:right="339" w:bottom="1440" w:gutter="0" w:footer="0" w:header="0"/>
          <w:type w:val="continuous"/>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left="340" w:right="220"/>
        <w:spacing w:after="0" w:line="255" w:lineRule="auto"/>
        <w:rPr>
          <w:sz w:val="20"/>
          <w:szCs w:val="20"/>
          <w:color w:val="auto"/>
        </w:rPr>
      </w:pPr>
      <w:r>
        <w:rPr>
          <w:rFonts w:ascii="Times New Roman" w:cs="Times New Roman" w:eastAsia="Times New Roman" w:hAnsi="Times New Roman"/>
          <w:sz w:val="18"/>
          <w:szCs w:val="18"/>
          <w:color w:val="auto"/>
        </w:rPr>
        <w:t>absent from the full-time performance of the Executive’s duties with the Company for a period of at least one hundred twenty (120) days, the Company shall have given the Executive a Notice of Termination for Disability, and, within thirty (30) days after such Notice of Termination is given, the Executive shall not have returned to the full-time performance of the Executive’s duties. Any question as to the existence of the Executive’s Disability upon which the Executive and the Company cannot agree shall be determined by a qualified independent physician selected by the Executive (or, if the Executive is unable to make such selection, it shall be made by any adult member of the Executive’s immediate family) and approved by the Company. The determination of such physician made in writing to the Company and to the Executive shall be final and conclusive for all purposes of this Agreement, absent fraud.</w:t>
      </w:r>
    </w:p>
    <w:p>
      <w:pPr>
        <w:spacing w:after="0" w:line="14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15.12 “Exchange Act” shall mean the Securities Exchange Act of 1934, as amended from time to time.</w:t>
      </w:r>
    </w:p>
    <w:p>
      <w:pPr>
        <w:spacing w:after="0" w:line="18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15.13 “Excise Tax” shall mean any excise tax imposed under section 4999 of the Code.</w:t>
      </w:r>
    </w:p>
    <w:p>
      <w:pPr>
        <w:spacing w:after="0" w:line="19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15.14 “Executive” shall mean the individual named in the first paragraph of this Agreement.</w:t>
      </w:r>
    </w:p>
    <w:p>
      <w:pPr>
        <w:spacing w:after="0" w:line="185" w:lineRule="exact"/>
        <w:rPr>
          <w:sz w:val="20"/>
          <w:szCs w:val="20"/>
          <w:color w:val="auto"/>
        </w:rPr>
      </w:pPr>
    </w:p>
    <w:p>
      <w:pPr>
        <w:jc w:val="both"/>
        <w:ind w:left="340" w:right="220" w:firstLine="1102"/>
        <w:spacing w:after="0" w:line="256" w:lineRule="auto"/>
        <w:rPr>
          <w:sz w:val="20"/>
          <w:szCs w:val="20"/>
          <w:color w:val="auto"/>
        </w:rPr>
      </w:pPr>
      <w:r>
        <w:rPr>
          <w:rFonts w:ascii="Times New Roman" w:cs="Times New Roman" w:eastAsia="Times New Roman" w:hAnsi="Times New Roman"/>
          <w:sz w:val="18"/>
          <w:szCs w:val="18"/>
          <w:color w:val="auto"/>
        </w:rPr>
        <w:t>15.15 “Good Reason” for termination by the Executive of the Executive’s employment shall mean the occurrence (without the Executive’s express written consent) after any Change in Control, or prior to a Change in Control under the circumstances described in the second sentence of Section 5.1 (treating all references in subsections (A) through (F) below to a “Change in Control” as references to a “Potential Change in Control”), of any one of the following acts by the Company, or failures by the Company to act, unless, in the case of any act or failure to act described in subsection (A), (B), (C), (D), (E) or (F) below, such act or failure to act is corrected prior to the Date of Termination specified in the Notice of Termination given in respect thereof:</w:t>
      </w:r>
    </w:p>
    <w:p>
      <w:pPr>
        <w:spacing w:after="0" w:line="147" w:lineRule="exact"/>
        <w:rPr>
          <w:sz w:val="20"/>
          <w:szCs w:val="20"/>
          <w:color w:val="auto"/>
        </w:rPr>
      </w:pPr>
    </w:p>
    <w:p>
      <w:pPr>
        <w:jc w:val="both"/>
        <w:ind w:left="720" w:right="220" w:firstLine="1038"/>
        <w:spacing w:after="0" w:line="258" w:lineRule="auto"/>
        <w:tabs>
          <w:tab w:leader="none" w:pos="258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adverse change in the Executive’s status or position(s) as an officer of the Company as in effect immediately prior to the Change in Control, including, without limitation, any adverse change in the Executive’s status or position as a result of a diminution of the Executive’s duties or responsibilities or the assignment to the Executive of any duties or responsibilities which are inconsistent with such status or position(s), or any removal of the Executive from, or any failure to reappoint or reelect the Executive to, such position(s);</w:t>
      </w:r>
    </w:p>
    <w:p>
      <w:pPr>
        <w:spacing w:after="0" w:line="156" w:lineRule="exact"/>
        <w:rPr>
          <w:rFonts w:ascii="Times New Roman" w:cs="Times New Roman" w:eastAsia="Times New Roman" w:hAnsi="Times New Roman"/>
          <w:sz w:val="18"/>
          <w:szCs w:val="18"/>
          <w:color w:val="auto"/>
        </w:rPr>
      </w:pPr>
    </w:p>
    <w:p>
      <w:pPr>
        <w:ind w:left="2600" w:hanging="842"/>
        <w:spacing w:after="0"/>
        <w:tabs>
          <w:tab w:leader="none" w:pos="2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Executive’s Base Salary;</w:t>
      </w:r>
    </w:p>
    <w:p>
      <w:pPr>
        <w:spacing w:after="0" w:line="184" w:lineRule="exact"/>
        <w:rPr>
          <w:rFonts w:ascii="Times New Roman" w:cs="Times New Roman" w:eastAsia="Times New Roman" w:hAnsi="Times New Roman"/>
          <w:sz w:val="18"/>
          <w:szCs w:val="18"/>
          <w:color w:val="auto"/>
        </w:rPr>
      </w:pPr>
    </w:p>
    <w:p>
      <w:pPr>
        <w:ind w:left="720" w:right="240" w:firstLine="1038"/>
        <w:spacing w:after="0" w:line="282" w:lineRule="auto"/>
        <w:tabs>
          <w:tab w:leader="none" w:pos="259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Executive’s annual bonus opportunity or long-term incentive opportunity, as compared to the year immediately preceding the year in which the Change in Control occurs;</w:t>
      </w:r>
    </w:p>
    <w:p>
      <w:pPr>
        <w:spacing w:after="0" w:line="121" w:lineRule="exact"/>
        <w:rPr>
          <w:rFonts w:ascii="Times New Roman" w:cs="Times New Roman" w:eastAsia="Times New Roman" w:hAnsi="Times New Roman"/>
          <w:sz w:val="18"/>
          <w:szCs w:val="18"/>
          <w:color w:val="auto"/>
        </w:rPr>
      </w:pPr>
    </w:p>
    <w:p>
      <w:pPr>
        <w:ind w:left="720" w:right="220" w:firstLine="1038"/>
        <w:spacing w:after="0" w:line="282" w:lineRule="auto"/>
        <w:tabs>
          <w:tab w:leader="none" w:pos="258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continue to provide welfare, pension and fringe benefits which are in each case, in the aggregate, substantially similar to those provided to the Executive immediately prior to the Change in Control;</w:t>
      </w:r>
    </w:p>
    <w:p>
      <w:pPr>
        <w:spacing w:after="0" w:line="134" w:lineRule="exact"/>
        <w:rPr>
          <w:rFonts w:ascii="Times New Roman" w:cs="Times New Roman" w:eastAsia="Times New Roman" w:hAnsi="Times New Roman"/>
          <w:sz w:val="18"/>
          <w:szCs w:val="18"/>
          <w:color w:val="auto"/>
        </w:rPr>
      </w:pPr>
    </w:p>
    <w:p>
      <w:pPr>
        <w:jc w:val="both"/>
        <w:ind w:left="720" w:right="220" w:firstLine="1038"/>
        <w:spacing w:after="0" w:line="261" w:lineRule="auto"/>
        <w:tabs>
          <w:tab w:leader="none" w:pos="259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requiring the Executive to be based at an office that is greater than 50 miles from where the Executive’s office is located immediately prior to the Change in Control except for required travel on the Company’s business to an extent substantially consistent with the business travel obligations which the Executive undertook on behalf of the Company prior to the Change in Control; or</w:t>
      </w:r>
    </w:p>
    <w:p>
      <w:pPr>
        <w:spacing w:after="0" w:line="139" w:lineRule="exact"/>
        <w:rPr>
          <w:rFonts w:ascii="Times New Roman" w:cs="Times New Roman" w:eastAsia="Times New Roman" w:hAnsi="Times New Roman"/>
          <w:sz w:val="18"/>
          <w:szCs w:val="18"/>
          <w:color w:val="auto"/>
        </w:rPr>
      </w:pPr>
    </w:p>
    <w:p>
      <w:pPr>
        <w:jc w:val="both"/>
        <w:ind w:left="720" w:right="220" w:firstLine="1038"/>
        <w:spacing w:after="0" w:line="266" w:lineRule="auto"/>
        <w:tabs>
          <w:tab w:leader="none" w:pos="259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the Company to require any successor (whether direct or indirect, by purchase, merger, consolidation or otherwise) to all or substantially all of the business and/or assets of the Company to expressly assume and agree to perform this Agreement in the same manner and to the same extent that the Company would be required to perform it if no such succession had taken place;</w:t>
      </w:r>
    </w:p>
    <w:p>
      <w:pPr>
        <w:spacing w:after="0" w:line="135" w:lineRule="exact"/>
        <w:rPr>
          <w:sz w:val="20"/>
          <w:szCs w:val="20"/>
          <w:color w:val="auto"/>
        </w:rPr>
      </w:pPr>
    </w:p>
    <w:p>
      <w:pPr>
        <w:jc w:val="both"/>
        <w:ind w:left="220" w:right="220" w:firstLine="1089"/>
        <w:spacing w:after="0" w:line="254" w:lineRule="auto"/>
        <w:rPr>
          <w:sz w:val="20"/>
          <w:szCs w:val="20"/>
          <w:color w:val="auto"/>
        </w:rPr>
      </w:pPr>
      <w:r>
        <w:rPr>
          <w:rFonts w:ascii="Times New Roman" w:cs="Times New Roman" w:eastAsia="Times New Roman" w:hAnsi="Times New Roman"/>
          <w:sz w:val="18"/>
          <w:szCs w:val="18"/>
          <w:color w:val="auto"/>
        </w:rPr>
        <w:t>Notwithstanding the foregoing, the events described in clauses (B), (C) or (D) above shall not constitute Good Reason hereunder to the extent they are as a result of across-the-board reductions of the applicable compensation element following the Change in Control which are equally applicable to all similarly situated employees of the surviving corporation and its Affiliates. The Executive’s right to terminate the Executive’s employment for Good Reason shall not be affected by the Executive’s incapacity due to physical or mental illness. In order for Good Reason to exist hereunder, the Executive must provide notice to the Company of the existence of the condition or circumstance described above within 90 days of the initial existence of the condition or circumstance (or, if later, within 90 days of the Executive’s becoming aware of such condition or circumstance), and the Company must have failed to cure such condition within 30 days of the receipt of such notice. Subject to the preceding sentence, the Executive’s continued employment shall not constitute consent to, or a waiver of rights with respect to, any act or failure to act constituting Good Reason hereunder.</w:t>
      </w:r>
    </w:p>
    <w:p>
      <w:pPr>
        <w:spacing w:after="0" w:line="16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15.16 “Notice of Termination” shall have the meaning set forth in Section 6.1.</w:t>
      </w:r>
    </w:p>
    <w:p>
      <w:pPr>
        <w:spacing w:after="0" w:line="185" w:lineRule="exact"/>
        <w:rPr>
          <w:sz w:val="20"/>
          <w:szCs w:val="20"/>
          <w:color w:val="auto"/>
        </w:rPr>
      </w:pPr>
    </w:p>
    <w:p>
      <w:pPr>
        <w:ind w:left="340" w:right="240" w:firstLine="1102"/>
        <w:spacing w:after="0" w:line="282" w:lineRule="auto"/>
        <w:rPr>
          <w:sz w:val="20"/>
          <w:szCs w:val="20"/>
          <w:color w:val="auto"/>
        </w:rPr>
      </w:pPr>
      <w:r>
        <w:rPr>
          <w:rFonts w:ascii="Times New Roman" w:cs="Times New Roman" w:eastAsia="Times New Roman" w:hAnsi="Times New Roman"/>
          <w:sz w:val="18"/>
          <w:szCs w:val="18"/>
          <w:color w:val="auto"/>
        </w:rPr>
        <w:t>15.17 “Person” shall have the meaning given in Section 3(a)(9) of the Exchange Act, as modified and used in Sections 13(d) and 14(d) thereof, except that such term shall not include (i) the Company or any of its</w:t>
      </w:r>
    </w:p>
    <w:p>
      <w:pPr>
        <w:sectPr>
          <w:pgSz w:w="11900" w:h="16838" w:orient="portrait"/>
          <w:cols w:equalWidth="0" w:num="1">
            <w:col w:w="11240"/>
          </w:cols>
          <w:pgMar w:left="320" w:top="2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156750709.3</w:t>
      </w:r>
    </w:p>
    <w:p>
      <w:pPr>
        <w:sectPr>
          <w:pgSz w:w="11900" w:h="16838" w:orient="portrait"/>
          <w:cols w:equalWidth="0" w:num="1">
            <w:col w:w="11240"/>
          </w:cols>
          <w:pgMar w:left="320" w:top="266" w:right="339" w:bottom="1440" w:gutter="0" w:footer="0" w:header="0"/>
          <w:type w:val="continuous"/>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left="340" w:right="220"/>
        <w:spacing w:after="0" w:line="266" w:lineRule="auto"/>
        <w:rPr>
          <w:sz w:val="20"/>
          <w:szCs w:val="20"/>
          <w:color w:val="auto"/>
        </w:rPr>
      </w:pPr>
      <w:r>
        <w:rPr>
          <w:rFonts w:ascii="Times New Roman" w:cs="Times New Roman" w:eastAsia="Times New Roman" w:hAnsi="Times New Roman"/>
          <w:sz w:val="18"/>
          <w:szCs w:val="18"/>
          <w:color w:val="auto"/>
        </w:rPr>
        <w:t>subsidiaries, (ii) a trustee or other fiduciary holding securities under an employee benefit plan of the Company or any of its Affiliates, (iii) an underwriter temporarily holding securities pursuant to an offering of such securities or (iv) a corporation owned, directly or indirectly, by the stockholders of the Company in substantially the same proportions as their ownership of stock of the Company.</w:t>
      </w:r>
    </w:p>
    <w:p>
      <w:pPr>
        <w:spacing w:after="0" w:line="135" w:lineRule="exact"/>
        <w:rPr>
          <w:sz w:val="20"/>
          <w:szCs w:val="20"/>
          <w:color w:val="auto"/>
        </w:rPr>
      </w:pPr>
    </w:p>
    <w:p>
      <w:pPr>
        <w:jc w:val="both"/>
        <w:ind w:left="340" w:right="220" w:firstLine="1102"/>
        <w:spacing w:after="0" w:line="282" w:lineRule="auto"/>
        <w:rPr>
          <w:sz w:val="20"/>
          <w:szCs w:val="20"/>
          <w:color w:val="auto"/>
        </w:rPr>
      </w:pPr>
      <w:r>
        <w:rPr>
          <w:rFonts w:ascii="Times New Roman" w:cs="Times New Roman" w:eastAsia="Times New Roman" w:hAnsi="Times New Roman"/>
          <w:sz w:val="18"/>
          <w:szCs w:val="18"/>
          <w:color w:val="auto"/>
        </w:rPr>
        <w:t>15.18 “Potential Change in Control” shall be deemed to have occurred if the event set forth in any one of the following subsections shall have occurred:</w:t>
      </w:r>
    </w:p>
    <w:p>
      <w:pPr>
        <w:spacing w:after="0" w:line="121" w:lineRule="exact"/>
        <w:rPr>
          <w:sz w:val="20"/>
          <w:szCs w:val="20"/>
          <w:color w:val="auto"/>
        </w:rPr>
      </w:pPr>
    </w:p>
    <w:p>
      <w:pPr>
        <w:ind w:left="2580" w:hanging="822"/>
        <w:spacing w:after="0"/>
        <w:tabs>
          <w:tab w:leader="none" w:pos="2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enters into an agreement, the consummation of which would result in the occurrence of a Change in</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Control;</w:t>
      </w:r>
    </w:p>
    <w:p>
      <w:pPr>
        <w:spacing w:after="0" w:line="180" w:lineRule="exact"/>
        <w:rPr>
          <w:sz w:val="20"/>
          <w:szCs w:val="20"/>
          <w:color w:val="auto"/>
        </w:rPr>
      </w:pPr>
    </w:p>
    <w:p>
      <w:pPr>
        <w:ind w:left="720" w:right="240" w:firstLine="1038"/>
        <w:spacing w:after="0" w:line="282" w:lineRule="auto"/>
        <w:tabs>
          <w:tab w:leader="none" w:pos="259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Person publicly announces an intention to take or to consider taking actions which, if consummated, would constitute a Change in Control;</w:t>
      </w:r>
    </w:p>
    <w:p>
      <w:pPr>
        <w:spacing w:after="0" w:line="121" w:lineRule="exact"/>
        <w:rPr>
          <w:rFonts w:ascii="Times New Roman" w:cs="Times New Roman" w:eastAsia="Times New Roman" w:hAnsi="Times New Roman"/>
          <w:sz w:val="18"/>
          <w:szCs w:val="18"/>
          <w:color w:val="auto"/>
        </w:rPr>
      </w:pPr>
    </w:p>
    <w:p>
      <w:pPr>
        <w:jc w:val="both"/>
        <w:ind w:left="720" w:right="220" w:firstLine="1038"/>
        <w:spacing w:after="0" w:line="266" w:lineRule="auto"/>
        <w:tabs>
          <w:tab w:leader="none" w:pos="259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becomes the Beneficial Owner, directly or indirectly, of securities of the Company representing 15% or more of either the then outstanding shares of common stock of the Company or the combined voting power of the Company’s then outstanding securities; or</w:t>
      </w:r>
    </w:p>
    <w:p>
      <w:pPr>
        <w:spacing w:after="0" w:line="135" w:lineRule="exact"/>
        <w:rPr>
          <w:rFonts w:ascii="Times New Roman" w:cs="Times New Roman" w:eastAsia="Times New Roman" w:hAnsi="Times New Roman"/>
          <w:sz w:val="18"/>
          <w:szCs w:val="18"/>
          <w:color w:val="auto"/>
        </w:rPr>
      </w:pPr>
    </w:p>
    <w:p>
      <w:pPr>
        <w:ind w:left="2580" w:hanging="822"/>
        <w:spacing w:after="0"/>
        <w:tabs>
          <w:tab w:leader="none" w:pos="25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adopts a resolution to the effect that, for purposes of this Agreement, a Potential Change in Control has</w:t>
      </w:r>
    </w:p>
    <w:p>
      <w:pPr>
        <w:spacing w:after="0" w:line="27"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occurred.</w:t>
      </w:r>
    </w:p>
    <w:p>
      <w:pPr>
        <w:spacing w:after="0" w:line="180" w:lineRule="exact"/>
        <w:rPr>
          <w:sz w:val="20"/>
          <w:szCs w:val="20"/>
          <w:color w:val="auto"/>
        </w:rPr>
      </w:pPr>
    </w:p>
    <w:p>
      <w:pPr>
        <w:jc w:val="both"/>
        <w:ind w:left="340" w:right="220" w:firstLine="1102"/>
        <w:spacing w:after="0" w:line="255" w:lineRule="auto"/>
        <w:rPr>
          <w:sz w:val="20"/>
          <w:szCs w:val="20"/>
          <w:color w:val="auto"/>
        </w:rPr>
      </w:pPr>
      <w:r>
        <w:rPr>
          <w:rFonts w:ascii="Times New Roman" w:cs="Times New Roman" w:eastAsia="Times New Roman" w:hAnsi="Times New Roman"/>
          <w:sz w:val="18"/>
          <w:szCs w:val="18"/>
          <w:color w:val="auto"/>
        </w:rPr>
        <w:t>15.19 “Potential Change in Control Period” shall commence upon the occurrence of a Potential Change in Control and shall lapse upon the occurrence of a Change in Control or, if earlier (i) with respect to a Potential Change in Control occurring pursuant to Section 15.18(A), immediately upon the abandonment or termination of the applicable agreement, (ii) with respect to a Potential Change in Control occurring pursuant to Section 15.18(B), immediately upon a public announcement by the applicable party that such party has abandoned its intention to take or consider taking actions which if consummated would result in a Change in Control or (iii) with respect to a Potential Change in Control occurring pursuant to Section 15.18(C) or (D), upon the one year anniversary of the occurrence of a Potential Change in Control (or such earlier date as may be determined by the Board).</w:t>
      </w:r>
    </w:p>
    <w:p>
      <w:pPr>
        <w:spacing w:after="0" w:line="148" w:lineRule="exact"/>
        <w:rPr>
          <w:sz w:val="20"/>
          <w:szCs w:val="20"/>
          <w:color w:val="auto"/>
        </w:rPr>
      </w:pPr>
    </w:p>
    <w:p>
      <w:pPr>
        <w:jc w:val="both"/>
        <w:ind w:left="340" w:right="220" w:firstLine="1102"/>
        <w:spacing w:after="0" w:line="266" w:lineRule="auto"/>
        <w:rPr>
          <w:sz w:val="20"/>
          <w:szCs w:val="20"/>
          <w:color w:val="auto"/>
        </w:rPr>
      </w:pPr>
      <w:r>
        <w:rPr>
          <w:rFonts w:ascii="Times New Roman" w:cs="Times New Roman" w:eastAsia="Times New Roman" w:hAnsi="Times New Roman"/>
          <w:sz w:val="18"/>
          <w:szCs w:val="18"/>
          <w:color w:val="auto"/>
        </w:rPr>
        <w:t>15.20 “Retirement” shall be deemed the reason for the termination by the Executive of the Executive’s employment if such employment is terminated in accordance with the Company’s retirement policy, including early retirement, generally applicable to its salaried employees.</w:t>
      </w:r>
    </w:p>
    <w:p>
      <w:pPr>
        <w:spacing w:after="0" w:line="13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15.21 “Severance Payments” shall have the meaning set forth in Section 5.1.</w:t>
      </w:r>
    </w:p>
    <w:p>
      <w:pPr>
        <w:spacing w:after="0" w:line="19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15.22 “Term” shall mean the period of time described in Section 2 (including any extension, continuation or termination described</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therein).</w:t>
      </w:r>
    </w:p>
    <w:p>
      <w:pPr>
        <w:spacing w:after="0" w:line="16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above written.</w:t>
      </w:r>
    </w:p>
    <w:p>
      <w:pPr>
        <w:spacing w:after="0" w:line="18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ITRON, INC.</w:t>
      </w:r>
    </w:p>
    <w:p>
      <w:pPr>
        <w:spacing w:after="0" w:line="22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43180</wp:posOffset>
            </wp:positionV>
            <wp:extent cx="13970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97000" cy="8890"/>
                    </a:xfrm>
                    <a:prstGeom prst="rect">
                      <a:avLst/>
                    </a:prstGeom>
                    <a:noFill/>
                  </pic:spPr>
                </pic:pic>
              </a:graphicData>
            </a:graphic>
          </wp:anchor>
        </w:drawing>
      </w:r>
    </w:p>
    <w:p>
      <w:pPr>
        <w:spacing w:after="0" w:line="7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386080</wp:posOffset>
            </wp:positionV>
            <wp:extent cx="16116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6116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557530</wp:posOffset>
            </wp:positionV>
            <wp:extent cx="13970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97000" cy="889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386080</wp:posOffset>
            </wp:positionV>
            <wp:extent cx="13970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97000" cy="889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214630</wp:posOffset>
            </wp:positionV>
            <wp:extent cx="13970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97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(Please print carefully)</w:t>
      </w:r>
    </w:p>
    <w:p>
      <w:pPr>
        <w:sectPr>
          <w:pgSz w:w="11900" w:h="16838" w:orient="portrait"/>
          <w:cols w:equalWidth="0" w:num="1">
            <w:col w:w="11240"/>
          </w:cols>
          <w:pgMar w:left="320" w:top="2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156750709.3</w:t>
      </w:r>
    </w:p>
    <w:p>
      <w:pPr>
        <w:sectPr>
          <w:pgSz w:w="11900" w:h="16838" w:orient="portrait"/>
          <w:cols w:equalWidth="0" w:num="1">
            <w:col w:w="11240"/>
          </w:cols>
          <w:pgMar w:left="320" w:top="266" w:right="339" w:bottom="1440" w:gutter="0" w:footer="0" w:header="0"/>
          <w:type w:val="continuous"/>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u w:val="single" w:color="auto"/>
          <w:color w:val="auto"/>
        </w:rPr>
        <w:t>SECOND AMENDED AND RESTATED CHANGE IN CONTROL SEVERANCE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 EXECUTIVE OFFICERS</w:t>
      </w:r>
    </w:p>
    <w:p>
      <w:pPr>
        <w:spacing w:after="0" w:line="315" w:lineRule="exact"/>
        <w:rPr>
          <w:sz w:val="20"/>
          <w:szCs w:val="20"/>
          <w:color w:val="auto"/>
        </w:rPr>
      </w:pPr>
    </w:p>
    <w:p>
      <w:pPr>
        <w:jc w:val="both"/>
        <w:ind w:left="220" w:right="220" w:firstLine="1089"/>
        <w:spacing w:after="0" w:line="282" w:lineRule="auto"/>
        <w:rPr>
          <w:sz w:val="20"/>
          <w:szCs w:val="20"/>
          <w:color w:val="auto"/>
        </w:rPr>
      </w:pPr>
      <w:r>
        <w:rPr>
          <w:rFonts w:ascii="Times New Roman" w:cs="Times New Roman" w:eastAsia="Times New Roman" w:hAnsi="Times New Roman"/>
          <w:sz w:val="18"/>
          <w:szCs w:val="18"/>
          <w:color w:val="auto"/>
        </w:rPr>
        <w:t>THIS SECOND AMENDED AND RESTATED CHANGE IN CONTROL SEVERANCE AGREEMENT FOR EXECUTIVE OFFICERS (“Agreement”), dated May 12, 2022 is made by and between Itron, Inc. (the “Company”), and Thomas Deitrich (the “Executive”).</w:t>
      </w:r>
    </w:p>
    <w:p>
      <w:pPr>
        <w:spacing w:after="0" w:line="121" w:lineRule="exact"/>
        <w:rPr>
          <w:sz w:val="20"/>
          <w:szCs w:val="20"/>
          <w:color w:val="auto"/>
        </w:rPr>
      </w:pPr>
    </w:p>
    <w:p>
      <w:pPr>
        <w:jc w:val="both"/>
        <w:ind w:left="220" w:right="220" w:firstLine="1089"/>
        <w:spacing w:after="0" w:line="282" w:lineRule="auto"/>
        <w:rPr>
          <w:sz w:val="20"/>
          <w:szCs w:val="20"/>
          <w:color w:val="auto"/>
        </w:rPr>
      </w:pPr>
      <w:r>
        <w:rPr>
          <w:rFonts w:ascii="Times New Roman" w:cs="Times New Roman" w:eastAsia="Times New Roman" w:hAnsi="Times New Roman"/>
          <w:sz w:val="18"/>
          <w:szCs w:val="18"/>
          <w:color w:val="auto"/>
        </w:rPr>
        <w:t>WHEREAS, the Company and Executive are parties to an Amended and Restated Change in Control Severance Agreement for Executive Officers originally dated January 1, 2013 (“Prior Agreement”);</w:t>
      </w:r>
    </w:p>
    <w:p>
      <w:pPr>
        <w:spacing w:after="0" w:line="12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WHEREAS, the Company determined that the Executive’s Prior Agreement should be amended and restated with an effective date of</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May 12, 2022;</w:t>
      </w:r>
    </w:p>
    <w:p>
      <w:pPr>
        <w:spacing w:after="0" w:line="180" w:lineRule="exact"/>
        <w:rPr>
          <w:sz w:val="20"/>
          <w:szCs w:val="20"/>
          <w:color w:val="auto"/>
        </w:rPr>
      </w:pPr>
    </w:p>
    <w:p>
      <w:pPr>
        <w:jc w:val="both"/>
        <w:ind w:left="220" w:right="220" w:firstLine="1089"/>
        <w:spacing w:after="0" w:line="282" w:lineRule="auto"/>
        <w:rPr>
          <w:sz w:val="20"/>
          <w:szCs w:val="20"/>
          <w:color w:val="auto"/>
        </w:rPr>
      </w:pPr>
      <w:r>
        <w:rPr>
          <w:rFonts w:ascii="Times New Roman" w:cs="Times New Roman" w:eastAsia="Times New Roman" w:hAnsi="Times New Roman"/>
          <w:sz w:val="18"/>
          <w:szCs w:val="18"/>
          <w:color w:val="auto"/>
        </w:rPr>
        <w:t>WHEREAS, the Company considers the establishment and maintenance of a sound and vital management to be essential to protecting and enhancing the best interests of the Company and its stockholders; and</w:t>
      </w:r>
    </w:p>
    <w:p>
      <w:pPr>
        <w:spacing w:after="0" w:line="12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WHEREAS, the Executive has made and is expected to make a significant contribution to the Company; and</w:t>
      </w:r>
    </w:p>
    <w:p>
      <w:pPr>
        <w:spacing w:after="0" w:line="185" w:lineRule="exact"/>
        <w:rPr>
          <w:sz w:val="20"/>
          <w:szCs w:val="20"/>
          <w:color w:val="auto"/>
        </w:rPr>
      </w:pPr>
    </w:p>
    <w:p>
      <w:pPr>
        <w:jc w:val="both"/>
        <w:ind w:left="220" w:right="220" w:firstLine="1089"/>
        <w:spacing w:after="0" w:line="266" w:lineRule="auto"/>
        <w:rPr>
          <w:sz w:val="20"/>
          <w:szCs w:val="20"/>
          <w:color w:val="auto"/>
        </w:rPr>
      </w:pPr>
      <w:r>
        <w:rPr>
          <w:rFonts w:ascii="Times New Roman" w:cs="Times New Roman" w:eastAsia="Times New Roman" w:hAnsi="Times New Roman"/>
          <w:sz w:val="18"/>
          <w:szCs w:val="18"/>
          <w:color w:val="auto"/>
        </w:rPr>
        <w:t>WHEREAS, the Company, as a publicly held corporation, recognizes that the possibility of a Change in Control may exist, and that such possibility and the uncertainty and questions which it may raise among management may result in the departure or distraction of the Executive in the performance of the Executive’s duties, to the detriment of the Company and its stockholders; and</w:t>
      </w:r>
    </w:p>
    <w:p>
      <w:pPr>
        <w:spacing w:after="0" w:line="149" w:lineRule="exact"/>
        <w:rPr>
          <w:sz w:val="20"/>
          <w:szCs w:val="20"/>
          <w:color w:val="auto"/>
        </w:rPr>
      </w:pPr>
    </w:p>
    <w:p>
      <w:pPr>
        <w:jc w:val="both"/>
        <w:ind w:left="220" w:right="240" w:firstLine="1089"/>
        <w:spacing w:after="0" w:line="266" w:lineRule="auto"/>
        <w:rPr>
          <w:sz w:val="20"/>
          <w:szCs w:val="20"/>
          <w:color w:val="auto"/>
        </w:rPr>
      </w:pPr>
      <w:r>
        <w:rPr>
          <w:rFonts w:ascii="Times New Roman" w:cs="Times New Roman" w:eastAsia="Times New Roman" w:hAnsi="Times New Roman"/>
          <w:sz w:val="18"/>
          <w:szCs w:val="18"/>
          <w:color w:val="auto"/>
        </w:rPr>
        <w:t>WHEREAS, it is in the best interests of the Company and its stockholders to reinforce and encourage the continued attention and dedication of management personnel, including the Executive, to their assigned duties without distraction and to ensure the continued availability to the Company of the Executive in the event of a Change in Control;</w:t>
      </w:r>
    </w:p>
    <w:p>
      <w:pPr>
        <w:spacing w:after="0" w:line="135" w:lineRule="exact"/>
        <w:rPr>
          <w:sz w:val="20"/>
          <w:szCs w:val="20"/>
          <w:color w:val="auto"/>
        </w:rPr>
      </w:pPr>
    </w:p>
    <w:p>
      <w:pPr>
        <w:jc w:val="both"/>
        <w:ind w:left="220" w:right="240" w:firstLine="1089"/>
        <w:spacing w:after="0" w:line="282" w:lineRule="auto"/>
        <w:rPr>
          <w:sz w:val="20"/>
          <w:szCs w:val="20"/>
          <w:color w:val="auto"/>
        </w:rPr>
      </w:pPr>
      <w:r>
        <w:rPr>
          <w:rFonts w:ascii="Times New Roman" w:cs="Times New Roman" w:eastAsia="Times New Roman" w:hAnsi="Times New Roman"/>
          <w:sz w:val="18"/>
          <w:szCs w:val="18"/>
          <w:color w:val="auto"/>
        </w:rPr>
        <w:t>THEREFORE, in consideration of the foregoing and other respective covenants and agreements of the parties herein contained, the parties hereto agree as follows:</w:t>
      </w:r>
    </w:p>
    <w:p>
      <w:pPr>
        <w:spacing w:after="0" w:line="121" w:lineRule="exact"/>
        <w:rPr>
          <w:sz w:val="20"/>
          <w:szCs w:val="20"/>
          <w:color w:val="auto"/>
        </w:rPr>
      </w:pPr>
    </w:p>
    <w:p>
      <w:pPr>
        <w:ind w:left="720" w:hanging="544"/>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The definitions of capitalized terms used in this Agreement are provided in Section 15.</w:t>
      </w:r>
    </w:p>
    <w:p>
      <w:pPr>
        <w:spacing w:after="0" w:line="198" w:lineRule="exact"/>
        <w:rPr>
          <w:rFonts w:ascii="Times New Roman" w:cs="Times New Roman" w:eastAsia="Times New Roman" w:hAnsi="Times New Roman"/>
          <w:sz w:val="18"/>
          <w:szCs w:val="18"/>
          <w:color w:val="auto"/>
        </w:rPr>
      </w:pPr>
    </w:p>
    <w:p>
      <w:pPr>
        <w:jc w:val="both"/>
        <w:ind w:left="720" w:right="220" w:hanging="544"/>
        <w:spacing w:after="0" w:line="243" w:lineRule="auto"/>
        <w:tabs>
          <w:tab w:leader="none" w:pos="7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Agreement</w:t>
      </w:r>
      <w:r>
        <w:rPr>
          <w:rFonts w:ascii="Times New Roman" w:cs="Times New Roman" w:eastAsia="Times New Roman" w:hAnsi="Times New Roman"/>
          <w:sz w:val="18"/>
          <w:szCs w:val="18"/>
          <w:color w:val="auto"/>
        </w:rPr>
        <w:t xml:space="preserve">. The term of this Agreement (the “Term”) shall commence on May 12, 2022 and shall continue in effect through December 31, 2023;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commencing on January 1, 2024 and each January 1 thereafter (“Anniversary Date”), the Term shall automatically be extended for one additional year unless, not later than one year prior to the Anniversary Date, the Company or the Executive shall have given notice not to extend the Term; and </w:t>
      </w:r>
      <w:r>
        <w:rPr>
          <w:rFonts w:ascii="Times New Roman" w:cs="Times New Roman" w:eastAsia="Times New Roman" w:hAnsi="Times New Roman"/>
          <w:sz w:val="18"/>
          <w:szCs w:val="18"/>
          <w:u w:val="single" w:color="auto"/>
          <w:color w:val="auto"/>
        </w:rPr>
        <w:t>further 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 Change in Control shall have occurred during the Term, the Term shall expire on the last day of the twenty-fourth (24</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month following the month in which such Change in Control occurred.</w:t>
      </w:r>
    </w:p>
    <w:p>
      <w:pPr>
        <w:spacing w:after="0" w:line="155" w:lineRule="exact"/>
        <w:rPr>
          <w:rFonts w:ascii="Times New Roman" w:cs="Times New Roman" w:eastAsia="Times New Roman" w:hAnsi="Times New Roman"/>
          <w:sz w:val="18"/>
          <w:szCs w:val="18"/>
          <w:color w:val="auto"/>
        </w:rPr>
      </w:pPr>
    </w:p>
    <w:p>
      <w:pPr>
        <w:jc w:val="both"/>
        <w:ind w:left="720" w:right="220" w:hanging="544"/>
        <w:spacing w:after="0" w:line="255" w:lineRule="auto"/>
        <w:tabs>
          <w:tab w:leader="none" w:pos="7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Covenants Summarized</w:t>
      </w:r>
      <w:r>
        <w:rPr>
          <w:rFonts w:ascii="Times New Roman" w:cs="Times New Roman" w:eastAsia="Times New Roman" w:hAnsi="Times New Roman"/>
          <w:sz w:val="18"/>
          <w:szCs w:val="18"/>
          <w:color w:val="auto"/>
        </w:rPr>
        <w:t>. In order to induce the Executive to remain in the employ of the Company and in consideration of the Executive’s covenants in Section 14, the Company, under the conditions described herein, shall pay the Executive the Severance Payments and the other payments and benefits described herein. Except as provided in Section 4.3, no Severance Payments shall be payable under this Agreement unless there shall have been (or, pursuant to the second sentence of Section 5.1, there shall be deemed to have been) a termination of the Executive’s employment with the Company following a Change in Control and during the Term. This Agreement shall not be construed as creating an express or implied contract of employment and, except as otherwise agreed in writing between the Executive and the Company, the Executive shall not have any right to be retained in the employ of the Company.</w:t>
      </w:r>
    </w:p>
    <w:p>
      <w:pPr>
        <w:spacing w:after="0" w:line="148" w:lineRule="exact"/>
        <w:rPr>
          <w:rFonts w:ascii="Times New Roman" w:cs="Times New Roman" w:eastAsia="Times New Roman" w:hAnsi="Times New Roman"/>
          <w:sz w:val="18"/>
          <w:szCs w:val="18"/>
          <w:color w:val="auto"/>
        </w:rPr>
      </w:pPr>
    </w:p>
    <w:p>
      <w:pPr>
        <w:ind w:left="720" w:hanging="544"/>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Other Than Severance Payments; Equity Award Treatment.</w:t>
      </w:r>
    </w:p>
    <w:p>
      <w:pPr>
        <w:spacing w:after="0" w:line="198" w:lineRule="exact"/>
        <w:rPr>
          <w:sz w:val="20"/>
          <w:szCs w:val="20"/>
          <w:color w:val="auto"/>
        </w:rPr>
      </w:pPr>
    </w:p>
    <w:p>
      <w:pPr>
        <w:jc w:val="both"/>
        <w:ind w:left="340" w:right="220" w:firstLine="1102"/>
        <w:spacing w:after="0" w:line="256" w:lineRule="auto"/>
        <w:rPr>
          <w:sz w:val="20"/>
          <w:szCs w:val="20"/>
          <w:color w:val="auto"/>
        </w:rPr>
      </w:pPr>
      <w:r>
        <w:rPr>
          <w:rFonts w:ascii="Times New Roman" w:cs="Times New Roman" w:eastAsia="Times New Roman" w:hAnsi="Times New Roman"/>
          <w:sz w:val="18"/>
          <w:szCs w:val="18"/>
          <w:color w:val="auto"/>
        </w:rPr>
        <w:t>4.1 If the Executive’s employment shall be terminated for any reason following a Change in Control, the Company shall pay the Base Salary to the Executive through the Date of Termination, together with all compensation and benefits payable to the Executive through the Date of Termination under the terms of the Company’s compensation and benefit plans, programs or arrangements as in effect immediately prior to the Date of Termination or, if more favorable to the Executive, as in effect immediately prior to the first occurrence of an event or circumstance constituting Good Reason (including, without limitation, a payment in respect of the Executive’s accrued and unused vacation, determined without regard to any adverse change to the vacation accrual or payout policy occurring following the Change in Control).</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156750709.3</w:t>
      </w:r>
    </w:p>
    <w:p>
      <w:pPr>
        <w:sectPr>
          <w:pgSz w:w="11900" w:h="16838" w:orient="portrait"/>
          <w:cols w:equalWidth="0" w:num="1">
            <w:col w:w="11240"/>
          </w:cols>
          <w:pgMar w:left="320" w:top="104"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left="340" w:right="220" w:firstLine="1102"/>
        <w:spacing w:after="0" w:line="258" w:lineRule="auto"/>
        <w:rPr>
          <w:sz w:val="20"/>
          <w:szCs w:val="20"/>
          <w:color w:val="auto"/>
        </w:rPr>
      </w:pPr>
      <w:r>
        <w:rPr>
          <w:rFonts w:ascii="Times New Roman" w:cs="Times New Roman" w:eastAsia="Times New Roman" w:hAnsi="Times New Roman"/>
          <w:sz w:val="18"/>
          <w:szCs w:val="18"/>
          <w:color w:val="auto"/>
        </w:rPr>
        <w:t>4.2 If the Executive’s employment shall be terminated for any reason following a Change in Control, the Company shall pay to the Executive the Executive’s normal post-termination compensation and benefits as such payments become due. Such post-termination compensation and benefits shall be determined under, and paid in accordance with, the Company’s retirement, insurance and other compensation or benefit plans, programs and arrangements as in effect immediately prior to the Date of Termination or, if more favorable to the Executive, as in effect immediately prior to the occurrence of the first event or circumstance constituting Good Reason, subject to the application of 6.1(D) hereof.</w:t>
      </w:r>
    </w:p>
    <w:p>
      <w:pPr>
        <w:spacing w:after="0" w:line="143" w:lineRule="exact"/>
        <w:rPr>
          <w:sz w:val="20"/>
          <w:szCs w:val="20"/>
          <w:color w:val="auto"/>
        </w:rPr>
      </w:pPr>
    </w:p>
    <w:p>
      <w:pPr>
        <w:jc w:val="both"/>
        <w:ind w:left="340" w:right="240" w:firstLine="1102"/>
        <w:spacing w:after="0" w:line="282" w:lineRule="auto"/>
        <w:rPr>
          <w:sz w:val="20"/>
          <w:szCs w:val="20"/>
          <w:color w:val="auto"/>
        </w:rPr>
      </w:pPr>
      <w:r>
        <w:rPr>
          <w:rFonts w:ascii="Times New Roman" w:cs="Times New Roman" w:eastAsia="Times New Roman" w:hAnsi="Times New Roman"/>
          <w:sz w:val="18"/>
          <w:szCs w:val="18"/>
          <w:color w:val="auto"/>
        </w:rPr>
        <w:t>4.3 Each outstanding equity or equity-based award granted to the Executive shall be governed by the terms of the applicable award agreement governing the treatment of such award in connection with a Change in Control.</w:t>
      </w:r>
    </w:p>
    <w:p>
      <w:pPr>
        <w:spacing w:after="0" w:line="121" w:lineRule="exact"/>
        <w:rPr>
          <w:sz w:val="20"/>
          <w:szCs w:val="20"/>
          <w:color w:val="auto"/>
        </w:rPr>
      </w:pPr>
    </w:p>
    <w:p>
      <w:pPr>
        <w:ind w:left="720" w:hanging="544"/>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Payments and Benefits.</w:t>
      </w:r>
    </w:p>
    <w:p>
      <w:pPr>
        <w:spacing w:after="0" w:line="198" w:lineRule="exact"/>
        <w:rPr>
          <w:sz w:val="20"/>
          <w:szCs w:val="20"/>
          <w:color w:val="auto"/>
        </w:rPr>
      </w:pPr>
    </w:p>
    <w:p>
      <w:pPr>
        <w:jc w:val="both"/>
        <w:ind w:left="340" w:right="220" w:firstLine="1102"/>
        <w:spacing w:after="0" w:line="254" w:lineRule="auto"/>
        <w:rPr>
          <w:sz w:val="20"/>
          <w:szCs w:val="20"/>
          <w:color w:val="auto"/>
        </w:rPr>
      </w:pPr>
      <w:r>
        <w:rPr>
          <w:rFonts w:ascii="Times New Roman" w:cs="Times New Roman" w:eastAsia="Times New Roman" w:hAnsi="Times New Roman"/>
          <w:sz w:val="18"/>
          <w:szCs w:val="18"/>
          <w:color w:val="auto"/>
        </w:rPr>
        <w:t>5.1 Subject to the terms and conditions set forth in this Agreement, if the Executive’s employment is terminated within twenty-four (24) months following a Change in Control, other than (a) by the Company for Cause, (b) by reason of death or Disability, or (c) by the Executive without Good Reason, then the Company shall pay the Executive the amounts, and provide the Executive the benefits, described in this Section 5.1 (“Severance Payments”), in addition to any payments and benefits to which the Executive is entitled under Section 4. For purposes of this Agreement, the Executive’s employment shall be deemed to have been terminated within twenty-four (24) months following a Change in Control and during the Term by the Company without Cause or by the Executive with Good Reason, if (i) the Executive’s employment is terminated by the Company without Cause during a Potential Change in Control Period, or (ii) the Executive terminates Executive’s employment for Good Reason during a Potential Change in Control Period. Except as described above, the Executive shall not be entitled to benefits pursuant to this Section 5.1 unless a Change in Control shall have occurred during the Term.</w:t>
      </w:r>
    </w:p>
    <w:p>
      <w:pPr>
        <w:spacing w:after="0" w:line="148" w:lineRule="exact"/>
        <w:rPr>
          <w:sz w:val="20"/>
          <w:szCs w:val="20"/>
          <w:color w:val="auto"/>
        </w:rPr>
      </w:pPr>
    </w:p>
    <w:p>
      <w:pPr>
        <w:ind w:left="2580" w:hanging="822"/>
        <w:spacing w:after="0"/>
        <w:tabs>
          <w:tab w:leader="none" w:pos="25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to the Executive a lump sum severance payment, in cash, equal to 2.5 times the sum of</w:t>
      </w:r>
    </w:p>
    <w:p>
      <w:pPr>
        <w:spacing w:after="0" w:line="27" w:lineRule="exact"/>
        <w:rPr>
          <w:rFonts w:ascii="Times New Roman" w:cs="Times New Roman" w:eastAsia="Times New Roman" w:hAnsi="Times New Roman"/>
          <w:sz w:val="18"/>
          <w:szCs w:val="18"/>
          <w:color w:val="auto"/>
        </w:rPr>
      </w:pPr>
    </w:p>
    <w:p>
      <w:pPr>
        <w:jc w:val="both"/>
        <w:ind w:left="720" w:right="220" w:firstLine="1"/>
        <w:spacing w:after="0" w:line="255" w:lineRule="auto"/>
        <w:tabs>
          <w:tab w:leader="none" w:pos="98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Salary, and (b) the target annual bonus available to the Executive pursuant to the Company’s annual bonus plan in which the Executive participates in respect of the fiscal year in which the Date of Termination occurs (without giving effect to any event or circumstance constituting Good Reason).</w:t>
      </w:r>
    </w:p>
    <w:p>
      <w:pPr>
        <w:spacing w:after="0" w:line="145" w:lineRule="exact"/>
        <w:rPr>
          <w:rFonts w:ascii="Times New Roman" w:cs="Times New Roman" w:eastAsia="Times New Roman" w:hAnsi="Times New Roman"/>
          <w:sz w:val="18"/>
          <w:szCs w:val="18"/>
          <w:color w:val="auto"/>
        </w:rPr>
      </w:pPr>
    </w:p>
    <w:p>
      <w:pPr>
        <w:jc w:val="both"/>
        <w:ind w:left="720" w:right="220" w:firstLine="1038"/>
        <w:spacing w:after="0" w:line="254" w:lineRule="auto"/>
        <w:tabs>
          <w:tab w:leader="none" w:pos="259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30 month period immediately following the Date of Termination, the Company shall arrange to provide the Executive and Executive’s dependents life, disability and health insurance benefits substantially similar to those provided to the Executive and Executive’s dependents immediately prior to the Date of Termination or, if more favorable to the Executive, those provided to the Executive and Executive’s dependents immediately prior to the first occurrence of an event or circumstance constituting Good Reason, at no greater after-tax cost to the Executive than the cost to the Executive immediately prior to such date or occurrence. The cost of providing the benefits set forth in this Section 5.1(B) shall be in addition to (and shall not reduce) the Severance Payments. Benefits otherwise receivable by the Executive pursuant to this Section 5.1(B) shall be reduced to the extent the Executive becomes eligible to receive comparable benefits at comparable cost from a new employer or pursuant to a government-sponsored health insurance or health care program.</w:t>
      </w:r>
    </w:p>
    <w:p>
      <w:pPr>
        <w:spacing w:after="0" w:line="164" w:lineRule="exact"/>
        <w:rPr>
          <w:rFonts w:ascii="Times New Roman" w:cs="Times New Roman" w:eastAsia="Times New Roman" w:hAnsi="Times New Roman"/>
          <w:sz w:val="18"/>
          <w:szCs w:val="18"/>
          <w:color w:val="auto"/>
        </w:rPr>
      </w:pPr>
    </w:p>
    <w:p>
      <w:pPr>
        <w:jc w:val="both"/>
        <w:ind w:left="720" w:right="220" w:firstLine="1038"/>
        <w:spacing w:after="0" w:line="266" w:lineRule="auto"/>
        <w:tabs>
          <w:tab w:leader="none" w:pos="259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to the Executive an amount in respect of the Executive’s target annual cash bonus compensation for the fiscal year in which the Date of Termination occurs, which amount shall be paid out pro-rata, based on the portion of the performance period which has elapsed as of the Date of Termination.</w:t>
      </w:r>
    </w:p>
    <w:p>
      <w:pPr>
        <w:spacing w:after="0" w:line="135" w:lineRule="exact"/>
        <w:rPr>
          <w:rFonts w:ascii="Times New Roman" w:cs="Times New Roman" w:eastAsia="Times New Roman" w:hAnsi="Times New Roman"/>
          <w:sz w:val="18"/>
          <w:szCs w:val="18"/>
          <w:color w:val="auto"/>
        </w:rPr>
      </w:pPr>
    </w:p>
    <w:p>
      <w:pPr>
        <w:ind w:left="720" w:right="220" w:firstLine="1038"/>
        <w:spacing w:after="0" w:line="282" w:lineRule="auto"/>
        <w:tabs>
          <w:tab w:leader="none" w:pos="258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Long Term Performance Plan award outstanding as of the Date of Termination shall be vested at the greater of target or actual performance for the year (if the Date of Termination occurs during the performance period applicable to such award).</w:t>
      </w:r>
    </w:p>
    <w:p>
      <w:pPr>
        <w:spacing w:after="0" w:line="121" w:lineRule="exact"/>
        <w:rPr>
          <w:sz w:val="20"/>
          <w:szCs w:val="20"/>
          <w:color w:val="auto"/>
        </w:rPr>
      </w:pPr>
    </w:p>
    <w:p>
      <w:pPr>
        <w:ind w:left="1440"/>
        <w:spacing w:after="0"/>
        <w:tabs>
          <w:tab w:leader="none" w:pos="192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u w:val="single" w:color="auto"/>
          <w:color w:val="auto"/>
        </w:rPr>
        <w:t>Code Section 280G</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both"/>
        <w:ind w:left="720" w:right="220" w:firstLine="1038"/>
        <w:spacing w:after="0" w:line="254" w:lineRule="auto"/>
        <w:tabs>
          <w:tab w:leader="none" w:pos="258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the Agreement to the contrary notwithstanding, in the event the Auditor determines that receipt of all Payments would subject the Executive to the Excise Tax, the Auditor shall determine whether to reduce any of the Payments that are otherwise payable pursuant to this Agreement (the “Agreement Payments”) so that the Parachute Value of all Payments, in the aggregate, equals the Safe Harbor Amount. The Agreement Payments shall be so reduced only if the Auditor determines that the Executive would have a greater Net After-Tax Receipt of aggregate Payments if the Agreement Payments were so reduced. If the Auditor determines that the Executive would not have a greater Net After-Tax Receipt of aggregate Payments if the Agreement Payments were so reduced, the Executive shall receive the full amount of all Agreement Payments to which the Executive is otherwise entitled hereunder. The Auditor may make reasonable assumptions and approximations concerning applicable taxes and may rely on reasonable, good faith interpretations concerning the application of Sections 280G and 4999 of the Code in making its determination under this Section 5.2.</w:t>
      </w:r>
    </w:p>
    <w:p>
      <w:pPr>
        <w:sectPr>
          <w:pgSz w:w="11900" w:h="16838" w:orient="portrait"/>
          <w:cols w:equalWidth="0" w:num="1">
            <w:col w:w="11240"/>
          </w:cols>
          <w:pgMar w:left="320" w:top="2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156750709.3</w:t>
      </w:r>
    </w:p>
    <w:p>
      <w:pPr>
        <w:sectPr>
          <w:pgSz w:w="11900" w:h="16838" w:orient="portrait"/>
          <w:cols w:equalWidth="0" w:num="1">
            <w:col w:w="11240"/>
          </w:cols>
          <w:pgMar w:left="320" w:top="266" w:right="339" w:bottom="1440" w:gutter="0" w:footer="0" w:header="0"/>
          <w:type w:val="continuous"/>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left="720" w:right="220" w:firstLine="1038"/>
        <w:spacing w:after="0" w:line="253" w:lineRule="auto"/>
        <w:tabs>
          <w:tab w:leader="none" w:pos="259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Auditor determines that aggregate Agreement Payments should be reduced so that the Parachute Value of all Payments, in the aggregate, equals the Safe Harbor Amount, the Company shall give the Executive notice to that effect and a copy of the detailed calculation thereof. All determinations made by the Auditor under this Section 5.2 shall be binding upon the Company and the Executive. For purposes of reducing the Agreement Payments so that the Parachute Value of all Payments, in the aggregate, equals the Safe Harbor Amount, only amounts payable under this Agreement (and no other Payments) shall be reduced. The reduction of the amounts payable hereunder, if applicable, shall be made by reducing the payments and benefits in the following order: (i) reduction of cash payments, which will occur in reverse chronological order with the cash payment owed on the latest date following the event triggering the Excise Tax being the first cash payment to be reduced; (ii) cancellation of accelerated vesting of equity awards, which will occur in the reverse order of the date of grant for the stock awards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vesting of the most recently granted equity awards will be reduced first); and (iii) reduction of other employee benefits, which will occur in reverse chronological order with the benefit owed on the latest date following the event triggering the Excise Tax being the first benefit to be reduced. With respect to each of clauses (i)-(iii), if any payments or benefits constitute deferred compensation subject to Section 409A of the Code, the reduction will occur first as to amounts that are not deferred. If two or more of the same type of awards are granted on the same date, the parachute payments associated with each award will be reduced on a pro-rata basis.</w:t>
      </w:r>
    </w:p>
    <w:p>
      <w:pPr>
        <w:spacing w:after="0" w:line="146" w:lineRule="exact"/>
        <w:rPr>
          <w:rFonts w:ascii="Times New Roman" w:cs="Times New Roman" w:eastAsia="Times New Roman" w:hAnsi="Times New Roman"/>
          <w:sz w:val="18"/>
          <w:szCs w:val="18"/>
          <w:color w:val="auto"/>
        </w:rPr>
      </w:pPr>
    </w:p>
    <w:p>
      <w:pPr>
        <w:ind w:left="2600" w:hanging="842"/>
        <w:spacing w:after="0"/>
        <w:tabs>
          <w:tab w:leader="none" w:pos="26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5.2, the following definitions apply:</w:t>
      </w:r>
    </w:p>
    <w:p>
      <w:pPr>
        <w:spacing w:after="0" w:line="18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“Auditor” means the accounting firm which was, immediately prior to the applicable Change in Control, the Company’s</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independent auditor.</w:t>
      </w:r>
    </w:p>
    <w:p>
      <w:pPr>
        <w:spacing w:after="0" w:line="180" w:lineRule="exact"/>
        <w:rPr>
          <w:sz w:val="20"/>
          <w:szCs w:val="20"/>
          <w:color w:val="auto"/>
        </w:rPr>
      </w:pPr>
    </w:p>
    <w:p>
      <w:pPr>
        <w:jc w:val="both"/>
        <w:ind w:left="520" w:right="220" w:firstLine="1802"/>
        <w:spacing w:after="0" w:line="281" w:lineRule="auto"/>
        <w:rPr>
          <w:sz w:val="20"/>
          <w:szCs w:val="20"/>
          <w:color w:val="auto"/>
        </w:rPr>
      </w:pPr>
      <w:r>
        <w:rPr>
          <w:rFonts w:ascii="Times New Roman" w:cs="Times New Roman" w:eastAsia="Times New Roman" w:hAnsi="Times New Roman"/>
          <w:sz w:val="17"/>
          <w:szCs w:val="17"/>
          <w:color w:val="auto"/>
        </w:rPr>
        <w:t>“Net After-Tax Receipt” means the Parachute Value of a Payment net of all taxes imposed on the Executive with respect thereto under Sections 1, 3101 and 4999 of the Code and under applicable state and local laws, determined by applying the highest rate of federal income tax under Section 1 of the Code and under state and local laws which applied to the Executive’s taxable income for the immediately preceding taxable year, or such other rate(s) as the Auditor determines to be likely to apply to the Executive in the relevant tax year(s).</w:t>
      </w:r>
    </w:p>
    <w:p>
      <w:pPr>
        <w:spacing w:after="0" w:line="124" w:lineRule="exact"/>
        <w:rPr>
          <w:sz w:val="20"/>
          <w:szCs w:val="20"/>
          <w:color w:val="auto"/>
        </w:rPr>
      </w:pPr>
    </w:p>
    <w:p>
      <w:pPr>
        <w:jc w:val="both"/>
        <w:ind w:left="520" w:right="220" w:firstLine="1802"/>
        <w:spacing w:after="0" w:line="266" w:lineRule="auto"/>
        <w:rPr>
          <w:sz w:val="20"/>
          <w:szCs w:val="20"/>
          <w:color w:val="auto"/>
        </w:rPr>
      </w:pPr>
      <w:r>
        <w:rPr>
          <w:rFonts w:ascii="Times New Roman" w:cs="Times New Roman" w:eastAsia="Times New Roman" w:hAnsi="Times New Roman"/>
          <w:sz w:val="18"/>
          <w:szCs w:val="18"/>
          <w:color w:val="auto"/>
        </w:rPr>
        <w:t>“Parachute Value” means, with respect to a Payment, the present value (as determined in accordance with Sections 280G(b)(2)(A)(ii) and 280G(d)(4) of the Code) of the portion of such Payment that constitutes a “parachute payment” under Section 280G(b)(2) of the Code, as determined by the Auditor for purposes of determining whether and to what extent the Excise Tax will apply to such Payment.</w:t>
      </w:r>
    </w:p>
    <w:p>
      <w:pPr>
        <w:spacing w:after="0" w:line="135" w:lineRule="exact"/>
        <w:rPr>
          <w:sz w:val="20"/>
          <w:szCs w:val="20"/>
          <w:color w:val="auto"/>
        </w:rPr>
      </w:pPr>
    </w:p>
    <w:p>
      <w:pPr>
        <w:jc w:val="both"/>
        <w:ind w:left="520" w:right="220" w:firstLine="1802"/>
        <w:spacing w:after="0" w:line="282" w:lineRule="auto"/>
        <w:rPr>
          <w:sz w:val="20"/>
          <w:szCs w:val="20"/>
          <w:color w:val="auto"/>
        </w:rPr>
      </w:pPr>
      <w:r>
        <w:rPr>
          <w:rFonts w:ascii="Times New Roman" w:cs="Times New Roman" w:eastAsia="Times New Roman" w:hAnsi="Times New Roman"/>
          <w:sz w:val="18"/>
          <w:szCs w:val="18"/>
          <w:color w:val="auto"/>
        </w:rPr>
        <w:t>“Payments” means any payment or benefit in the nature of compensation (within the meaning of Section 280G(b)(2) of the Code) provided to or for the benefit of the Executive, whether pursuant to this Agreement or otherwise.</w:t>
      </w:r>
    </w:p>
    <w:p>
      <w:pPr>
        <w:spacing w:after="0" w:line="135" w:lineRule="exact"/>
        <w:rPr>
          <w:sz w:val="20"/>
          <w:szCs w:val="20"/>
          <w:color w:val="auto"/>
        </w:rPr>
      </w:pPr>
    </w:p>
    <w:p>
      <w:pPr>
        <w:jc w:val="both"/>
        <w:ind w:left="520" w:right="220" w:firstLine="1802"/>
        <w:spacing w:after="0" w:line="282" w:lineRule="auto"/>
        <w:rPr>
          <w:sz w:val="20"/>
          <w:szCs w:val="20"/>
          <w:color w:val="auto"/>
        </w:rPr>
      </w:pPr>
      <w:r>
        <w:rPr>
          <w:rFonts w:ascii="Times New Roman" w:cs="Times New Roman" w:eastAsia="Times New Roman" w:hAnsi="Times New Roman"/>
          <w:sz w:val="18"/>
          <w:szCs w:val="18"/>
          <w:color w:val="auto"/>
        </w:rPr>
        <w:t>“Safe Harbor Amount” means the greatest amount that the Auditor determines may be paid or provided to the Executive without having any portion of any Payment treated as an "excess parachute payment" within the meaning of Section 280G(b)(1) of the Code.</w:t>
      </w:r>
    </w:p>
    <w:p>
      <w:pPr>
        <w:spacing w:after="0" w:line="121" w:lineRule="exact"/>
        <w:rPr>
          <w:sz w:val="20"/>
          <w:szCs w:val="20"/>
          <w:color w:val="auto"/>
        </w:rPr>
      </w:pPr>
    </w:p>
    <w:p>
      <w:pPr>
        <w:jc w:val="both"/>
        <w:ind w:left="520" w:right="220" w:firstLine="1802"/>
        <w:spacing w:after="0" w:line="282" w:lineRule="auto"/>
        <w:rPr>
          <w:sz w:val="20"/>
          <w:szCs w:val="20"/>
          <w:color w:val="auto"/>
        </w:rPr>
      </w:pPr>
      <w:r>
        <w:rPr>
          <w:rFonts w:ascii="Times New Roman" w:cs="Times New Roman" w:eastAsia="Times New Roman" w:hAnsi="Times New Roman"/>
          <w:sz w:val="18"/>
          <w:szCs w:val="18"/>
          <w:color w:val="auto"/>
        </w:rPr>
        <w:t>“Section 280G Change of Control” means a change in the ownership or effective control of the Company, or in the ownership of a substantial portion of the assets of the Company, within the meaning of Section 280G(b)(2).</w:t>
      </w:r>
    </w:p>
    <w:p>
      <w:pPr>
        <w:spacing w:after="0" w:line="121" w:lineRule="exact"/>
        <w:rPr>
          <w:sz w:val="20"/>
          <w:szCs w:val="20"/>
          <w:color w:val="auto"/>
        </w:rPr>
      </w:pPr>
    </w:p>
    <w:p>
      <w:pPr>
        <w:jc w:val="both"/>
        <w:ind w:left="340" w:right="220" w:firstLine="1102"/>
        <w:spacing w:after="0" w:line="253" w:lineRule="auto"/>
        <w:rPr>
          <w:sz w:val="20"/>
          <w:szCs w:val="20"/>
          <w:color w:val="auto"/>
        </w:rPr>
      </w:pPr>
      <w:r>
        <w:rPr>
          <w:rFonts w:ascii="Times New Roman" w:cs="Times New Roman" w:eastAsia="Times New Roman" w:hAnsi="Times New Roman"/>
          <w:sz w:val="18"/>
          <w:szCs w:val="18"/>
          <w:color w:val="auto"/>
        </w:rPr>
        <w:t xml:space="preserve">5.3 Except as set forth below or as required by the operation of Section 13.3, the payments provided in subsection (A) of Section 5.1 and the benefits to be provided in subsection (D) of Section 5.1 shall be made or provided not later than the fifth day following the date upon which the release described in Section 5.5 becomes irrevocable,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amounts of such payments cannot be finally determined on or before such day, the Company shall pay to the Executive on such day an estimate, as determined in good faith by the Company and shall pay the remainder of such payments (together with interest on the unpaid remainder (or on all such payments to the extent the Company fails to make such payments when due) at 120% of the rate provided in section 1274(b)(2)(B) of the Code) as soon as the amount thereof can be determined but in no event later than the thirtieth (30th) day after the occurrence of a Date of Termination. In the event that the amount of the estimated payments exceeds the amount subsequently determined to have been due, such excess shall constitute a loan by the Company to the Executive, payable on the fifth (5th) business day after demand by the Company (together with interest at 120% of the rate provided in section 1274(b)(2)(B) of the Code). At the time that payments are made under this Agreement, the Company shall provide the Executive with a written statement setting forth the manner in which such payments were calculated and the basis for such calculations including, without limitation, any opinions or other advice the Company has received from the Auditor or other advisors or consultants (and any such opinions or advice which are in writing shall be attached to the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156750709.3</w:t>
      </w:r>
    </w:p>
    <w:p>
      <w:pPr>
        <w:sectPr>
          <w:pgSz w:w="11900" w:h="16838" w:orient="portrait"/>
          <w:cols w:equalWidth="0" w:num="1">
            <w:col w:w="11240"/>
          </w:cols>
          <w:pgMar w:left="320" w:top="266"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left="340" w:right="220"/>
        <w:spacing w:after="0" w:line="282" w:lineRule="auto"/>
        <w:rPr>
          <w:sz w:val="20"/>
          <w:szCs w:val="20"/>
          <w:color w:val="auto"/>
        </w:rPr>
      </w:pPr>
      <w:r>
        <w:rPr>
          <w:rFonts w:ascii="Times New Roman" w:cs="Times New Roman" w:eastAsia="Times New Roman" w:hAnsi="Times New Roman"/>
          <w:sz w:val="18"/>
          <w:szCs w:val="18"/>
          <w:color w:val="auto"/>
        </w:rPr>
        <w:t>The payments provided in Section 5.1(C) will be paid not later than 75 days following the end of the calendar year in which the Date of Termination occurs, unless another payment date is required by the operation of Section 13.3.</w:t>
      </w:r>
    </w:p>
    <w:p>
      <w:pPr>
        <w:spacing w:after="0" w:line="121" w:lineRule="exact"/>
        <w:rPr>
          <w:sz w:val="20"/>
          <w:szCs w:val="20"/>
          <w:color w:val="auto"/>
        </w:rPr>
      </w:pPr>
    </w:p>
    <w:p>
      <w:pPr>
        <w:jc w:val="both"/>
        <w:ind w:left="340" w:right="220" w:firstLine="1102"/>
        <w:spacing w:after="0" w:line="254" w:lineRule="auto"/>
        <w:rPr>
          <w:sz w:val="20"/>
          <w:szCs w:val="20"/>
          <w:color w:val="auto"/>
        </w:rPr>
      </w:pPr>
      <w:r>
        <w:rPr>
          <w:rFonts w:ascii="Times New Roman" w:cs="Times New Roman" w:eastAsia="Times New Roman" w:hAnsi="Times New Roman"/>
          <w:sz w:val="18"/>
          <w:szCs w:val="18"/>
          <w:color w:val="auto"/>
        </w:rPr>
        <w:t>5.4 The Company shall pay to the Executive all legal fees and expenses incurred by the Executive in disputing in good faith any issue hereunder relating to the termination of the Executive's employment or in seeking in good faith to obtain or enforce any benefit or right provided by this Agreement or in connection with any tax audit or proceeding to the extent attributable to the application of section 4999 of the Code to any payment or benefit provided hereunder. Such payments shall be made within five (5) business days after delivery of the Executive's written requests for payment accompanied with such evidence of fees and expenses incurred as the Company reasonably may require. The Executive's reimbursement rights described in this Section 5.4 shall remain in effect for the life of the Executive, provided, that, in order for the Executive to be entitled to reimbursement hereunder, the Executive must submit the written reimbursement request described above within 180 days following the date upon which the applicable fee or expense is incurred.</w:t>
      </w:r>
    </w:p>
    <w:p>
      <w:pPr>
        <w:spacing w:after="0" w:line="151" w:lineRule="exact"/>
        <w:rPr>
          <w:sz w:val="20"/>
          <w:szCs w:val="20"/>
          <w:color w:val="auto"/>
        </w:rPr>
      </w:pPr>
    </w:p>
    <w:p>
      <w:pPr>
        <w:jc w:val="both"/>
        <w:ind w:left="340" w:right="220" w:firstLine="1102"/>
        <w:spacing w:after="0" w:line="256" w:lineRule="auto"/>
        <w:rPr>
          <w:sz w:val="20"/>
          <w:szCs w:val="20"/>
          <w:color w:val="auto"/>
        </w:rPr>
      </w:pPr>
      <w:r>
        <w:rPr>
          <w:rFonts w:ascii="Times New Roman" w:cs="Times New Roman" w:eastAsia="Times New Roman" w:hAnsi="Times New Roman"/>
          <w:sz w:val="18"/>
          <w:szCs w:val="18"/>
          <w:color w:val="auto"/>
        </w:rPr>
        <w:t>5.5 Notwithstanding anything in this Agreement to the contrary, the Executive’s entitlement to payments and benefits described in Section 5.1 hereof shall be conditioned upon the Executive’s execution and non-revocation of a customary and reasonable release of claims in favor of the Company, which release of claims shall be delivered to the Executive on the Date of Termination and which shall be required to be executed not later than the 60th day following such Date of Termination. If such a 60-day period includes portions of two calendar years, then for purposes of the first sentence of Section 5.3, the release of claims shall be deemed to have become irrevocable in the later of such calendar years, notwithstanding that it may in fact have become irrevocable in the earlier calendar year.</w:t>
      </w:r>
    </w:p>
    <w:p>
      <w:pPr>
        <w:spacing w:after="0" w:line="160" w:lineRule="exact"/>
        <w:rPr>
          <w:sz w:val="20"/>
          <w:szCs w:val="20"/>
          <w:color w:val="auto"/>
        </w:rPr>
      </w:pPr>
    </w:p>
    <w:p>
      <w:pPr>
        <w:ind w:left="720" w:hanging="544"/>
        <w:spacing w:after="0"/>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Procedures and Compensation During Dispute.</w:t>
      </w:r>
    </w:p>
    <w:p>
      <w:pPr>
        <w:spacing w:after="0" w:line="185" w:lineRule="exact"/>
        <w:rPr>
          <w:sz w:val="20"/>
          <w:szCs w:val="20"/>
          <w:color w:val="auto"/>
        </w:rPr>
      </w:pPr>
    </w:p>
    <w:p>
      <w:pPr>
        <w:jc w:val="both"/>
        <w:ind w:left="340" w:right="220" w:firstLine="1102"/>
        <w:spacing w:after="0" w:line="254"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After a Change in Control, any purported termination of the Executive’s employment (other than by reason of death) shall be communicated by written Notice of Termination from one party hereto to the other party hereto in accordance with Section 9. For purposes of this Agreement, a “Notice of Termination” shall mean a notice which shall indicate the specific termination provision in this Agreement relied upon and shall set forth in reasonable detail any facts and circumstances claimed to provide a basis for termination of the Executive’s employment under the provision so indicated. Further, a Notice of Termination for Cause is required to include a copy of a resolution duly adopted by the affirmative vote of not less than two-thirds (2/3) of the entire membership of the Board at a meeting of the Board which was called and held for the purpose of considering such termination (after reasonable notice to the Executive and an opportunity for the Executive, together with the Executive’s counsel, to be heard before the Board) finding that, in the good faith opinion of the Board, the Executive was guilty of conduct set forth in clause (i), (ii) or (iii) of the definition of Cause herein, and specifying the particulars thereof in detail.</w:t>
      </w:r>
    </w:p>
    <w:p>
      <w:pPr>
        <w:spacing w:after="0" w:line="148" w:lineRule="exact"/>
        <w:rPr>
          <w:sz w:val="20"/>
          <w:szCs w:val="20"/>
          <w:color w:val="auto"/>
        </w:rPr>
      </w:pPr>
    </w:p>
    <w:p>
      <w:pPr>
        <w:jc w:val="both"/>
        <w:ind w:left="340" w:right="220" w:firstLine="1102"/>
        <w:spacing w:after="0" w:line="257"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Date of Termination</w:t>
      </w:r>
      <w:r>
        <w:rPr>
          <w:rFonts w:ascii="Times New Roman" w:cs="Times New Roman" w:eastAsia="Times New Roman" w:hAnsi="Times New Roman"/>
          <w:sz w:val="18"/>
          <w:szCs w:val="18"/>
          <w:color w:val="auto"/>
        </w:rPr>
        <w:t>. “Date of Termination,” with respect to any purported termination of the Executive’s employment after a Change in Control, shall mean (i) if the Executive’s employment is terminated for Disability, thirty (30) days after Notice of Termination is given (provided that the Executive shall not have returned to the full-time performance of the Executive’s duties during such thirty (30) day period), and</w:t>
      </w:r>
    </w:p>
    <w:p>
      <w:pPr>
        <w:spacing w:after="0" w:line="1" w:lineRule="exact"/>
        <w:rPr>
          <w:sz w:val="20"/>
          <w:szCs w:val="20"/>
          <w:color w:val="auto"/>
        </w:rPr>
      </w:pPr>
    </w:p>
    <w:p>
      <w:pPr>
        <w:jc w:val="both"/>
        <w:ind w:left="340" w:right="220" w:hanging="8"/>
        <w:spacing w:after="0" w:line="253" w:lineRule="auto"/>
        <w:tabs>
          <w:tab w:leader="none" w:pos="63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Executive’s employment is terminated for any other reason, the date specified in the Notice of Termination (which, in the case of a termination by the Company, shall not be less than thirty (30) days (except in the case of a termination for Cause) and, in the case of a termination by the Executive, shall not be less than fifteen (15) days nor more than sixty (60) days, respectively, from the date the Company’s right to cure set forth in Section 15.15 expires).</w:t>
      </w:r>
    </w:p>
    <w:p>
      <w:pPr>
        <w:spacing w:after="0" w:line="162" w:lineRule="exact"/>
        <w:rPr>
          <w:sz w:val="20"/>
          <w:szCs w:val="20"/>
          <w:color w:val="auto"/>
        </w:rPr>
      </w:pPr>
    </w:p>
    <w:p>
      <w:pPr>
        <w:jc w:val="both"/>
        <w:ind w:left="340" w:right="220" w:firstLine="1102"/>
        <w:spacing w:after="0" w:line="257"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Dispute Concerning Termination</w:t>
      </w:r>
      <w:r>
        <w:rPr>
          <w:rFonts w:ascii="Times New Roman" w:cs="Times New Roman" w:eastAsia="Times New Roman" w:hAnsi="Times New Roman"/>
          <w:sz w:val="18"/>
          <w:szCs w:val="18"/>
          <w:color w:val="auto"/>
        </w:rPr>
        <w:t>. If within ten (10) days after any Notice of Termination is given, or, if later, prior to the Date of Termination (as determined without regard to this Section 6.3), the party receiving such Notice of Termination notifies the other party that a dispute exists concerning the termination, the Date of Termination shall be extended until the earlier of (i) the date on which the Term ends or</w:t>
      </w:r>
    </w:p>
    <w:p>
      <w:pPr>
        <w:spacing w:after="0" w:line="1" w:lineRule="exact"/>
        <w:rPr>
          <w:sz w:val="20"/>
          <w:szCs w:val="20"/>
          <w:color w:val="auto"/>
        </w:rPr>
      </w:pPr>
    </w:p>
    <w:p>
      <w:pPr>
        <w:jc w:val="both"/>
        <w:ind w:left="340" w:right="220" w:hanging="8"/>
        <w:spacing w:after="0" w:line="253" w:lineRule="auto"/>
        <w:tabs>
          <w:tab w:leader="none" w:pos="61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date on which the dispute is finally resolved, either by mutual written agreement of the parties or by a final judgment, order or decree of an arbitrator or a court of competent jurisdiction (which is not appealable or with respect to which the time for appeal therefrom has expired and no appeal has been perfected);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Date of Termination shall be extended by a notice of dispute given by the Executive only if such notice is given in good faith and the Executive pursues the resolution of such dispute with reasonable diligence.</w:t>
      </w:r>
    </w:p>
    <w:p>
      <w:pPr>
        <w:spacing w:after="0" w:line="148" w:lineRule="exact"/>
        <w:rPr>
          <w:sz w:val="20"/>
          <w:szCs w:val="20"/>
          <w:color w:val="auto"/>
        </w:rPr>
      </w:pPr>
    </w:p>
    <w:p>
      <w:pPr>
        <w:jc w:val="both"/>
        <w:ind w:left="340" w:right="220" w:firstLine="1102"/>
        <w:spacing w:after="0" w:line="256"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Compensation During Dispute</w:t>
      </w:r>
      <w:r>
        <w:rPr>
          <w:rFonts w:ascii="Times New Roman" w:cs="Times New Roman" w:eastAsia="Times New Roman" w:hAnsi="Times New Roman"/>
          <w:sz w:val="18"/>
          <w:szCs w:val="18"/>
          <w:color w:val="auto"/>
        </w:rPr>
        <w:t>. If the Date of Termination is extended in accordance with Section 6.3, the Company shall continue to pay the Executive the full compensation in effect when the notice giving rise to the dispute was given (including, but not limited to, the Base Salary) and continue the Executive as a participant in all compensation, benefit and insurance plans in which the Executive was participating when the notice giving rise to the dispute was given, until the Date of Termination, as determined in accordance with Section 6.3. Amounts paid under this Section 6.4 are in addition to all other amounts due under this Agreement (other than those due under Section 4.1) and shall not be offset against or reduce any other amounts due under this Agreement.</w:t>
      </w:r>
    </w:p>
    <w:p>
      <w:pPr>
        <w:sectPr>
          <w:pgSz w:w="11900" w:h="16838" w:orient="portrait"/>
          <w:cols w:equalWidth="0" w:num="1">
            <w:col w:w="11240"/>
          </w:cols>
          <w:pgMar w:left="320" w:top="2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156750709.3</w:t>
      </w:r>
    </w:p>
    <w:p>
      <w:pPr>
        <w:sectPr>
          <w:pgSz w:w="11900" w:h="16838" w:orient="portrait"/>
          <w:cols w:equalWidth="0" w:num="1">
            <w:col w:w="11240"/>
          </w:cols>
          <w:pgMar w:left="320" w:top="266" w:right="339" w:bottom="1440" w:gutter="0" w:footer="0" w:header="0"/>
          <w:type w:val="continuous"/>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left="720" w:right="220" w:hanging="544"/>
        <w:spacing w:after="0" w:line="258" w:lineRule="auto"/>
        <w:tabs>
          <w:tab w:leader="none" w:pos="7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Mitigation</w:t>
      </w:r>
      <w:r>
        <w:rPr>
          <w:rFonts w:ascii="Times New Roman" w:cs="Times New Roman" w:eastAsia="Times New Roman" w:hAnsi="Times New Roman"/>
          <w:sz w:val="18"/>
          <w:szCs w:val="18"/>
          <w:color w:val="auto"/>
        </w:rPr>
        <w:t>. If the Executive’s employment with the Company terminates following a Change in Control, the Executive is not required to seek other employment or to attempt in any way to reduce any amounts payable to the Executive by the Company pursuant to Section 5 or Section 6.4. Except as set forth in Section 5.1(B), the amount of any payment or benefit provided for or referenced in this Agreement shall not be reduced by any compensation earned by the Executive as the result of employment by another employer, by retirement benefits, by offset against any amount claimed to be owed by the Executive to the Company, or otherwise.</w:t>
      </w:r>
    </w:p>
    <w:p>
      <w:pPr>
        <w:spacing w:after="0" w:line="142" w:lineRule="exact"/>
        <w:rPr>
          <w:rFonts w:ascii="Times New Roman" w:cs="Times New Roman" w:eastAsia="Times New Roman" w:hAnsi="Times New Roman"/>
          <w:sz w:val="18"/>
          <w:szCs w:val="18"/>
          <w:color w:val="auto"/>
        </w:rPr>
      </w:pPr>
    </w:p>
    <w:p>
      <w:pPr>
        <w:ind w:left="720" w:hanging="544"/>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Binding Agreement.</w:t>
      </w:r>
    </w:p>
    <w:p>
      <w:pPr>
        <w:spacing w:after="0" w:line="185" w:lineRule="exact"/>
        <w:rPr>
          <w:sz w:val="20"/>
          <w:szCs w:val="20"/>
          <w:color w:val="auto"/>
        </w:rPr>
      </w:pPr>
    </w:p>
    <w:p>
      <w:pPr>
        <w:jc w:val="both"/>
        <w:ind w:left="340" w:right="220" w:firstLine="1102"/>
        <w:spacing w:after="0" w:line="261" w:lineRule="auto"/>
        <w:rPr>
          <w:sz w:val="20"/>
          <w:szCs w:val="20"/>
          <w:color w:val="auto"/>
        </w:rPr>
      </w:pPr>
      <w:r>
        <w:rPr>
          <w:rFonts w:ascii="Times New Roman" w:cs="Times New Roman" w:eastAsia="Times New Roman" w:hAnsi="Times New Roman"/>
          <w:sz w:val="18"/>
          <w:szCs w:val="18"/>
          <w:color w:val="auto"/>
        </w:rPr>
        <w:t xml:space="preserve">8.1 This Agreement supersedes any other agreements, including the Prior Agreement, or representations, oral or otherwise, express or implied, with respect to the subject matter hereof (including the Change in Control Agreement by and between the Company and the Executive dated February 22, 2007) which have been made by either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Agreement shall not supersede any agreement setting forth the terms and conditions of the Executive’s employment with the Company or any subsidiary of the Company.</w:t>
      </w:r>
    </w:p>
    <w:p>
      <w:pPr>
        <w:spacing w:after="0" w:line="153" w:lineRule="exact"/>
        <w:rPr>
          <w:sz w:val="20"/>
          <w:szCs w:val="20"/>
          <w:color w:val="auto"/>
        </w:rPr>
      </w:pPr>
    </w:p>
    <w:p>
      <w:pPr>
        <w:jc w:val="both"/>
        <w:ind w:left="340" w:right="220" w:firstLine="1102"/>
        <w:spacing w:after="0" w:line="258" w:lineRule="auto"/>
        <w:rPr>
          <w:sz w:val="20"/>
          <w:szCs w:val="20"/>
          <w:color w:val="auto"/>
        </w:rPr>
      </w:pPr>
      <w:r>
        <w:rPr>
          <w:rFonts w:ascii="Times New Roman" w:cs="Times New Roman" w:eastAsia="Times New Roman" w:hAnsi="Times New Roman"/>
          <w:sz w:val="18"/>
          <w:szCs w:val="18"/>
          <w:color w:val="auto"/>
        </w:rPr>
        <w:t>8.2 This Agreement shall inure to the benefit of and be enforceable by the Executive’s personal or legal representatives, executors, administrators, successors, heirs, distributees, devisees and legatees. If the Executive shall die while any amount would still be payable to the Executive hereunder (other than amounts which, by their terms, terminate upon the death of the Executive) if the Executive had continued to live, all such amounts, unless otherwise provided herein, shall be paid in accordance with the terms of this Agreement to the executors, personal representatives or administrators of the Executive’s estate.</w:t>
      </w:r>
    </w:p>
    <w:p>
      <w:pPr>
        <w:spacing w:after="0" w:line="143" w:lineRule="exact"/>
        <w:rPr>
          <w:sz w:val="20"/>
          <w:szCs w:val="20"/>
          <w:color w:val="auto"/>
        </w:rPr>
      </w:pPr>
    </w:p>
    <w:p>
      <w:pPr>
        <w:jc w:val="both"/>
        <w:ind w:left="720" w:right="220" w:hanging="544"/>
        <w:spacing w:after="0" w:line="258" w:lineRule="auto"/>
        <w:tabs>
          <w:tab w:leader="none" w:pos="7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For the purpose of this Agreement, notices and all other communications provided for in the Agreement shall be in writing and shall be deemed to have been duly given when delivered or mailed by United States registered or certified mail, return receipt requested, postage prepaid, addressed to the last known residence address of the Executive or in the case of the Company, to its principal office to the attention of the General Counsel of the Company with a copy to its clerk or Secretary, or to such other address as either party may have furnished to the other in writing in accordance herewith, except that notice of change of address shall be effective only upon receipt.</w:t>
      </w:r>
    </w:p>
    <w:p>
      <w:pPr>
        <w:spacing w:after="0" w:line="142" w:lineRule="exact"/>
        <w:rPr>
          <w:rFonts w:ascii="Times New Roman" w:cs="Times New Roman" w:eastAsia="Times New Roman" w:hAnsi="Times New Roman"/>
          <w:sz w:val="18"/>
          <w:szCs w:val="18"/>
          <w:color w:val="auto"/>
        </w:rPr>
      </w:pPr>
    </w:p>
    <w:p>
      <w:pPr>
        <w:jc w:val="both"/>
        <w:ind w:left="720" w:right="220" w:hanging="544"/>
        <w:spacing w:after="0" w:line="253" w:lineRule="auto"/>
        <w:tabs>
          <w:tab w:leader="none" w:pos="71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No provision of this Agreement may be modified, waived or discharged unless such waiver, modification or discharge is agreed to in writing and signed by the Executive and such officer as may be specifically designated by the Board. No waiver by either party hereto at any time of any breach by the other party hereto of, or of any lack of compliance with, any condition or provision of this Agreement to be performed by such other party shall be deemed a waiver of similar or dissimilar provisions or conditions at the same or at any prior or subsequent time. The validity, interpretation, construction and performance of this Agreement shall be governed by the laws of the State of Washington. All references to sections of the Exchange Act or the Code shall be deemed also to refer to any successor provisions to such sections. Any payments provided for hereunder shall be paid net of any applicable withholding required under federal, state or local law and any additional withholding to which the Executive has agreed. The obligations of the Company and the Executive under this Agreement which by their nature may require either partial or total performance after the expiration of the Term (including, without limitation, those under Sections 5, 6 and 14) shall survive such expiration.</w:t>
      </w:r>
    </w:p>
    <w:p>
      <w:pPr>
        <w:spacing w:after="0" w:line="167" w:lineRule="exact"/>
        <w:rPr>
          <w:rFonts w:ascii="Times New Roman" w:cs="Times New Roman" w:eastAsia="Times New Roman" w:hAnsi="Times New Roman"/>
          <w:sz w:val="18"/>
          <w:szCs w:val="18"/>
          <w:color w:val="auto"/>
        </w:rPr>
      </w:pPr>
    </w:p>
    <w:p>
      <w:pPr>
        <w:ind w:left="720" w:right="220" w:hanging="544"/>
        <w:spacing w:after="0" w:line="282" w:lineRule="auto"/>
        <w:tabs>
          <w:tab w:leader="none" w:pos="70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Validity</w:t>
      </w:r>
      <w:r>
        <w:rPr>
          <w:rFonts w:ascii="Times New Roman" w:cs="Times New Roman" w:eastAsia="Times New Roman" w:hAnsi="Times New Roman"/>
          <w:sz w:val="18"/>
          <w:szCs w:val="18"/>
          <w:color w:val="auto"/>
        </w:rPr>
        <w:t>. The invalidity or unenforceability of any provision of this Agreement shall not affect the validity or enforceability of any other provision of this Agreement, which shall remain in full force and effect.</w:t>
      </w:r>
    </w:p>
    <w:p>
      <w:pPr>
        <w:spacing w:after="0" w:line="121" w:lineRule="exact"/>
        <w:rPr>
          <w:rFonts w:ascii="Times New Roman" w:cs="Times New Roman" w:eastAsia="Times New Roman" w:hAnsi="Times New Roman"/>
          <w:sz w:val="18"/>
          <w:szCs w:val="18"/>
          <w:color w:val="auto"/>
        </w:rPr>
      </w:pPr>
    </w:p>
    <w:p>
      <w:pPr>
        <w:ind w:left="720" w:right="220" w:hanging="544"/>
        <w:spacing w:after="0" w:line="282" w:lineRule="auto"/>
        <w:tabs>
          <w:tab w:leader="none" w:pos="71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several counterparts, each of which shall be deemed to be an original but all of which together will constitute one and the same instrument.</w:t>
      </w:r>
    </w:p>
    <w:p>
      <w:pPr>
        <w:spacing w:after="0" w:line="121" w:lineRule="exact"/>
        <w:rPr>
          <w:rFonts w:ascii="Times New Roman" w:cs="Times New Roman" w:eastAsia="Times New Roman" w:hAnsi="Times New Roman"/>
          <w:sz w:val="18"/>
          <w:szCs w:val="18"/>
          <w:color w:val="auto"/>
        </w:rPr>
      </w:pPr>
    </w:p>
    <w:p>
      <w:pPr>
        <w:ind w:left="720" w:hanging="544"/>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Disputes; Arbitration; 409A Compliance.</w:t>
      </w:r>
    </w:p>
    <w:p>
      <w:pPr>
        <w:spacing w:after="0" w:line="198" w:lineRule="exact"/>
        <w:rPr>
          <w:sz w:val="20"/>
          <w:szCs w:val="20"/>
          <w:color w:val="auto"/>
        </w:rPr>
      </w:pPr>
    </w:p>
    <w:p>
      <w:pPr>
        <w:jc w:val="both"/>
        <w:ind w:left="340" w:right="220" w:firstLine="1102"/>
        <w:spacing w:after="0" w:line="258" w:lineRule="auto"/>
        <w:rPr>
          <w:sz w:val="20"/>
          <w:szCs w:val="20"/>
          <w:color w:val="auto"/>
        </w:rPr>
      </w:pPr>
      <w:r>
        <w:rPr>
          <w:rFonts w:ascii="Times New Roman" w:cs="Times New Roman" w:eastAsia="Times New Roman" w:hAnsi="Times New Roman"/>
          <w:sz w:val="18"/>
          <w:szCs w:val="18"/>
          <w:color w:val="auto"/>
        </w:rPr>
        <w:t>13.1 All claims by the Executive for benefits under this Agreement shall be directed to and determined by the Board and shall be in writing. Any denial by the Board of a claim for benefits under this Agreement shall be delivered to the Executive in writing and shall set forth the specific reasons for the denial and the specific provisions of this Agreement relied upon. The Board shall afford a reasonable opportunity to the Executive for a review of the decision denying a claim and shall further allow the Executive to appeal to the Board a decision of the Board within sixty (60) days after notification by the Board that the Executive’s claim has been denied.</w:t>
      </w:r>
    </w:p>
    <w:p>
      <w:pPr>
        <w:spacing w:after="0" w:line="143" w:lineRule="exact"/>
        <w:rPr>
          <w:sz w:val="20"/>
          <w:szCs w:val="20"/>
          <w:color w:val="auto"/>
        </w:rPr>
      </w:pPr>
    </w:p>
    <w:p>
      <w:pPr>
        <w:jc w:val="both"/>
        <w:ind w:left="340" w:right="220" w:firstLine="1102"/>
        <w:spacing w:after="0" w:line="258" w:lineRule="auto"/>
        <w:rPr>
          <w:sz w:val="20"/>
          <w:szCs w:val="20"/>
          <w:color w:val="auto"/>
        </w:rPr>
      </w:pPr>
      <w:r>
        <w:rPr>
          <w:rFonts w:ascii="Times New Roman" w:cs="Times New Roman" w:eastAsia="Times New Roman" w:hAnsi="Times New Roman"/>
          <w:sz w:val="18"/>
          <w:szCs w:val="18"/>
          <w:color w:val="auto"/>
        </w:rPr>
        <w:t xml:space="preserve">13.2 Any further dispute or controversy arising under or in connection with this Agreement shall be settled exclusively by arbitration in Seattle, Washington in accordance with the rules of the American Arbitration Association then in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evidentiary standards set forth in this Agreement shall apply. Judgment may be entered on the arbitrator’s award in any court having jurisdiction. Notwithstanding any provision of this Agreement to the contrary, the Executive shall be entitled to seek specific performance of the Executive’s right to be</w:t>
      </w:r>
    </w:p>
    <w:p>
      <w:pPr>
        <w:sectPr>
          <w:pgSz w:w="11900" w:h="16838" w:orient="portrait"/>
          <w:cols w:equalWidth="0" w:num="1">
            <w:col w:w="11240"/>
          </w:cols>
          <w:pgMar w:left="320" w:top="2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156750709.3</w:t>
      </w:r>
    </w:p>
    <w:p>
      <w:pPr>
        <w:sectPr>
          <w:pgSz w:w="11900" w:h="16838" w:orient="portrait"/>
          <w:cols w:equalWidth="0" w:num="1">
            <w:col w:w="11240"/>
          </w:cols>
          <w:pgMar w:left="320" w:top="266" w:right="339" w:bottom="1440" w:gutter="0" w:footer="0" w:header="0"/>
          <w:type w:val="continuous"/>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paid until the Date of Termination during the pendency of any dispute or controversy arising under or in connection with this Agreement.</w:t>
      </w:r>
    </w:p>
    <w:p>
      <w:pPr>
        <w:spacing w:after="0" w:line="185" w:lineRule="exact"/>
        <w:rPr>
          <w:sz w:val="20"/>
          <w:szCs w:val="20"/>
          <w:color w:val="auto"/>
        </w:rPr>
      </w:pPr>
    </w:p>
    <w:p>
      <w:pPr>
        <w:jc w:val="both"/>
        <w:ind w:left="340" w:right="220" w:firstLine="1102"/>
        <w:spacing w:after="0" w:line="266" w:lineRule="auto"/>
        <w:rPr>
          <w:sz w:val="20"/>
          <w:szCs w:val="20"/>
          <w:color w:val="auto"/>
        </w:rPr>
      </w:pPr>
      <w:r>
        <w:rPr>
          <w:rFonts w:ascii="Times New Roman" w:cs="Times New Roman" w:eastAsia="Times New Roman" w:hAnsi="Times New Roman"/>
          <w:sz w:val="18"/>
          <w:szCs w:val="18"/>
          <w:color w:val="auto"/>
        </w:rPr>
        <w:t>13.3 It is the intention of the Company and the Executive that this Agreement not result in taxation of the Executive under Section 409A of the Code and the regulations and guidance promulgated thereunder and that the Agreement shall be construed in accordance with such intention. Without limiting the generality of the foregoing, the Company and the Executive agree as follows:</w:t>
      </w:r>
    </w:p>
    <w:p>
      <w:pPr>
        <w:spacing w:after="0" w:line="135" w:lineRule="exact"/>
        <w:rPr>
          <w:sz w:val="20"/>
          <w:szCs w:val="20"/>
          <w:color w:val="auto"/>
        </w:rPr>
      </w:pPr>
    </w:p>
    <w:p>
      <w:pPr>
        <w:jc w:val="both"/>
        <w:ind w:left="720" w:right="220" w:firstLine="1038"/>
        <w:spacing w:after="0" w:line="255" w:lineRule="auto"/>
        <w:tabs>
          <w:tab w:leader="none" w:pos="2587"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if the Executive is a “specified employee” (within the meaning of Section 409A(a)(2)(B)(i) of the Code) with respect to the Company, any amounts (or benefits) otherwise payable to or in respect of him under this Agreement pursuant to the Executive’s termination of employment with the Company shall be delayed, to the extent required so that taxes are not imposed on the Executive pursuant to Section 409A of the Code, and shall be paid upon the earliest date permitted by Section 409A(a)</w:t>
      </w:r>
    </w:p>
    <w:p>
      <w:pPr>
        <w:spacing w:after="0" w:line="2" w:lineRule="exact"/>
        <w:rPr>
          <w:rFonts w:ascii="Times New Roman" w:cs="Times New Roman" w:eastAsia="Times New Roman" w:hAnsi="Times New Roman"/>
          <w:sz w:val="18"/>
          <w:szCs w:val="18"/>
          <w:color w:val="auto"/>
        </w:rPr>
      </w:pPr>
    </w:p>
    <w:p>
      <w:pPr>
        <w:ind w:left="980" w:hanging="259"/>
        <w:spacing w:after="0"/>
        <w:tabs>
          <w:tab w:leader="none" w:pos="9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w:t>
      </w:r>
    </w:p>
    <w:p>
      <w:pPr>
        <w:spacing w:after="0" w:line="179" w:lineRule="exact"/>
        <w:rPr>
          <w:rFonts w:ascii="Times New Roman" w:cs="Times New Roman" w:eastAsia="Times New Roman" w:hAnsi="Times New Roman"/>
          <w:sz w:val="18"/>
          <w:szCs w:val="18"/>
          <w:color w:val="auto"/>
        </w:rPr>
      </w:pPr>
    </w:p>
    <w:p>
      <w:pPr>
        <w:ind w:left="720" w:right="220" w:firstLine="1038"/>
        <w:spacing w:after="0" w:line="282" w:lineRule="auto"/>
        <w:tabs>
          <w:tab w:leader="none" w:pos="2591"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the Executive’s employment with the Company will not be treated as terminated unless and until such termination of employment constitutes a “separation from service” for purposes of Section 409A of the Code;</w:t>
      </w:r>
    </w:p>
    <w:p>
      <w:pPr>
        <w:spacing w:after="0" w:line="121" w:lineRule="exact"/>
        <w:rPr>
          <w:rFonts w:ascii="Times New Roman" w:cs="Times New Roman" w:eastAsia="Times New Roman" w:hAnsi="Times New Roman"/>
          <w:sz w:val="18"/>
          <w:szCs w:val="18"/>
          <w:color w:val="auto"/>
        </w:rPr>
      </w:pPr>
    </w:p>
    <w:p>
      <w:pPr>
        <w:jc w:val="both"/>
        <w:ind w:left="720" w:right="220" w:firstLine="1038"/>
        <w:spacing w:after="0" w:line="254" w:lineRule="auto"/>
        <w:tabs>
          <w:tab w:leader="none" w:pos="2591"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necessary to comply with the provisions of Section 409A of the Code and the guidance issued thereunder (1) reimbursements to the Executive as a result of the operation of Section 5.1(B) or Section 5.4 hereof shall be made not later than the end of the calendar year following the year in which the reimbursable expense is incurred or applicable tax is paid and shall otherwise be made in a manner that complies with the requirements of Treasury Regulation Section 1.409A-3(i)(l)(iv), (2) if Executive is a “specified employee” (within the meaning of Section 409A(a)(2)(B)(i) of the Code), any reimbursements to the Executive as a result of the operation of such sections with respect to a reimbursable event within the first six months following the Date of Termination which are required to be delayed pursuant to Section 13.1(A) shall be made as soon as practicable following the date which is six months and one day following the Date of Termination (subject to clause (A) of this sentence); and</w:t>
      </w:r>
    </w:p>
    <w:p>
      <w:pPr>
        <w:spacing w:after="0" w:line="151" w:lineRule="exact"/>
        <w:rPr>
          <w:rFonts w:ascii="Times New Roman" w:cs="Times New Roman" w:eastAsia="Times New Roman" w:hAnsi="Times New Roman"/>
          <w:sz w:val="18"/>
          <w:szCs w:val="18"/>
          <w:color w:val="auto"/>
        </w:rPr>
      </w:pPr>
    </w:p>
    <w:p>
      <w:pPr>
        <w:jc w:val="both"/>
        <w:ind w:left="720" w:right="220" w:firstLine="1038"/>
        <w:spacing w:after="0" w:line="261" w:lineRule="auto"/>
        <w:tabs>
          <w:tab w:leader="none" w:pos="2587"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provisions of Section 4.3 or 5.1(C) are applicable to an equity or equity-based award subject to the provisions of Section 409A of the Code and the immediate payment of the award contemplated by such sections would result in taxation under Section 409A, payment of such awards shall be made upon the earliest date upon which such payment may be made without resulting in taxation under Section 409A of the Code.</w:t>
      </w:r>
    </w:p>
    <w:p>
      <w:pPr>
        <w:spacing w:after="0" w:line="152" w:lineRule="exact"/>
        <w:rPr>
          <w:rFonts w:ascii="Times New Roman" w:cs="Times New Roman" w:eastAsia="Times New Roman" w:hAnsi="Times New Roman"/>
          <w:sz w:val="18"/>
          <w:szCs w:val="18"/>
          <w:color w:val="auto"/>
        </w:rPr>
      </w:pPr>
    </w:p>
    <w:p>
      <w:pPr>
        <w:ind w:left="720" w:hanging="544"/>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 Non-Disparagement.</w:t>
      </w:r>
    </w:p>
    <w:p>
      <w:pPr>
        <w:spacing w:after="0" w:line="185" w:lineRule="exact"/>
        <w:rPr>
          <w:sz w:val="20"/>
          <w:szCs w:val="20"/>
          <w:color w:val="auto"/>
        </w:rPr>
      </w:pPr>
    </w:p>
    <w:p>
      <w:pPr>
        <w:jc w:val="both"/>
        <w:ind w:left="340" w:right="220" w:firstLine="1102"/>
        <w:spacing w:after="0" w:line="255" w:lineRule="auto"/>
        <w:rPr>
          <w:sz w:val="20"/>
          <w:szCs w:val="20"/>
          <w:color w:val="auto"/>
        </w:rPr>
      </w:pPr>
      <w:r>
        <w:rPr>
          <w:rFonts w:ascii="Times New Roman" w:cs="Times New Roman" w:eastAsia="Times New Roman" w:hAnsi="Times New Roman"/>
          <w:sz w:val="18"/>
          <w:szCs w:val="18"/>
          <w:color w:val="auto"/>
        </w:rPr>
        <w:t>14.1 During the period commencing on the Date of Termination and ending upon the first anniversary of the Date of Termination, the Executive shall not, directly or indirectly: (i) recruit, hire or solicit for employment or engagement, any person who is employed by the Company or any Affiliate, or (ii) solicit (A) any client or customer doing business with the Company or any Affiliate, as of the Date of Termination and with whom or which the Executive had any contact or involvement during the Executive’s employment with the Company or (B) any prospective client or customer of the Company or any Affiliate whom or which is a prospective client of the Company or any Affiliate as of the Date of Termination and with whom or which the Executive had any contact or involvement during the Executive’s employment with the Company to adversely alter its relationship or cease doing business with the Company or any Affiliate.</w:t>
      </w:r>
    </w:p>
    <w:p>
      <w:pPr>
        <w:spacing w:after="0" w:line="148" w:lineRule="exact"/>
        <w:rPr>
          <w:sz w:val="20"/>
          <w:szCs w:val="20"/>
          <w:color w:val="auto"/>
        </w:rPr>
      </w:pPr>
    </w:p>
    <w:p>
      <w:pPr>
        <w:jc w:val="both"/>
        <w:ind w:left="340" w:right="220" w:firstLine="1102"/>
        <w:spacing w:after="0" w:line="282" w:lineRule="auto"/>
        <w:rPr>
          <w:sz w:val="20"/>
          <w:szCs w:val="20"/>
          <w:color w:val="auto"/>
        </w:rPr>
      </w:pPr>
      <w:r>
        <w:rPr>
          <w:rFonts w:ascii="Times New Roman" w:cs="Times New Roman" w:eastAsia="Times New Roman" w:hAnsi="Times New Roman"/>
          <w:sz w:val="18"/>
          <w:szCs w:val="18"/>
          <w:color w:val="auto"/>
        </w:rPr>
        <w:t>14.2 Following the Date of Termination and thereafter, the Executive shall not, directly or indirectly, make disparaging remarks about the Company or any Affiliate or any of their respective directors, officers or employees.</w:t>
      </w:r>
    </w:p>
    <w:p>
      <w:pPr>
        <w:spacing w:after="0" w:line="135" w:lineRule="exact"/>
        <w:rPr>
          <w:sz w:val="20"/>
          <w:szCs w:val="20"/>
          <w:color w:val="auto"/>
        </w:rPr>
      </w:pPr>
    </w:p>
    <w:p>
      <w:pPr>
        <w:ind w:left="720" w:hanging="544"/>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 the following terms shall have the meanings indicated below:</w:t>
      </w:r>
    </w:p>
    <w:p>
      <w:pPr>
        <w:spacing w:after="0" w:line="185" w:lineRule="exact"/>
        <w:rPr>
          <w:sz w:val="20"/>
          <w:szCs w:val="20"/>
          <w:color w:val="auto"/>
        </w:rPr>
      </w:pPr>
    </w:p>
    <w:p>
      <w:pPr>
        <w:ind w:left="1440"/>
        <w:spacing w:after="0"/>
        <w:tabs>
          <w:tab w:leader="none" w:pos="194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7"/>
          <w:szCs w:val="17"/>
          <w:color w:val="auto"/>
        </w:rPr>
        <w:t>“Affiliate” shall have the meaning set forth in Rule 12b-2 promulgated under Section 12 of the Exchange Act.</w:t>
      </w:r>
    </w:p>
    <w:p>
      <w:pPr>
        <w:spacing w:after="0" w:line="185" w:lineRule="exact"/>
        <w:rPr>
          <w:sz w:val="20"/>
          <w:szCs w:val="20"/>
          <w:color w:val="auto"/>
        </w:rPr>
      </w:pPr>
    </w:p>
    <w:p>
      <w:pPr>
        <w:ind w:left="1440"/>
        <w:spacing w:after="0"/>
        <w:tabs>
          <w:tab w:leader="none" w:pos="194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7"/>
          <w:szCs w:val="17"/>
          <w:color w:val="auto"/>
        </w:rPr>
        <w:t>“Agreement Payments” shall have the meaning set forth in Section 5.2.</w:t>
      </w:r>
    </w:p>
    <w:p>
      <w:pPr>
        <w:spacing w:after="0" w:line="198" w:lineRule="exact"/>
        <w:rPr>
          <w:sz w:val="20"/>
          <w:szCs w:val="20"/>
          <w:color w:val="auto"/>
        </w:rPr>
      </w:pPr>
    </w:p>
    <w:p>
      <w:pPr>
        <w:jc w:val="both"/>
        <w:ind w:left="340" w:right="220" w:firstLine="1102"/>
        <w:spacing w:after="0" w:line="266" w:lineRule="auto"/>
        <w:rPr>
          <w:sz w:val="20"/>
          <w:szCs w:val="20"/>
          <w:color w:val="auto"/>
        </w:rPr>
      </w:pPr>
      <w:r>
        <w:rPr>
          <w:rFonts w:ascii="Times New Roman" w:cs="Times New Roman" w:eastAsia="Times New Roman" w:hAnsi="Times New Roman"/>
          <w:sz w:val="18"/>
          <w:szCs w:val="18"/>
          <w:color w:val="auto"/>
        </w:rPr>
        <w:t>15.3 “Base Salary” shall mean the annual base salary in effect for the Executive immediately prior to a Change in Control, as such salary may be increased from time to time during the Term (in which case such increased amount shall be the Base Salary for purposes hereof), but without giving effect to any reduction thereto.</w:t>
      </w:r>
    </w:p>
    <w:p>
      <w:pPr>
        <w:spacing w:after="0" w:line="135" w:lineRule="exact"/>
        <w:rPr>
          <w:sz w:val="20"/>
          <w:szCs w:val="20"/>
          <w:color w:val="auto"/>
        </w:rPr>
      </w:pPr>
    </w:p>
    <w:p>
      <w:pPr>
        <w:ind w:left="1440"/>
        <w:spacing w:after="0"/>
        <w:tabs>
          <w:tab w:leader="none" w:pos="1940" w:val="left"/>
        </w:tabs>
        <w:rPr>
          <w:sz w:val="20"/>
          <w:szCs w:val="20"/>
          <w:color w:val="auto"/>
        </w:rPr>
      </w:pPr>
      <w:r>
        <w:rPr>
          <w:rFonts w:ascii="Times New Roman" w:cs="Times New Roman" w:eastAsia="Times New Roman" w:hAnsi="Times New Roman"/>
          <w:sz w:val="18"/>
          <w:szCs w:val="18"/>
          <w:color w:val="auto"/>
        </w:rPr>
        <w:t>15.4</w:t>
      </w:r>
      <w:r>
        <w:rPr>
          <w:sz w:val="20"/>
          <w:szCs w:val="20"/>
          <w:color w:val="auto"/>
        </w:rPr>
        <w:tab/>
      </w:r>
      <w:r>
        <w:rPr>
          <w:rFonts w:ascii="Times New Roman" w:cs="Times New Roman" w:eastAsia="Times New Roman" w:hAnsi="Times New Roman"/>
          <w:sz w:val="17"/>
          <w:szCs w:val="17"/>
          <w:color w:val="auto"/>
        </w:rPr>
        <w:t>“Beneficial Owner” shall have the meaning set forth in Rule 13d-3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156750709.3</w:t>
      </w:r>
    </w:p>
    <w:p>
      <w:pPr>
        <w:sectPr>
          <w:pgSz w:w="11900" w:h="16838" w:orient="portrait"/>
          <w:cols w:equalWidth="0" w:num="1">
            <w:col w:w="11240"/>
          </w:cols>
          <w:pgMar w:left="320" w:top="266"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440"/>
        <w:spacing w:after="0"/>
        <w:tabs>
          <w:tab w:leader="none" w:pos="1940" w:val="left"/>
        </w:tabs>
        <w:rPr>
          <w:sz w:val="20"/>
          <w:szCs w:val="20"/>
          <w:color w:val="auto"/>
        </w:rPr>
      </w:pPr>
      <w:r>
        <w:rPr>
          <w:rFonts w:ascii="Times New Roman" w:cs="Times New Roman" w:eastAsia="Times New Roman" w:hAnsi="Times New Roman"/>
          <w:sz w:val="18"/>
          <w:szCs w:val="18"/>
          <w:color w:val="auto"/>
        </w:rPr>
        <w:t>15.5</w:t>
      </w:r>
      <w:r>
        <w:rPr>
          <w:sz w:val="20"/>
          <w:szCs w:val="20"/>
          <w:color w:val="auto"/>
        </w:rPr>
        <w:tab/>
      </w:r>
      <w:r>
        <w:rPr>
          <w:rFonts w:ascii="Times New Roman" w:cs="Times New Roman" w:eastAsia="Times New Roman" w:hAnsi="Times New Roman"/>
          <w:sz w:val="17"/>
          <w:szCs w:val="17"/>
          <w:color w:val="auto"/>
        </w:rPr>
        <w:t>“Board” shall mean the Board of Directors of the Company.</w:t>
      </w:r>
    </w:p>
    <w:p>
      <w:pPr>
        <w:spacing w:after="0" w:line="185" w:lineRule="exact"/>
        <w:rPr>
          <w:sz w:val="20"/>
          <w:szCs w:val="20"/>
          <w:color w:val="auto"/>
        </w:rPr>
      </w:pPr>
    </w:p>
    <w:p>
      <w:pPr>
        <w:jc w:val="both"/>
        <w:ind w:left="340" w:right="220" w:firstLine="1102"/>
        <w:spacing w:after="0" w:line="253" w:lineRule="auto"/>
        <w:rPr>
          <w:sz w:val="20"/>
          <w:szCs w:val="20"/>
          <w:color w:val="auto"/>
        </w:rPr>
      </w:pPr>
      <w:r>
        <w:rPr>
          <w:rFonts w:ascii="Times New Roman" w:cs="Times New Roman" w:eastAsia="Times New Roman" w:hAnsi="Times New Roman"/>
          <w:sz w:val="18"/>
          <w:szCs w:val="18"/>
          <w:color w:val="auto"/>
        </w:rPr>
        <w:t>15.6 “Cause” for termination by the Company of the Executive’s employment shall mean (i) the willful and continued failure by the Executive (other than any such failure resulting from (A) the Executive’s incapacity due to physical or mental illness, (B) any such actual or anticipated failure after the issuance of a Notice of Termination by the Executive for Good Reason or (C) the Company’s active or passive obstruction of the performance of the Executive’s duties and responsibilities) to perform substantially the duties and responsibilities of the Executive’s position with the Company after a written demand for substantial performance is delivered to the Executive by the Board, which demand specifically identifies the manner in which the Board believes that the Executive has not substantially performed such duties or responsibilities; (ii) the conviction of the Executive by a court of competent jurisdiction for felony criminal conduct; (iii) the willful engaging by the Executive in fraud or dishonesty which is demonstrably and materially injurious to the Company or its reputation, monetarily or otherwise; (iv) the willful and serious misconduct by the Executive; or (v) the material violation by the Executive of the Company’s policies or procedures in effect from time to time which results in a material adverse effect on the Company. No act, or failure to act, on the Executive’s part shall be deemed “willful” unless committed, or omitted by the Executive in bad faith and without reasonable belief that the Executive’s act or failure to act was in, or not opposed to, the best interest of the Company.</w:t>
      </w:r>
    </w:p>
    <w:p>
      <w:pPr>
        <w:spacing w:after="0" w:line="149" w:lineRule="exact"/>
        <w:rPr>
          <w:sz w:val="20"/>
          <w:szCs w:val="20"/>
          <w:color w:val="auto"/>
        </w:rPr>
      </w:pPr>
    </w:p>
    <w:p>
      <w:pPr>
        <w:jc w:val="both"/>
        <w:ind w:left="340" w:right="220" w:firstLine="1102"/>
        <w:spacing w:after="0" w:line="282" w:lineRule="auto"/>
        <w:rPr>
          <w:sz w:val="20"/>
          <w:szCs w:val="20"/>
          <w:color w:val="auto"/>
        </w:rPr>
      </w:pPr>
      <w:r>
        <w:rPr>
          <w:rFonts w:ascii="Times New Roman" w:cs="Times New Roman" w:eastAsia="Times New Roman" w:hAnsi="Times New Roman"/>
          <w:sz w:val="18"/>
          <w:szCs w:val="18"/>
          <w:color w:val="auto"/>
        </w:rPr>
        <w:t>15.7 A “Change in Control” shall be deemed to have occurred if any of the events set forth in any one of the following paragraphs shall have occurred:</w:t>
      </w:r>
    </w:p>
    <w:p>
      <w:pPr>
        <w:spacing w:after="0" w:line="135" w:lineRule="exact"/>
        <w:rPr>
          <w:sz w:val="20"/>
          <w:szCs w:val="20"/>
          <w:color w:val="auto"/>
        </w:rPr>
      </w:pPr>
    </w:p>
    <w:p>
      <w:pPr>
        <w:jc w:val="both"/>
        <w:ind w:left="720" w:right="220" w:firstLine="1038"/>
        <w:spacing w:after="0" w:line="261" w:lineRule="auto"/>
        <w:tabs>
          <w:tab w:leader="none" w:pos="258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is or becomes the Beneficial Owner, directly or indirectly, of securities of the Company representing 25% or more of either the then outstanding shares of common stock of the Company or the combined voting power of the Company’s then outstanding securities, excluding any Person who becomes such a Beneficial Owner in connection with a transaction described in Section 15.7(C)(i);</w:t>
      </w:r>
    </w:p>
    <w:p>
      <w:pPr>
        <w:spacing w:after="0" w:line="139" w:lineRule="exact"/>
        <w:rPr>
          <w:rFonts w:ascii="Times New Roman" w:cs="Times New Roman" w:eastAsia="Times New Roman" w:hAnsi="Times New Roman"/>
          <w:sz w:val="18"/>
          <w:szCs w:val="18"/>
          <w:color w:val="auto"/>
        </w:rPr>
      </w:pPr>
    </w:p>
    <w:p>
      <w:pPr>
        <w:jc w:val="both"/>
        <w:ind w:left="720" w:right="220" w:firstLine="1038"/>
        <w:spacing w:after="0" w:line="254" w:lineRule="auto"/>
        <w:tabs>
          <w:tab w:leader="none" w:pos="259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composition of the Board during any two-year period such that the individuals who, as of the date of this agreement, constitute the Board (the “Incumbent Board”) cease for any reason to constitute at least a majority of the Board; provided, however, that for purposes of this definition, any individual who becomes a member of the Board subsequent to the beginning of the two-year period, whose election, or nomination for election by the Company’s shareholders, was approved by a vote of at least two-thirds of those individuals who are members of the Board and who were also members of the Incumbent Board (or deemed to be such pursuant to this proviso) shall be considered as though such individual were a member of the Incumbent Board; and provided further, however, that any such individual whose initial assumption of office occurs as a result of or in connection with an actual or threatened solicitation of proxies or consents by or on behalf of an Person other than the Board shall not be considered a member of the Incumbent Board;</w:t>
      </w:r>
    </w:p>
    <w:p>
      <w:pPr>
        <w:spacing w:after="0" w:line="151" w:lineRule="exact"/>
        <w:rPr>
          <w:rFonts w:ascii="Times New Roman" w:cs="Times New Roman" w:eastAsia="Times New Roman" w:hAnsi="Times New Roman"/>
          <w:sz w:val="18"/>
          <w:szCs w:val="18"/>
          <w:color w:val="auto"/>
        </w:rPr>
      </w:pPr>
    </w:p>
    <w:p>
      <w:pPr>
        <w:jc w:val="both"/>
        <w:ind w:left="720" w:right="220" w:firstLine="1038"/>
        <w:spacing w:after="0" w:line="255" w:lineRule="auto"/>
        <w:tabs>
          <w:tab w:leader="none" w:pos="259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consummated a merger or consolidation of the Company or any direct or indirect subsidiary of the Company with any other corporation, other than (i) a merger or consolidation immediately following which members of the Incumbent Board constitute a majority of the members of the board of directors (or similar body) of the surviving entity or, if the surviving entity is a subsidiary, any parent thereof, or (ii)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25% or more of the combined voting power of the Company’s then outstanding securities; or</w:t>
      </w:r>
    </w:p>
    <w:p>
      <w:pPr>
        <w:spacing w:after="0" w:line="161" w:lineRule="exact"/>
        <w:rPr>
          <w:rFonts w:ascii="Times New Roman" w:cs="Times New Roman" w:eastAsia="Times New Roman" w:hAnsi="Times New Roman"/>
          <w:sz w:val="18"/>
          <w:szCs w:val="18"/>
          <w:color w:val="auto"/>
        </w:rPr>
      </w:pPr>
    </w:p>
    <w:p>
      <w:pPr>
        <w:jc w:val="both"/>
        <w:ind w:left="720" w:right="220" w:firstLine="1038"/>
        <w:spacing w:after="0" w:line="258" w:lineRule="auto"/>
        <w:tabs>
          <w:tab w:leader="none" w:pos="258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Company approve a plan of complete liquidation or dissolution of the Company or the consummation of a sale or disposition by the Company of all or substantially all of the Company’s assets, other than a sale or disposition by the Company of all or substantially all of the Company’s assets to an entity, at least 50% of the combined voting power of the voting securities of which are owned by stockholders of the Company in substantially the same proportions as their ownership of the Company immediately prior to such sale.</w:t>
      </w:r>
    </w:p>
    <w:p>
      <w:pPr>
        <w:spacing w:after="0" w:line="143" w:lineRule="exact"/>
        <w:rPr>
          <w:sz w:val="20"/>
          <w:szCs w:val="20"/>
          <w:color w:val="auto"/>
        </w:rPr>
      </w:pPr>
    </w:p>
    <w:p>
      <w:pPr>
        <w:ind w:left="1440"/>
        <w:spacing w:after="0"/>
        <w:tabs>
          <w:tab w:leader="none" w:pos="1940" w:val="left"/>
        </w:tabs>
        <w:rPr>
          <w:sz w:val="20"/>
          <w:szCs w:val="20"/>
          <w:color w:val="auto"/>
        </w:rPr>
      </w:pPr>
      <w:r>
        <w:rPr>
          <w:rFonts w:ascii="Times New Roman" w:cs="Times New Roman" w:eastAsia="Times New Roman" w:hAnsi="Times New Roman"/>
          <w:sz w:val="18"/>
          <w:szCs w:val="18"/>
          <w:color w:val="auto"/>
        </w:rPr>
        <w:t>15.8</w:t>
      </w:r>
      <w:r>
        <w:rPr>
          <w:sz w:val="20"/>
          <w:szCs w:val="20"/>
          <w:color w:val="auto"/>
        </w:rPr>
        <w:tab/>
      </w:r>
      <w:r>
        <w:rPr>
          <w:rFonts w:ascii="Times New Roman" w:cs="Times New Roman" w:eastAsia="Times New Roman" w:hAnsi="Times New Roman"/>
          <w:sz w:val="17"/>
          <w:szCs w:val="17"/>
          <w:color w:val="auto"/>
        </w:rPr>
        <w:t>“Code” shall mean the Internal Revenue Code of 1986, as amended from time to time.</w:t>
      </w:r>
    </w:p>
    <w:p>
      <w:pPr>
        <w:spacing w:after="0" w:line="185" w:lineRule="exact"/>
        <w:rPr>
          <w:sz w:val="20"/>
          <w:szCs w:val="20"/>
          <w:color w:val="auto"/>
        </w:rPr>
      </w:pPr>
    </w:p>
    <w:p>
      <w:pPr>
        <w:jc w:val="both"/>
        <w:ind w:left="340" w:right="220" w:firstLine="1102"/>
        <w:spacing w:after="0" w:line="266" w:lineRule="auto"/>
        <w:rPr>
          <w:sz w:val="20"/>
          <w:szCs w:val="20"/>
          <w:color w:val="auto"/>
        </w:rPr>
      </w:pPr>
      <w:r>
        <w:rPr>
          <w:rFonts w:ascii="Times New Roman" w:cs="Times New Roman" w:eastAsia="Times New Roman" w:hAnsi="Times New Roman"/>
          <w:sz w:val="18"/>
          <w:szCs w:val="18"/>
          <w:color w:val="auto"/>
        </w:rPr>
        <w:t>15.9 “Company” shall mean Itron, Inc. and, except in determining under Section 15.7 whether or not any Change in Control of the Company has occurred, shall include any successor to its business and/or assets which assumes and agrees to perform this Agreement by operation of law, or otherwise.</w:t>
      </w:r>
    </w:p>
    <w:p>
      <w:pPr>
        <w:spacing w:after="0" w:line="14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15.10 “Date of Termination” shall have the meaning set forth in Section 6.2.</w:t>
      </w:r>
    </w:p>
    <w:p>
      <w:pPr>
        <w:spacing w:after="0" w:line="185" w:lineRule="exact"/>
        <w:rPr>
          <w:sz w:val="20"/>
          <w:szCs w:val="20"/>
          <w:color w:val="auto"/>
        </w:rPr>
      </w:pPr>
    </w:p>
    <w:p>
      <w:pPr>
        <w:jc w:val="both"/>
        <w:ind w:left="340" w:right="240" w:firstLine="1102"/>
        <w:spacing w:after="0" w:line="282" w:lineRule="auto"/>
        <w:rPr>
          <w:sz w:val="20"/>
          <w:szCs w:val="20"/>
          <w:color w:val="auto"/>
        </w:rPr>
      </w:pPr>
      <w:r>
        <w:rPr>
          <w:rFonts w:ascii="Times New Roman" w:cs="Times New Roman" w:eastAsia="Times New Roman" w:hAnsi="Times New Roman"/>
          <w:sz w:val="18"/>
          <w:szCs w:val="18"/>
          <w:color w:val="auto"/>
        </w:rPr>
        <w:t>15.11 “Disability” shall be deemed the reason for the termination by the Company of the Executive’s employment, if, as a result of the Executive’s incapacity due to physical or mental illness, the Executive shall have been</w:t>
      </w:r>
    </w:p>
    <w:p>
      <w:pPr>
        <w:sectPr>
          <w:pgSz w:w="11900" w:h="16838" w:orient="portrait"/>
          <w:cols w:equalWidth="0" w:num="1">
            <w:col w:w="11240"/>
          </w:cols>
          <w:pgMar w:left="320" w:top="2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156750709.3</w:t>
      </w:r>
    </w:p>
    <w:p>
      <w:pPr>
        <w:sectPr>
          <w:pgSz w:w="11900" w:h="16838" w:orient="portrait"/>
          <w:cols w:equalWidth="0" w:num="1">
            <w:col w:w="11240"/>
          </w:cols>
          <w:pgMar w:left="320" w:top="266" w:right="339" w:bottom="1440" w:gutter="0" w:footer="0" w:header="0"/>
          <w:type w:val="continuous"/>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left="340" w:right="220"/>
        <w:spacing w:after="0" w:line="255" w:lineRule="auto"/>
        <w:rPr>
          <w:sz w:val="20"/>
          <w:szCs w:val="20"/>
          <w:color w:val="auto"/>
        </w:rPr>
      </w:pPr>
      <w:r>
        <w:rPr>
          <w:rFonts w:ascii="Times New Roman" w:cs="Times New Roman" w:eastAsia="Times New Roman" w:hAnsi="Times New Roman"/>
          <w:sz w:val="18"/>
          <w:szCs w:val="18"/>
          <w:color w:val="auto"/>
        </w:rPr>
        <w:t>absent from the full-time performance of the Executive’s duties with the Company for a period of at least one hundred twenty (120) days, the Company shall have given the Executive a Notice of Termination for Disability, and, within thirty (30) days after such Notice of Termination is given, the Executive shall not have returned to the full-time performance of the Executive’s duties. Any question as to the existence of the Executive’s Disability upon which the Executive and the Company cannot agree shall be determined by a qualified independent physician selected by the Executive (or, if the Executive is unable to make such selection, it shall be made by any adult member of the Executive’s immediate family) and approved by the Company. The determination of such physician made in writing to the Company and to the Executive shall be final and conclusive for all purposes of this Agreement, absent fraud.</w:t>
      </w:r>
    </w:p>
    <w:p>
      <w:pPr>
        <w:spacing w:after="0" w:line="14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15.12 “Exchange Act” shall mean the Securities Exchange Act of 1934, as amended from time to time.</w:t>
      </w:r>
    </w:p>
    <w:p>
      <w:pPr>
        <w:spacing w:after="0" w:line="18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15.13 “Excise Tax” shall mean any excise tax imposed under section 4999 of the Code.</w:t>
      </w:r>
    </w:p>
    <w:p>
      <w:pPr>
        <w:spacing w:after="0" w:line="19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15.14 “Executive” shall mean the individual named in the first paragraph of this Agreement.</w:t>
      </w:r>
    </w:p>
    <w:p>
      <w:pPr>
        <w:spacing w:after="0" w:line="185" w:lineRule="exact"/>
        <w:rPr>
          <w:sz w:val="20"/>
          <w:szCs w:val="20"/>
          <w:color w:val="auto"/>
        </w:rPr>
      </w:pPr>
    </w:p>
    <w:p>
      <w:pPr>
        <w:jc w:val="both"/>
        <w:ind w:left="340" w:right="220" w:firstLine="1102"/>
        <w:spacing w:after="0" w:line="256" w:lineRule="auto"/>
        <w:rPr>
          <w:sz w:val="20"/>
          <w:szCs w:val="20"/>
          <w:color w:val="auto"/>
        </w:rPr>
      </w:pPr>
      <w:r>
        <w:rPr>
          <w:rFonts w:ascii="Times New Roman" w:cs="Times New Roman" w:eastAsia="Times New Roman" w:hAnsi="Times New Roman"/>
          <w:sz w:val="18"/>
          <w:szCs w:val="18"/>
          <w:color w:val="auto"/>
        </w:rPr>
        <w:t>15.15 “Good Reason” for termination by the Executive of the Executive’s employment shall mean the occurrence (without the Executive’s express written consent) after any Change in Control, or prior to a Change in Control under the circumstances described in the second sentence of Section 5.1 (treating all references in subsections (A) through (F) below to a “Change in Control” as references to a “Potential Change in Control”), of any one of the following acts by the Company, or failures by the Company to act, unless, in the case of any act or failure to act described in subsection (A), (B), (C), (D), (E) or (F) below, such act or failure to act is corrected prior to the Date of Termination specified in the Notice of Termination given in respect thereof:</w:t>
      </w:r>
    </w:p>
    <w:p>
      <w:pPr>
        <w:spacing w:after="0" w:line="147" w:lineRule="exact"/>
        <w:rPr>
          <w:sz w:val="20"/>
          <w:szCs w:val="20"/>
          <w:color w:val="auto"/>
        </w:rPr>
      </w:pPr>
    </w:p>
    <w:p>
      <w:pPr>
        <w:jc w:val="both"/>
        <w:ind w:left="720" w:right="220" w:firstLine="1038"/>
        <w:spacing w:after="0" w:line="258" w:lineRule="auto"/>
        <w:tabs>
          <w:tab w:leader="none" w:pos="258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adverse change in the Executive’s status or position(s) as an officer of the Company as in effect immediately prior to the Change in Control, including, without limitation, any adverse change in the Executive’s status or position as a result of a diminution of the Executive’s duties or responsibilities or the assignment to the Executive of any duties or responsibilities which are inconsistent with such status or position(s), or any removal of the Executive from, or any failure to reappoint or reelect the Executive to, such position(s);</w:t>
      </w:r>
    </w:p>
    <w:p>
      <w:pPr>
        <w:spacing w:after="0" w:line="156" w:lineRule="exact"/>
        <w:rPr>
          <w:rFonts w:ascii="Times New Roman" w:cs="Times New Roman" w:eastAsia="Times New Roman" w:hAnsi="Times New Roman"/>
          <w:sz w:val="18"/>
          <w:szCs w:val="18"/>
          <w:color w:val="auto"/>
        </w:rPr>
      </w:pPr>
    </w:p>
    <w:p>
      <w:pPr>
        <w:ind w:left="2600" w:hanging="842"/>
        <w:spacing w:after="0"/>
        <w:tabs>
          <w:tab w:leader="none" w:pos="26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Executive’s Base Salary;</w:t>
      </w:r>
    </w:p>
    <w:p>
      <w:pPr>
        <w:spacing w:after="0" w:line="184" w:lineRule="exact"/>
        <w:rPr>
          <w:rFonts w:ascii="Times New Roman" w:cs="Times New Roman" w:eastAsia="Times New Roman" w:hAnsi="Times New Roman"/>
          <w:sz w:val="18"/>
          <w:szCs w:val="18"/>
          <w:color w:val="auto"/>
        </w:rPr>
      </w:pPr>
    </w:p>
    <w:p>
      <w:pPr>
        <w:ind w:left="720" w:right="240" w:firstLine="1038"/>
        <w:spacing w:after="0" w:line="282" w:lineRule="auto"/>
        <w:tabs>
          <w:tab w:leader="none" w:pos="259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Executive’s annual bonus opportunity or long-term incentive opportunity, as compared to the year immediately preceding the year in which the Change in Control occurs;</w:t>
      </w:r>
    </w:p>
    <w:p>
      <w:pPr>
        <w:spacing w:after="0" w:line="121" w:lineRule="exact"/>
        <w:rPr>
          <w:rFonts w:ascii="Times New Roman" w:cs="Times New Roman" w:eastAsia="Times New Roman" w:hAnsi="Times New Roman"/>
          <w:sz w:val="18"/>
          <w:szCs w:val="18"/>
          <w:color w:val="auto"/>
        </w:rPr>
      </w:pPr>
    </w:p>
    <w:p>
      <w:pPr>
        <w:ind w:left="720" w:right="220" w:firstLine="1038"/>
        <w:spacing w:after="0" w:line="282" w:lineRule="auto"/>
        <w:tabs>
          <w:tab w:leader="none" w:pos="258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continue to provide welfare, pension and fringe benefits which are in each case, in the aggregate, substantially similar to those provided to the Executive immediately prior to the Change in Control;</w:t>
      </w:r>
    </w:p>
    <w:p>
      <w:pPr>
        <w:spacing w:after="0" w:line="134" w:lineRule="exact"/>
        <w:rPr>
          <w:rFonts w:ascii="Times New Roman" w:cs="Times New Roman" w:eastAsia="Times New Roman" w:hAnsi="Times New Roman"/>
          <w:sz w:val="18"/>
          <w:szCs w:val="18"/>
          <w:color w:val="auto"/>
        </w:rPr>
      </w:pPr>
    </w:p>
    <w:p>
      <w:pPr>
        <w:jc w:val="both"/>
        <w:ind w:left="720" w:right="220" w:firstLine="1038"/>
        <w:spacing w:after="0" w:line="261" w:lineRule="auto"/>
        <w:tabs>
          <w:tab w:leader="none" w:pos="259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requiring the Executive to be based at an office that is greater than 50 miles from where the Executive’s office is located immediately prior to the Change in Control except for required travel on the Company’s business to an extent substantially consistent with the business travel obligations which the Executive undertook on behalf of the Company prior to the Change in Control; or</w:t>
      </w:r>
    </w:p>
    <w:p>
      <w:pPr>
        <w:spacing w:after="0" w:line="139" w:lineRule="exact"/>
        <w:rPr>
          <w:rFonts w:ascii="Times New Roman" w:cs="Times New Roman" w:eastAsia="Times New Roman" w:hAnsi="Times New Roman"/>
          <w:sz w:val="18"/>
          <w:szCs w:val="18"/>
          <w:color w:val="auto"/>
        </w:rPr>
      </w:pPr>
    </w:p>
    <w:p>
      <w:pPr>
        <w:jc w:val="both"/>
        <w:ind w:left="720" w:right="220" w:firstLine="1038"/>
        <w:spacing w:after="0" w:line="266" w:lineRule="auto"/>
        <w:tabs>
          <w:tab w:leader="none" w:pos="259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the Company to require any successor (whether direct or indirect, by purchase, merger, consolidation or otherwise) to all or substantially all of the business and/or assets of the Company to expressly assume and agree to perform this Agreement in the same manner and to the same extent that the Company would be required to perform it if no such succession had taken place;</w:t>
      </w:r>
    </w:p>
    <w:p>
      <w:pPr>
        <w:spacing w:after="0" w:line="135" w:lineRule="exact"/>
        <w:rPr>
          <w:sz w:val="20"/>
          <w:szCs w:val="20"/>
          <w:color w:val="auto"/>
        </w:rPr>
      </w:pPr>
    </w:p>
    <w:p>
      <w:pPr>
        <w:jc w:val="both"/>
        <w:ind w:left="220" w:right="220" w:firstLine="1089"/>
        <w:spacing w:after="0" w:line="254" w:lineRule="auto"/>
        <w:rPr>
          <w:sz w:val="20"/>
          <w:szCs w:val="20"/>
          <w:color w:val="auto"/>
        </w:rPr>
      </w:pPr>
      <w:r>
        <w:rPr>
          <w:rFonts w:ascii="Times New Roman" w:cs="Times New Roman" w:eastAsia="Times New Roman" w:hAnsi="Times New Roman"/>
          <w:sz w:val="18"/>
          <w:szCs w:val="18"/>
          <w:color w:val="auto"/>
        </w:rPr>
        <w:t>Notwithstanding the foregoing, the events described in clauses (B), (C) or (D) above shall not constitute Good Reason hereunder to the extent they are as a result of across-the-board reductions of the applicable compensation element following the Change in Control which are equally applicable to all similarly situated employees of the surviving corporation and its Affiliates. The Executive’s right to terminate the Executive’s employment for Good Reason shall not be affected by the Executive’s incapacity due to physical or mental illness. In order for Good Reason to exist hereunder, the Executive must provide notice to the Company of the existence of the condition or circumstance described above within 90 days of the initial existence of the condition or circumstance (or, if later, within 90 days of the Executive’s becoming aware of such condition or circumstance), and the Company must have failed to cure such condition within 30 days of the receipt of such notice. Subject to the preceding sentence, the Executive’s continued employment shall not constitute consent to, or a waiver of rights with respect to, any act or failure to act constituting Good Reason hereunder.</w:t>
      </w:r>
    </w:p>
    <w:p>
      <w:pPr>
        <w:spacing w:after="0" w:line="16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15.16 “Notice of Termination” shall have the meaning set forth in Section 6.1.</w:t>
      </w:r>
    </w:p>
    <w:p>
      <w:pPr>
        <w:spacing w:after="0" w:line="185" w:lineRule="exact"/>
        <w:rPr>
          <w:sz w:val="20"/>
          <w:szCs w:val="20"/>
          <w:color w:val="auto"/>
        </w:rPr>
      </w:pPr>
    </w:p>
    <w:p>
      <w:pPr>
        <w:ind w:left="340" w:right="240" w:firstLine="1102"/>
        <w:spacing w:after="0" w:line="282" w:lineRule="auto"/>
        <w:rPr>
          <w:sz w:val="20"/>
          <w:szCs w:val="20"/>
          <w:color w:val="auto"/>
        </w:rPr>
      </w:pPr>
      <w:r>
        <w:rPr>
          <w:rFonts w:ascii="Times New Roman" w:cs="Times New Roman" w:eastAsia="Times New Roman" w:hAnsi="Times New Roman"/>
          <w:sz w:val="18"/>
          <w:szCs w:val="18"/>
          <w:color w:val="auto"/>
        </w:rPr>
        <w:t>15.17 “Person” shall have the meaning given in Section 3(a)(9) of the Exchange Act, as modified and used in Sections 13(d) and 14(d) thereof, except that such term shall not include (i) the Company or any of its</w:t>
      </w:r>
    </w:p>
    <w:p>
      <w:pPr>
        <w:sectPr>
          <w:pgSz w:w="11900" w:h="16838" w:orient="portrait"/>
          <w:cols w:equalWidth="0" w:num="1">
            <w:col w:w="11240"/>
          </w:cols>
          <w:pgMar w:left="320" w:top="2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156750709.3</w:t>
      </w:r>
    </w:p>
    <w:p>
      <w:pPr>
        <w:sectPr>
          <w:pgSz w:w="11900" w:h="16838" w:orient="portrait"/>
          <w:cols w:equalWidth="0" w:num="1">
            <w:col w:w="11240"/>
          </w:cols>
          <w:pgMar w:left="320" w:top="266" w:right="339" w:bottom="1440" w:gutter="0" w:footer="0" w:header="0"/>
          <w:type w:val="continuous"/>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left="340" w:right="220"/>
        <w:spacing w:after="0" w:line="266" w:lineRule="auto"/>
        <w:rPr>
          <w:sz w:val="20"/>
          <w:szCs w:val="20"/>
          <w:color w:val="auto"/>
        </w:rPr>
      </w:pPr>
      <w:r>
        <w:rPr>
          <w:rFonts w:ascii="Times New Roman" w:cs="Times New Roman" w:eastAsia="Times New Roman" w:hAnsi="Times New Roman"/>
          <w:sz w:val="18"/>
          <w:szCs w:val="18"/>
          <w:color w:val="auto"/>
        </w:rPr>
        <w:t>subsidiaries, (ii) a trustee or other fiduciary holding securities under an employee benefit plan of the Company or any of its Affiliates, (iii) an underwriter temporarily holding securities pursuant to an offering of such securities or (iv) a corporation owned, directly or indirectly, by the stockholders of the Company in substantially the same proportions as their ownership of stock of the Company.</w:t>
      </w:r>
    </w:p>
    <w:p>
      <w:pPr>
        <w:spacing w:after="0" w:line="135" w:lineRule="exact"/>
        <w:rPr>
          <w:sz w:val="20"/>
          <w:szCs w:val="20"/>
          <w:color w:val="auto"/>
        </w:rPr>
      </w:pPr>
    </w:p>
    <w:p>
      <w:pPr>
        <w:jc w:val="both"/>
        <w:ind w:left="340" w:right="220" w:firstLine="1102"/>
        <w:spacing w:after="0" w:line="282" w:lineRule="auto"/>
        <w:rPr>
          <w:sz w:val="20"/>
          <w:szCs w:val="20"/>
          <w:color w:val="auto"/>
        </w:rPr>
      </w:pPr>
      <w:r>
        <w:rPr>
          <w:rFonts w:ascii="Times New Roman" w:cs="Times New Roman" w:eastAsia="Times New Roman" w:hAnsi="Times New Roman"/>
          <w:sz w:val="18"/>
          <w:szCs w:val="18"/>
          <w:color w:val="auto"/>
        </w:rPr>
        <w:t>15.18 “Potential Change in Control” shall be deemed to have occurred if the event set forth in any one of the following subsections shall have occurred:</w:t>
      </w:r>
    </w:p>
    <w:p>
      <w:pPr>
        <w:spacing w:after="0" w:line="121" w:lineRule="exact"/>
        <w:rPr>
          <w:sz w:val="20"/>
          <w:szCs w:val="20"/>
          <w:color w:val="auto"/>
        </w:rPr>
      </w:pPr>
    </w:p>
    <w:p>
      <w:pPr>
        <w:ind w:left="2580" w:hanging="822"/>
        <w:spacing w:after="0"/>
        <w:tabs>
          <w:tab w:leader="none" w:pos="25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enters into an agreement, the consummation of which would result in the occurrence of a Change in</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Control;</w:t>
      </w:r>
    </w:p>
    <w:p>
      <w:pPr>
        <w:spacing w:after="0" w:line="180" w:lineRule="exact"/>
        <w:rPr>
          <w:sz w:val="20"/>
          <w:szCs w:val="20"/>
          <w:color w:val="auto"/>
        </w:rPr>
      </w:pPr>
    </w:p>
    <w:p>
      <w:pPr>
        <w:ind w:left="720" w:right="240" w:firstLine="1038"/>
        <w:spacing w:after="0" w:line="282" w:lineRule="auto"/>
        <w:tabs>
          <w:tab w:leader="none" w:pos="259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Person publicly announces an intention to take or to consider taking actions which, if consummated, would constitute a Change in Control;</w:t>
      </w:r>
    </w:p>
    <w:p>
      <w:pPr>
        <w:spacing w:after="0" w:line="121" w:lineRule="exact"/>
        <w:rPr>
          <w:rFonts w:ascii="Times New Roman" w:cs="Times New Roman" w:eastAsia="Times New Roman" w:hAnsi="Times New Roman"/>
          <w:sz w:val="18"/>
          <w:szCs w:val="18"/>
          <w:color w:val="auto"/>
        </w:rPr>
      </w:pPr>
    </w:p>
    <w:p>
      <w:pPr>
        <w:jc w:val="both"/>
        <w:ind w:left="720" w:right="220" w:firstLine="1038"/>
        <w:spacing w:after="0" w:line="266" w:lineRule="auto"/>
        <w:tabs>
          <w:tab w:leader="none" w:pos="259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becomes the Beneficial Owner, directly or indirectly, of securities of the Company representing 15% or more of either the then outstanding shares of common stock of the Company or the combined voting power of the Company’s then outstanding securities; or</w:t>
      </w:r>
    </w:p>
    <w:p>
      <w:pPr>
        <w:spacing w:after="0" w:line="135" w:lineRule="exact"/>
        <w:rPr>
          <w:rFonts w:ascii="Times New Roman" w:cs="Times New Roman" w:eastAsia="Times New Roman" w:hAnsi="Times New Roman"/>
          <w:sz w:val="18"/>
          <w:szCs w:val="18"/>
          <w:color w:val="auto"/>
        </w:rPr>
      </w:pPr>
    </w:p>
    <w:p>
      <w:pPr>
        <w:ind w:left="2580" w:hanging="822"/>
        <w:spacing w:after="0"/>
        <w:tabs>
          <w:tab w:leader="none" w:pos="25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adopts a resolution to the effect that, for purposes of this Agreement, a Potential Change in Control has</w:t>
      </w:r>
    </w:p>
    <w:p>
      <w:pPr>
        <w:spacing w:after="0" w:line="27"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occurred.</w:t>
      </w:r>
    </w:p>
    <w:p>
      <w:pPr>
        <w:spacing w:after="0" w:line="180" w:lineRule="exact"/>
        <w:rPr>
          <w:sz w:val="20"/>
          <w:szCs w:val="20"/>
          <w:color w:val="auto"/>
        </w:rPr>
      </w:pPr>
    </w:p>
    <w:p>
      <w:pPr>
        <w:jc w:val="both"/>
        <w:ind w:left="340" w:right="220" w:firstLine="1102"/>
        <w:spacing w:after="0" w:line="255" w:lineRule="auto"/>
        <w:rPr>
          <w:sz w:val="20"/>
          <w:szCs w:val="20"/>
          <w:color w:val="auto"/>
        </w:rPr>
      </w:pPr>
      <w:r>
        <w:rPr>
          <w:rFonts w:ascii="Times New Roman" w:cs="Times New Roman" w:eastAsia="Times New Roman" w:hAnsi="Times New Roman"/>
          <w:sz w:val="18"/>
          <w:szCs w:val="18"/>
          <w:color w:val="auto"/>
        </w:rPr>
        <w:t>15.19 “Potential Change in Control Period” shall commence upon the occurrence of a Potential Change in Control and shall lapse upon the occurrence of a Change in Control or, if earlier (i) with respect to a Potential Change in Control occurring pursuant to Section 15.18(A), immediately upon the abandonment or termination of the applicable agreement, (ii) with respect to a Potential Change in Control occurring pursuant to Section 15.18(B), immediately upon a public announcement by the applicable party that such party has abandoned its intention to take or consider taking actions which if consummated would result in a Change in Control or (iii) with respect to a Potential Change in Control occurring pursuant to Section 15.18(C) or (D), upon the one year anniversary of the occurrence of a Potential Change in Control (or such earlier date as may be determined by the Board).</w:t>
      </w:r>
    </w:p>
    <w:p>
      <w:pPr>
        <w:spacing w:after="0" w:line="148" w:lineRule="exact"/>
        <w:rPr>
          <w:sz w:val="20"/>
          <w:szCs w:val="20"/>
          <w:color w:val="auto"/>
        </w:rPr>
      </w:pPr>
    </w:p>
    <w:p>
      <w:pPr>
        <w:jc w:val="both"/>
        <w:ind w:left="340" w:right="220" w:firstLine="1102"/>
        <w:spacing w:after="0" w:line="266" w:lineRule="auto"/>
        <w:rPr>
          <w:sz w:val="20"/>
          <w:szCs w:val="20"/>
          <w:color w:val="auto"/>
        </w:rPr>
      </w:pPr>
      <w:r>
        <w:rPr>
          <w:rFonts w:ascii="Times New Roman" w:cs="Times New Roman" w:eastAsia="Times New Roman" w:hAnsi="Times New Roman"/>
          <w:sz w:val="18"/>
          <w:szCs w:val="18"/>
          <w:color w:val="auto"/>
        </w:rPr>
        <w:t>15.20 “Retirement” shall be deemed the reason for the termination by the Executive of the Executive’s employment if such employment is terminated in accordance with the Company’s retirement policy, including early retirement, generally applicable to its salaried employees.</w:t>
      </w:r>
    </w:p>
    <w:p>
      <w:pPr>
        <w:spacing w:after="0" w:line="13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15.21 “Severance Payments” shall have the meaning set forth in Section 5.1.</w:t>
      </w:r>
    </w:p>
    <w:p>
      <w:pPr>
        <w:spacing w:after="0" w:line="19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15.22 “Term” shall mean the period of time described in Section 2 (including any extension, continuation or termination described</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therein).</w:t>
      </w:r>
    </w:p>
    <w:p>
      <w:pPr>
        <w:spacing w:after="0" w:line="16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above written.</w:t>
      </w:r>
    </w:p>
    <w:p>
      <w:pPr>
        <w:spacing w:after="0" w:line="18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ITRON, INC.</w:t>
      </w:r>
    </w:p>
    <w:p>
      <w:pPr>
        <w:spacing w:after="0" w:line="22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By: /s/ Diana Tremblay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43180</wp:posOffset>
            </wp:positionV>
            <wp:extent cx="13970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7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Name: Diana Tremblay</w:t>
      </w:r>
    </w:p>
    <w:p>
      <w:pPr>
        <w:spacing w:after="0" w:line="77" w:lineRule="exact"/>
        <w:rPr>
          <w:sz w:val="20"/>
          <w:szCs w:val="20"/>
          <w:color w:val="auto"/>
        </w:rPr>
      </w:pPr>
    </w:p>
    <w:p>
      <w:pPr>
        <w:ind w:left="4460"/>
        <w:spacing w:after="0"/>
        <w:tabs>
          <w:tab w:leader="none" w:pos="50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 of the Board</w:t>
      </w:r>
    </w:p>
    <w:p>
      <w:pPr>
        <w:spacing w:after="0" w:line="34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/s/ Tom Deitrich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43180</wp:posOffset>
            </wp:positionV>
            <wp:extent cx="161163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611630" cy="8890"/>
                    </a:xfrm>
                    <a:prstGeom prst="rect">
                      <a:avLst/>
                    </a:prstGeom>
                    <a:noFill/>
                  </pic:spPr>
                </pic:pic>
              </a:graphicData>
            </a:graphic>
          </wp:anchor>
        </w:drawing>
      </w:r>
    </w:p>
    <w:p>
      <w:pPr>
        <w:spacing w:after="0" w:line="7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Tom Deitrich</w:t>
      </w:r>
    </w:p>
    <w:p>
      <w:pPr>
        <w:spacing w:after="0" w:line="7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4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43180</wp:posOffset>
            </wp:positionV>
            <wp:extent cx="1611630" cy="3517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61163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Thomas L. Deitrich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43180</wp:posOffset>
            </wp:positionV>
            <wp:extent cx="16116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7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(Please print carefully)</w:t>
      </w:r>
    </w:p>
    <w:p>
      <w:pPr>
        <w:sectPr>
          <w:pgSz w:w="11900" w:h="16838" w:orient="portrait"/>
          <w:cols w:equalWidth="0" w:num="1">
            <w:col w:w="11240"/>
          </w:cols>
          <w:pgMar w:left="320" w:top="266" w:right="339" w:bottom="10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156750709.3</w:t>
      </w:r>
    </w:p>
    <w:p>
      <w:pPr>
        <w:sectPr>
          <w:pgSz w:w="11900" w:h="16838" w:orient="portrait"/>
          <w:cols w:equalWidth="0" w:num="1">
            <w:col w:w="11240"/>
          </w:cols>
          <w:pgMar w:left="320" w:top="266" w:right="339" w:bottom="1092" w:gutter="0" w:footer="0" w:header="0"/>
          <w:type w:val="continuous"/>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L. Deitrich, certify that:</w:t>
      </w:r>
    </w:p>
    <w:p>
      <w:pPr>
        <w:spacing w:after="0" w:line="252"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Itron, Inc.;</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1"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1"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68"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color w:val="auto"/>
        </w:rPr>
        <w:t>ITRON, INC.</w:t>
      </w:r>
    </w:p>
    <w:p>
      <w:pPr>
        <w:spacing w:after="0" w:line="131" w:lineRule="exact"/>
        <w:rPr>
          <w:sz w:val="20"/>
          <w:szCs w:val="20"/>
          <w:color w:val="auto"/>
        </w:rPr>
      </w:pPr>
    </w:p>
    <w:p>
      <w:pPr>
        <w:ind w:left="7600"/>
        <w:spacing w:after="0"/>
        <w:tabs>
          <w:tab w:leader="none" w:pos="8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L. DEITRICH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17145</wp:posOffset>
            </wp:positionV>
            <wp:extent cx="20574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5" w:lineRule="exact"/>
        <w:rPr>
          <w:sz w:val="20"/>
          <w:szCs w:val="20"/>
          <w:color w:val="auto"/>
        </w:rPr>
      </w:pPr>
    </w:p>
    <w:p>
      <w:pPr>
        <w:jc w:val="center"/>
        <w:ind w:left="7980"/>
        <w:spacing w:after="0"/>
        <w:rPr>
          <w:sz w:val="20"/>
          <w:szCs w:val="20"/>
          <w:color w:val="auto"/>
        </w:rPr>
      </w:pPr>
      <w:r>
        <w:rPr>
          <w:rFonts w:ascii="Times New Roman" w:cs="Times New Roman" w:eastAsia="Times New Roman" w:hAnsi="Times New Roman"/>
          <w:sz w:val="18"/>
          <w:szCs w:val="18"/>
          <w:b w:val="1"/>
          <w:bCs w:val="1"/>
          <w:color w:val="auto"/>
        </w:rPr>
        <w:t>Thomas L. Deitrich</w:t>
      </w:r>
    </w:p>
    <w:p>
      <w:pPr>
        <w:jc w:val="center"/>
        <w:ind w:left="79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4, 2022</w:t>
      </w:r>
    </w:p>
    <w:p>
      <w:pPr>
        <w:sectPr>
          <w:pgSz w:w="11900" w:h="16838" w:orient="portrait"/>
          <w:cols w:equalWidth="0" w:num="1">
            <w:col w:w="11240"/>
          </w:cols>
          <w:pgMar w:left="320" w:top="117"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Joan S. Hooper, certify that:</w:t>
      </w:r>
    </w:p>
    <w:p>
      <w:pPr>
        <w:spacing w:after="0" w:line="252"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Itron, Inc.;</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1"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1"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68"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67"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ITRON, INC.</w:t>
      </w:r>
    </w:p>
    <w:p>
      <w:pPr>
        <w:spacing w:after="0" w:line="131" w:lineRule="exact"/>
        <w:rPr>
          <w:sz w:val="20"/>
          <w:szCs w:val="20"/>
          <w:color w:val="auto"/>
        </w:rPr>
      </w:pPr>
    </w:p>
    <w:p>
      <w:pPr>
        <w:ind w:left="5400"/>
        <w:spacing w:after="0"/>
        <w:tabs>
          <w:tab w:leader="none" w:pos="7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Joan S. Hooper</w:t>
      </w:r>
    </w:p>
    <w:p>
      <w:pPr>
        <w:spacing w:after="0" w:line="6"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Senior Vice President and Chief Financial Officer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4, 2022</w:t>
      </w:r>
    </w:p>
    <w:p>
      <w:pPr>
        <w:sectPr>
          <w:pgSz w:w="11900" w:h="16838" w:orient="portrait"/>
          <w:cols w:equalWidth="0" w:num="1">
            <w:col w:w="11240"/>
          </w:cols>
          <w:pgMar w:left="320" w:top="117"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certification set forth below is being submitted in connection with the Quarterly Report of Itron, Inc. (the Company) on Form 10-Q for the quarterly period ended June 30, 2022 (the Report) for the purpose of complying with Rule 13a-14(b) or Rule 15d-14(b) of the Securities Exchange Act of 1934 and Section 1350 of Chapter 63 of Title 18 of the United States Code.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Thomas L. Deitrich, the Chief Executive Officer and Joan S. Hooper, the Chief Financial Officer of the Company, each certifies that to the best of his or her knowledge:</w:t>
      </w:r>
    </w:p>
    <w:p>
      <w:pPr>
        <w:spacing w:after="0" w:line="162" w:lineRule="exact"/>
        <w:rPr>
          <w:sz w:val="20"/>
          <w:szCs w:val="20"/>
          <w:color w:val="auto"/>
        </w:rPr>
      </w:pPr>
    </w:p>
    <w:p>
      <w:pPr>
        <w:ind w:left="840" w:hanging="387"/>
        <w:spacing w:after="0"/>
        <w:tabs>
          <w:tab w:leader="none" w:pos="8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60" w:right="740" w:hanging="407"/>
        <w:spacing w:after="0" w:line="282" w:lineRule="auto"/>
        <w:tabs>
          <w:tab w:leader="none" w:pos="84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/s/ THOMAS L. DEITRICH</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4, 2022</w:t>
            </w:r>
          </w:p>
        </w:tc>
        <w:tc>
          <w:tcPr>
            <w:tcW w:w="0" w:type="dxa"/>
            <w:vAlign w:val="bottom"/>
          </w:tcPr>
          <w:p>
            <w:pPr>
              <w:spacing w:after="0"/>
              <w:rPr>
                <w:sz w:val="1"/>
                <w:szCs w:val="1"/>
                <w:color w:val="auto"/>
              </w:rPr>
            </w:pPr>
          </w:p>
        </w:tc>
      </w:tr>
      <w:tr>
        <w:trPr>
          <w:trHeight w:val="169"/>
        </w:trPr>
        <w:tc>
          <w:tcPr>
            <w:tcW w:w="54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Thomas L. Deitrich</w:t>
            </w:r>
          </w:p>
        </w:tc>
        <w:tc>
          <w:tcPr>
            <w:tcW w:w="540" w:type="dxa"/>
            <w:vAlign w:val="bottom"/>
          </w:tcPr>
          <w:p>
            <w:pPr>
              <w:spacing w:after="0"/>
              <w:rPr>
                <w:sz w:val="14"/>
                <w:szCs w:val="14"/>
                <w:color w:val="auto"/>
              </w:rPr>
            </w:pPr>
          </w:p>
        </w:tc>
        <w:tc>
          <w:tcPr>
            <w:tcW w:w="33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243"/>
        </w:trPr>
        <w:tc>
          <w:tcPr>
            <w:tcW w:w="602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c>
          <w:tcPr>
            <w:tcW w:w="3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/s/ JOAN S. HOOPER</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4, 2022</w:t>
            </w:r>
          </w:p>
        </w:tc>
        <w:tc>
          <w:tcPr>
            <w:tcW w:w="0" w:type="dxa"/>
            <w:vAlign w:val="bottom"/>
          </w:tcPr>
          <w:p>
            <w:pPr>
              <w:spacing w:after="0"/>
              <w:rPr>
                <w:sz w:val="1"/>
                <w:szCs w:val="1"/>
                <w:color w:val="auto"/>
              </w:rPr>
            </w:pPr>
          </w:p>
        </w:tc>
      </w:tr>
      <w:tr>
        <w:trPr>
          <w:trHeight w:val="169"/>
        </w:trPr>
        <w:tc>
          <w:tcPr>
            <w:tcW w:w="54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Joan S. Hooper</w:t>
            </w:r>
          </w:p>
        </w:tc>
        <w:tc>
          <w:tcPr>
            <w:tcW w:w="540" w:type="dxa"/>
            <w:vAlign w:val="bottom"/>
          </w:tcPr>
          <w:p>
            <w:pPr>
              <w:spacing w:after="0"/>
              <w:rPr>
                <w:sz w:val="14"/>
                <w:szCs w:val="14"/>
                <w:color w:val="auto"/>
              </w:rPr>
            </w:pPr>
          </w:p>
        </w:tc>
        <w:tc>
          <w:tcPr>
            <w:tcW w:w="33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148"/>
        </w:trPr>
        <w:tc>
          <w:tcPr>
            <w:tcW w:w="602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Senior Vice President and Chief Financial Officer</w:t>
            </w:r>
          </w:p>
        </w:tc>
        <w:tc>
          <w:tcPr>
            <w:tcW w:w="3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6020" w:type="dxa"/>
            <w:vAlign w:val="bottom"/>
            <w:gridSpan w:val="2"/>
            <w:vMerge w:val="continue"/>
          </w:tcPr>
          <w:p>
            <w:pPr>
              <w:spacing w:after="0"/>
              <w:rPr>
                <w:sz w:val="7"/>
                <w:szCs w:val="7"/>
                <w:color w:val="auto"/>
              </w:rPr>
            </w:pPr>
          </w:p>
        </w:tc>
        <w:tc>
          <w:tcPr>
            <w:tcW w:w="33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1)"/>
      <w:numFmt w:val="decimal"/>
      <w:start w:val="1"/>
    </w:lvl>
  </w:abstractNum>
  <w:abstractNum w:abstractNumId="3">
    <w:nsid w:val="836C40E"/>
    <w:multiLevelType w:val="hybridMultilevel"/>
    <w:lvl w:ilvl="0">
      <w:lvlJc w:val="left"/>
      <w:lvlText w:val="(%1)"/>
      <w:numFmt w:val="decimal"/>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1)"/>
      <w:numFmt w:val="decimal"/>
      <w:start w:val="1"/>
    </w:lvl>
  </w:abstractNum>
  <w:abstractNum w:abstractNumId="7">
    <w:nsid w:val="1E7FF521"/>
    <w:multiLevelType w:val="hybridMultilevel"/>
    <w:lvl w:ilvl="0">
      <w:lvlJc w:val="left"/>
      <w:lvlText w:val="(%1)"/>
      <w:numFmt w:val="lowerLetter"/>
      <w:start w:val="1"/>
    </w:lvl>
  </w:abstractNum>
  <w:abstractNum w:abstractNumId="8">
    <w:nsid w:val="7C3DBD3D"/>
    <w:multiLevelType w:val="hybridMultilevel"/>
    <w:lvl w:ilvl="0">
      <w:lvlJc w:val="left"/>
      <w:lvlText w:val="(%1)"/>
      <w:numFmt w:val="decimal"/>
      <w:start w:val="1"/>
    </w:lvl>
  </w:abstractNum>
  <w:abstractNum w:abstractNumId="9">
    <w:nsid w:val="737B8DDC"/>
    <w:multiLevelType w:val="hybridMultilevel"/>
    <w:lvl w:ilvl="0">
      <w:lvlJc w:val="left"/>
      <w:lvlText w:val="(%1)"/>
      <w:numFmt w:val="lowerLetter"/>
      <w:start w:val="1"/>
    </w:lvl>
  </w:abstractNum>
  <w:abstractNum w:abstractNumId="10">
    <w:nsid w:val="6CEAF087"/>
    <w:multiLevelType w:val="hybridMultilevel"/>
    <w:lvl w:ilvl="0">
      <w:lvlJc w:val="left"/>
      <w:lvlText w:val="%1"/>
      <w:numFmt w:val="decimal"/>
      <w:start w:val="10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1."/>
      <w:numFmt w:val="decimal"/>
      <w:start w:val="1"/>
    </w:lvl>
  </w:abstractNum>
  <w:abstractNum w:abstractNumId="13">
    <w:nsid w:val="3006C83E"/>
    <w:multiLevelType w:val="hybridMultilevel"/>
    <w:lvl w:ilvl="0">
      <w:lvlJc w:val="left"/>
      <w:lvlText w:val="%1."/>
      <w:numFmt w:val="decimal"/>
      <w:start w:val="5"/>
    </w:lvl>
  </w:abstractNum>
  <w:abstractNum w:abstractNumId="14">
    <w:nsid w:val="614FD4A1"/>
    <w:multiLevelType w:val="hybridMultilevel"/>
    <w:lvl w:ilvl="0">
      <w:lvlJc w:val="left"/>
      <w:lvlText w:val="%1"/>
      <w:numFmt w:val="lowerLetter"/>
      <w:start w:val="1"/>
    </w:lvl>
    <w:lvl w:ilvl="1">
      <w:lvlJc w:val="left"/>
      <w:lvlText w:val="(%2)"/>
      <w:numFmt w:val="upperLetter"/>
      <w:start w:val="1"/>
    </w:lvl>
  </w:abstractNum>
  <w:abstractNum w:abstractNumId="15">
    <w:nsid w:val="419AC241"/>
    <w:multiLevelType w:val="hybridMultilevel"/>
    <w:lvl w:ilvl="0">
      <w:lvlJc w:val="left"/>
      <w:lvlText w:val="(%1)"/>
      <w:numFmt w:val="lowerLetter"/>
      <w:start w:val="1"/>
    </w:lvl>
    <w:lvl w:ilvl="1">
      <w:lvlJc w:val="left"/>
      <w:lvlText w:val="(%2)"/>
      <w:numFmt w:val="upperLetter"/>
      <w:start w:val="2"/>
    </w:lvl>
  </w:abstractNum>
  <w:abstractNum w:abstractNumId="16">
    <w:nsid w:val="5577F8E1"/>
    <w:multiLevelType w:val="hybridMultilevel"/>
    <w:lvl w:ilvl="0">
      <w:lvlJc w:val="left"/>
      <w:lvlText w:val="(%1)"/>
      <w:numFmt w:val="upperLetter"/>
      <w:start w:val="1"/>
    </w:lvl>
  </w:abstractNum>
  <w:abstractNum w:abstractNumId="17">
    <w:nsid w:val="440BADFC"/>
    <w:multiLevelType w:val="hybridMultilevel"/>
    <w:lvl w:ilvl="0">
      <w:lvlJc w:val="left"/>
      <w:lvlText w:val="(%1)"/>
      <w:numFmt w:val="upperLetter"/>
      <w:start w:val="2"/>
    </w:lvl>
  </w:abstractNum>
  <w:abstractNum w:abstractNumId="18">
    <w:nsid w:val="5072367"/>
    <w:multiLevelType w:val="hybridMultilevel"/>
    <w:lvl w:ilvl="0">
      <w:lvlJc w:val="left"/>
      <w:lvlText w:val="%1."/>
      <w:numFmt w:val="decimal"/>
      <w:start w:val="6"/>
    </w:lvl>
  </w:abstractNum>
  <w:abstractNum w:abstractNumId="19">
    <w:nsid w:val="3804823E"/>
    <w:multiLevelType w:val="hybridMultilevel"/>
    <w:lvl w:ilvl="0">
      <w:lvlJc w:val="left"/>
      <w:lvlText w:val="(%1)"/>
      <w:numFmt w:val="lowerRoman"/>
      <w:start w:val="2"/>
    </w:lvl>
  </w:abstractNum>
  <w:abstractNum w:abstractNumId="20">
    <w:nsid w:val="77465F01"/>
    <w:multiLevelType w:val="hybridMultilevel"/>
    <w:lvl w:ilvl="0">
      <w:lvlJc w:val="left"/>
      <w:lvlText w:val="(%1)"/>
      <w:numFmt w:val="lowerRoman"/>
      <w:start w:val="2"/>
    </w:lvl>
  </w:abstractNum>
  <w:abstractNum w:abstractNumId="21">
    <w:nsid w:val="7724C67E"/>
    <w:multiLevelType w:val="hybridMultilevel"/>
    <w:lvl w:ilvl="0">
      <w:lvlJc w:val="left"/>
      <w:lvlText w:val="%1."/>
      <w:numFmt w:val="decimal"/>
      <w:start w:val="7"/>
    </w:lvl>
  </w:abstractNum>
  <w:abstractNum w:abstractNumId="22">
    <w:nsid w:val="5C482A97"/>
    <w:multiLevelType w:val="hybridMultilevel"/>
    <w:lvl w:ilvl="0">
      <w:lvlJc w:val="left"/>
      <w:lvlText w:val="%1."/>
      <w:numFmt w:val="decimal"/>
      <w:start w:val="9"/>
    </w:lvl>
  </w:abstractNum>
  <w:abstractNum w:abstractNumId="23">
    <w:nsid w:val="2463B9EA"/>
    <w:multiLevelType w:val="hybridMultilevel"/>
    <w:lvl w:ilvl="0">
      <w:lvlJc w:val="left"/>
      <w:lvlText w:val="%1"/>
      <w:numFmt w:val="decimal"/>
      <w:start w:val="1"/>
    </w:lvl>
    <w:lvl w:ilvl="1">
      <w:lvlJc w:val="left"/>
      <w:lvlText w:val="%2"/>
      <w:numFmt w:val="decimal"/>
      <w:start w:val="1"/>
    </w:lvl>
    <w:lvl w:ilvl="2">
      <w:lvlJc w:val="left"/>
      <w:lvlText w:val="(%3)"/>
      <w:numFmt w:val="upperLetter"/>
      <w:start w:val="1"/>
    </w:lvl>
  </w:abstractNum>
  <w:abstractNum w:abstractNumId="24">
    <w:nsid w:val="5E884ADC"/>
    <w:multiLevelType w:val="hybridMultilevel"/>
    <w:lvl w:ilvl="0">
      <w:lvlJc w:val="left"/>
      <w:lvlText w:val="%1"/>
      <w:numFmt w:val="decimal"/>
      <w:start w:val="1"/>
    </w:lvl>
    <w:lvl w:ilvl="1">
      <w:lvlJc w:val="left"/>
      <w:lvlText w:val="(%2)"/>
      <w:numFmt w:val="decimal"/>
      <w:start w:val="2"/>
    </w:lvl>
    <w:lvl w:ilvl="2">
      <w:lvlJc w:val="left"/>
      <w:lvlText w:val="(%3)"/>
      <w:numFmt w:val="upperLetter"/>
      <w:start w:val="2"/>
    </w:lvl>
  </w:abstractNum>
  <w:abstractNum w:abstractNumId="25">
    <w:nsid w:val="51EAD36B"/>
    <w:multiLevelType w:val="hybridMultilevel"/>
    <w:lvl w:ilvl="0">
      <w:lvlJc w:val="left"/>
      <w:lvlText w:val="%1."/>
      <w:numFmt w:val="decimal"/>
      <w:start w:val="14"/>
    </w:lvl>
    <w:lvl w:ilvl="1">
      <w:lvlJc w:val="left"/>
      <w:lvlText w:val="%2"/>
      <w:numFmt w:val="decimal"/>
      <w:start w:val="1"/>
    </w:lvl>
    <w:lvl w:ilvl="2">
      <w:lvlJc w:val="left"/>
      <w:lvlText w:val="%3"/>
      <w:numFmt w:val="upperLetter"/>
      <w:start w:val="1"/>
    </w:lvl>
  </w:abstractNum>
  <w:abstractNum w:abstractNumId="26">
    <w:nsid w:val="2D517796"/>
    <w:multiLevelType w:val="hybridMultilevel"/>
    <w:lvl w:ilvl="0">
      <w:lvlJc w:val="left"/>
      <w:lvlText w:val="%1."/>
      <w:numFmt w:val="decimal"/>
      <w:start w:val="15"/>
    </w:lvl>
  </w:abstractNum>
  <w:abstractNum w:abstractNumId="27">
    <w:nsid w:val="580BD78F"/>
    <w:multiLevelType w:val="hybridMultilevel"/>
    <w:lvl w:ilvl="0">
      <w:lvlJc w:val="left"/>
      <w:lvlText w:val="(%1)"/>
      <w:numFmt w:val="upperLetter"/>
      <w:start w:val="1"/>
    </w:lvl>
  </w:abstractNum>
  <w:abstractNum w:abstractNumId="28">
    <w:nsid w:val="153EA438"/>
    <w:multiLevelType w:val="hybridMultilevel"/>
    <w:lvl w:ilvl="0">
      <w:lvlJc w:val="left"/>
      <w:lvlText w:val="(%1)"/>
      <w:numFmt w:val="upperLetter"/>
      <w:start w:val="1"/>
    </w:lvl>
  </w:abstractNum>
  <w:abstractNum w:abstractNumId="29">
    <w:nsid w:val="3855585C"/>
    <w:multiLevelType w:val="hybridMultilevel"/>
    <w:lvl w:ilvl="0">
      <w:lvlJc w:val="left"/>
      <w:lvlText w:val="(%1)"/>
      <w:numFmt w:val="upperLetter"/>
      <w:start w:val="1"/>
    </w:lvl>
  </w:abstractNum>
  <w:abstractNum w:abstractNumId="30">
    <w:nsid w:val="70A64E2A"/>
    <w:multiLevelType w:val="hybridMultilevel"/>
    <w:lvl w:ilvl="0">
      <w:lvlJc w:val="left"/>
      <w:lvlText w:val="(%1)"/>
      <w:numFmt w:val="upperLetter"/>
      <w:start w:val="2"/>
    </w:lvl>
  </w:abstractNum>
  <w:abstractNum w:abstractNumId="31">
    <w:nsid w:val="6A2342EC"/>
    <w:multiLevelType w:val="hybridMultilevel"/>
    <w:lvl w:ilvl="0">
      <w:lvlJc w:val="left"/>
      <w:lvlText w:val="%1."/>
      <w:numFmt w:val="decimal"/>
      <w:start w:val="1"/>
    </w:lvl>
  </w:abstractNum>
  <w:abstractNum w:abstractNumId="32">
    <w:nsid w:val="2A487CB0"/>
    <w:multiLevelType w:val="hybridMultilevel"/>
    <w:lvl w:ilvl="0">
      <w:lvlJc w:val="left"/>
      <w:lvlText w:val="%1."/>
      <w:numFmt w:val="decimal"/>
      <w:start w:val="5"/>
    </w:lvl>
  </w:abstractNum>
  <w:abstractNum w:abstractNumId="33">
    <w:nsid w:val="1D4ED43B"/>
    <w:multiLevelType w:val="hybridMultilevel"/>
    <w:lvl w:ilvl="0">
      <w:lvlJc w:val="left"/>
      <w:lvlText w:val="%1"/>
      <w:numFmt w:val="lowerLetter"/>
      <w:start w:val="1"/>
    </w:lvl>
    <w:lvl w:ilvl="1">
      <w:lvlJc w:val="left"/>
      <w:lvlText w:val="(%2)"/>
      <w:numFmt w:val="upperLetter"/>
      <w:start w:val="1"/>
    </w:lvl>
  </w:abstractNum>
  <w:abstractNum w:abstractNumId="34">
    <w:nsid w:val="725A06FB"/>
    <w:multiLevelType w:val="hybridMultilevel"/>
    <w:lvl w:ilvl="0">
      <w:lvlJc w:val="left"/>
      <w:lvlText w:val="(%1)"/>
      <w:numFmt w:val="lowerLetter"/>
      <w:start w:val="1"/>
    </w:lvl>
    <w:lvl w:ilvl="1">
      <w:lvlJc w:val="left"/>
      <w:lvlText w:val="(%2)"/>
      <w:numFmt w:val="upperLetter"/>
      <w:start w:val="2"/>
    </w:lvl>
  </w:abstractNum>
  <w:abstractNum w:abstractNumId="35">
    <w:nsid w:val="2CD89A32"/>
    <w:multiLevelType w:val="hybridMultilevel"/>
    <w:lvl w:ilvl="0">
      <w:lvlJc w:val="left"/>
      <w:lvlText w:val="(%1)"/>
      <w:numFmt w:val="upperLetter"/>
      <w:start w:val="1"/>
    </w:lvl>
  </w:abstractNum>
  <w:abstractNum w:abstractNumId="36">
    <w:nsid w:val="57E4CCAF"/>
    <w:multiLevelType w:val="hybridMultilevel"/>
    <w:lvl w:ilvl="0">
      <w:lvlJc w:val="left"/>
      <w:lvlText w:val="(%1)"/>
      <w:numFmt w:val="upperLetter"/>
      <w:start w:val="2"/>
    </w:lvl>
  </w:abstractNum>
  <w:abstractNum w:abstractNumId="37">
    <w:nsid w:val="7A6D8D3C"/>
    <w:multiLevelType w:val="hybridMultilevel"/>
    <w:lvl w:ilvl="0">
      <w:lvlJc w:val="left"/>
      <w:lvlText w:val="%1."/>
      <w:numFmt w:val="decimal"/>
      <w:start w:val="6"/>
    </w:lvl>
  </w:abstractNum>
  <w:abstractNum w:abstractNumId="38">
    <w:nsid w:val="4B588F54"/>
    <w:multiLevelType w:val="hybridMultilevel"/>
    <w:lvl w:ilvl="0">
      <w:lvlJc w:val="left"/>
      <w:lvlText w:val="(%1)"/>
      <w:numFmt w:val="lowerRoman"/>
      <w:start w:val="2"/>
    </w:lvl>
  </w:abstractNum>
  <w:abstractNum w:abstractNumId="39">
    <w:nsid w:val="542289EC"/>
    <w:multiLevelType w:val="hybridMultilevel"/>
    <w:lvl w:ilvl="0">
      <w:lvlJc w:val="left"/>
      <w:lvlText w:val="(%1)"/>
      <w:numFmt w:val="lowerRoman"/>
      <w:start w:val="2"/>
    </w:lvl>
  </w:abstractNum>
  <w:abstractNum w:abstractNumId="40">
    <w:nsid w:val="6DE91B18"/>
    <w:multiLevelType w:val="hybridMultilevel"/>
    <w:lvl w:ilvl="0">
      <w:lvlJc w:val="left"/>
      <w:lvlText w:val="%1."/>
      <w:numFmt w:val="decimal"/>
      <w:start w:val="7"/>
    </w:lvl>
  </w:abstractNum>
  <w:abstractNum w:abstractNumId="41">
    <w:nsid w:val="38437FDB"/>
    <w:multiLevelType w:val="hybridMultilevel"/>
    <w:lvl w:ilvl="0">
      <w:lvlJc w:val="left"/>
      <w:lvlText w:val="%1."/>
      <w:numFmt w:val="decimal"/>
      <w:start w:val="9"/>
    </w:lvl>
  </w:abstractNum>
  <w:abstractNum w:abstractNumId="42">
    <w:nsid w:val="7644A45C"/>
    <w:multiLevelType w:val="hybridMultilevel"/>
    <w:lvl w:ilvl="0">
      <w:lvlJc w:val="left"/>
      <w:lvlText w:val="%1"/>
      <w:numFmt w:val="decimal"/>
      <w:start w:val="1"/>
    </w:lvl>
    <w:lvl w:ilvl="1">
      <w:lvlJc w:val="left"/>
      <w:lvlText w:val="%2"/>
      <w:numFmt w:val="decimal"/>
      <w:start w:val="1"/>
    </w:lvl>
    <w:lvl w:ilvl="2">
      <w:lvlJc w:val="left"/>
      <w:lvlText w:val="(%3)"/>
      <w:numFmt w:val="upperLetter"/>
      <w:start w:val="1"/>
    </w:lvl>
  </w:abstractNum>
  <w:abstractNum w:abstractNumId="43">
    <w:nsid w:val="32FFF902"/>
    <w:multiLevelType w:val="hybridMultilevel"/>
    <w:lvl w:ilvl="0">
      <w:lvlJc w:val="left"/>
      <w:lvlText w:val="%1"/>
      <w:numFmt w:val="decimal"/>
      <w:start w:val="1"/>
    </w:lvl>
    <w:lvl w:ilvl="1">
      <w:lvlJc w:val="left"/>
      <w:lvlText w:val="(%2)"/>
      <w:numFmt w:val="decimal"/>
      <w:start w:val="2"/>
    </w:lvl>
    <w:lvl w:ilvl="2">
      <w:lvlJc w:val="left"/>
      <w:lvlText w:val="(%3)"/>
      <w:numFmt w:val="upperLetter"/>
      <w:start w:val="2"/>
    </w:lvl>
  </w:abstractNum>
  <w:abstractNum w:abstractNumId="44">
    <w:nsid w:val="684A481A"/>
    <w:multiLevelType w:val="hybridMultilevel"/>
    <w:lvl w:ilvl="0">
      <w:lvlJc w:val="left"/>
      <w:lvlText w:val="%1."/>
      <w:numFmt w:val="decimal"/>
      <w:start w:val="14"/>
    </w:lvl>
    <w:lvl w:ilvl="1">
      <w:lvlJc w:val="left"/>
      <w:lvlText w:val="%2"/>
      <w:numFmt w:val="decimal"/>
      <w:start w:val="1"/>
    </w:lvl>
    <w:lvl w:ilvl="2">
      <w:lvlJc w:val="left"/>
      <w:lvlText w:val="%3"/>
      <w:numFmt w:val="upperLetter"/>
      <w:start w:val="1"/>
    </w:lvl>
  </w:abstractNum>
  <w:abstractNum w:abstractNumId="45">
    <w:nsid w:val="579478FE"/>
    <w:multiLevelType w:val="hybridMultilevel"/>
    <w:lvl w:ilvl="0">
      <w:lvlJc w:val="left"/>
      <w:lvlText w:val="%1."/>
      <w:numFmt w:val="decimal"/>
      <w:start w:val="15"/>
    </w:lvl>
  </w:abstractNum>
  <w:abstractNum w:abstractNumId="46">
    <w:nsid w:val="749ABB43"/>
    <w:multiLevelType w:val="hybridMultilevel"/>
    <w:lvl w:ilvl="0">
      <w:lvlJc w:val="left"/>
      <w:lvlText w:val="(%1)"/>
      <w:numFmt w:val="upperLetter"/>
      <w:start w:val="1"/>
    </w:lvl>
  </w:abstractNum>
  <w:abstractNum w:abstractNumId="47">
    <w:nsid w:val="3DC240FB"/>
    <w:multiLevelType w:val="hybridMultilevel"/>
    <w:lvl w:ilvl="0">
      <w:lvlJc w:val="left"/>
      <w:lvlText w:val="(%1)"/>
      <w:numFmt w:val="upperLetter"/>
      <w:start w:val="1"/>
    </w:lvl>
  </w:abstractNum>
  <w:abstractNum w:abstractNumId="48">
    <w:nsid w:val="1BA026FA"/>
    <w:multiLevelType w:val="hybridMultilevel"/>
    <w:lvl w:ilvl="0">
      <w:lvlJc w:val="left"/>
      <w:lvlText w:val="(%1)"/>
      <w:numFmt w:val="upperLetter"/>
      <w:start w:val="1"/>
    </w:lvl>
  </w:abstractNum>
  <w:abstractNum w:abstractNumId="49">
    <w:nsid w:val="79A1DEAA"/>
    <w:multiLevelType w:val="hybridMultilevel"/>
    <w:lvl w:ilvl="0">
      <w:lvlJc w:val="left"/>
      <w:lvlText w:val="(%1)"/>
      <w:numFmt w:val="upperLetter"/>
      <w:start w:val="2"/>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lvl w:ilvl="1">
      <w:lvlJc w:val="left"/>
      <w:lvlText w:val="%2)"/>
      <w:numFmt w:val="lowerLetter"/>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2022-08-04T13:23:48Z</dcterms:created>
  <dcterms:modified xsi:type="dcterms:W3CDTF">2022-08-04T13:23:48Z</dcterms:modified>
</cp:coreProperties>
</file>