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637540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415925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71" w:lineRule="exact"/>
        <w:rPr>
          <w:sz w:val="24"/>
          <w:szCs w:val="24"/>
          <w:color w:val="auto"/>
        </w:rPr>
      </w:pPr>
    </w:p>
    <w:p>
      <w:pPr>
        <w:ind w:left="660" w:right="1540" w:hanging="625"/>
        <w:spacing w:after="0" w:line="313" w:lineRule="auto"/>
        <w:tabs>
          <w:tab w:leader="none" w:pos="72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2015</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0"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1057"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1057"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1057"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1057" w:right="239" w:bottom="1440" w:gutter="0" w:footer="0" w:header="0"/>
          <w:type w:val="continuous"/>
        </w:sectPr>
      </w:pPr>
    </w:p>
    <w:p>
      <w:pPr>
        <w:spacing w:after="0" w:line="364"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460" w:space="720"/>
            <w:col w:w="3240"/>
          </w:cols>
          <w:pgMar w:left="240" w:top="1057" w:right="239" w:bottom="1440" w:gutter="0" w:footer="0" w:header="0"/>
          <w:type w:val="continuous"/>
        </w:sectPr>
      </w:pPr>
    </w:p>
    <w:p>
      <w:pPr>
        <w:ind w:left="182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320" w:space="720"/>
            <w:col w:w="4380"/>
          </w:cols>
          <w:pgMar w:left="240" w:top="1057" w:right="2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287655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ind w:left="580"/>
              <w:spacing w:after="0"/>
              <w:rPr>
                <w:sz w:val="20"/>
                <w:szCs w:val="20"/>
                <w:color w:val="auto"/>
              </w:rPr>
            </w:pPr>
            <w:r>
              <w:rPr>
                <w:rFonts w:ascii="Arial" w:cs="Arial" w:eastAsia="Arial" w:hAnsi="Arial"/>
                <w:sz w:val="18"/>
                <w:szCs w:val="18"/>
                <w:color w:val="auto"/>
              </w:rPr>
              <w:t>Large 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x</w:t>
            </w:r>
          </w:p>
        </w:tc>
        <w:tc>
          <w:tcPr>
            <w:tcW w:w="3940" w:type="dxa"/>
            <w:vAlign w:val="bottom"/>
          </w:tcPr>
          <w:p>
            <w:pPr>
              <w:spacing w:after="0"/>
              <w:rPr>
                <w:sz w:val="24"/>
                <w:szCs w:val="24"/>
                <w:color w:val="auto"/>
              </w:rPr>
            </w:pPr>
          </w:p>
        </w:tc>
        <w:tc>
          <w:tcPr>
            <w:tcW w:w="2560" w:type="dxa"/>
            <w:vAlign w:val="bottom"/>
          </w:tcPr>
          <w:p>
            <w:pPr>
              <w:jc w:val="right"/>
              <w:ind w:right="73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85"/>
        </w:trPr>
        <w:tc>
          <w:tcPr>
            <w:tcW w:w="2440" w:type="dxa"/>
            <w:vAlign w:val="bottom"/>
            <w:vMerge w:val="restart"/>
          </w:tcPr>
          <w:p>
            <w:pPr>
              <w:ind w:left="580"/>
              <w:spacing w:after="0"/>
              <w:rPr>
                <w:sz w:val="20"/>
                <w:szCs w:val="20"/>
                <w:color w:val="auto"/>
              </w:rPr>
            </w:pPr>
            <w:r>
              <w:rPr>
                <w:rFonts w:ascii="Arial" w:cs="Arial" w:eastAsia="Arial" w:hAnsi="Arial"/>
                <w:sz w:val="18"/>
                <w:szCs w:val="18"/>
                <w:color w:val="auto"/>
              </w:rPr>
              <w:t>Non-accelerated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o</w:t>
            </w:r>
          </w:p>
        </w:tc>
        <w:tc>
          <w:tcPr>
            <w:tcW w:w="394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Smaller reporting company</w:t>
            </w:r>
          </w:p>
        </w:tc>
        <w:tc>
          <w:tcPr>
            <w:tcW w:w="780" w:type="dxa"/>
            <w:vAlign w:val="bottom"/>
            <w:vMerge w:val="restart"/>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5"/>
        </w:trPr>
        <w:tc>
          <w:tcPr>
            <w:tcW w:w="24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9320" w:type="dxa"/>
            <w:vAlign w:val="bottom"/>
            <w:gridSpan w:val="4"/>
          </w:tcPr>
          <w:p>
            <w:pPr>
              <w:jc w:val="right"/>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w:t>
            </w:r>
          </w:p>
        </w:tc>
        <w:tc>
          <w:tcPr>
            <w:tcW w:w="780" w:type="dxa"/>
            <w:vAlign w:val="bottom"/>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2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October 31, 2015 there were outstanding 37,897,742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p>
      <w:pPr>
        <w:spacing w:after="0" w:line="200" w:lineRule="exact"/>
        <w:rPr>
          <w:sz w:val="20"/>
          <w:szCs w:val="20"/>
          <w:color w:val="auto"/>
        </w:rPr>
      </w:pPr>
    </w:p>
    <w:p>
      <w:pPr>
        <w:spacing w:after="0" w:line="25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u w:val="single" w:color="auto"/>
            <w:color w:val="0000EE"/>
          </w:rPr>
          <w:t>Financial Statements (Unaudited)</w:t>
        </w:r>
      </w:hyperlink>
    </w:p>
    <w:p>
      <w:pPr>
        <w:spacing w:after="0" w:line="200" w:lineRule="exact"/>
        <w:rPr>
          <w:sz w:val="20"/>
          <w:szCs w:val="20"/>
          <w:color w:val="auto"/>
        </w:rPr>
      </w:pPr>
    </w:p>
    <w:p>
      <w:pPr>
        <w:spacing w:after="0" w:line="241" w:lineRule="exact"/>
        <w:rPr>
          <w:sz w:val="20"/>
          <w:szCs w:val="20"/>
          <w:color w:val="auto"/>
        </w:rPr>
      </w:pPr>
    </w:p>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Comprehensive Income (Loss)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Cash Flows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Condensed Consolidated Financial Statements</w:t>
        </w:r>
      </w:hyperlink>
    </w:p>
    <w:p>
      <w:pPr>
        <w:spacing w:after="0" w:line="200" w:lineRule="exact"/>
        <w:rPr>
          <w:sz w:val="20"/>
          <w:szCs w:val="20"/>
          <w:color w:val="auto"/>
        </w:rPr>
      </w:pPr>
    </w:p>
    <w:p>
      <w:pPr>
        <w:spacing w:after="0" w:line="241" w:lineRule="exact"/>
        <w:rPr>
          <w:sz w:val="20"/>
          <w:szCs w:val="20"/>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Item 2: </w:t>
      </w:r>
      <w:hyperlink w:anchor="page37">
        <w:r>
          <w:rPr>
            <w:rFonts w:ascii="Arial" w:cs="Arial" w:eastAsia="Arial" w:hAnsi="Arial"/>
            <w:sz w:val="16"/>
            <w:szCs w:val="16"/>
            <w:u w:val="single" w:color="auto"/>
            <w:color w:val="0000EE"/>
          </w:rPr>
          <w:t>Management’s Discussion and Analysis of Financial Condition and Results of Operations</w:t>
        </w:r>
      </w:hyperlink>
    </w:p>
    <w:p>
      <w:pPr>
        <w:spacing w:after="0" w:line="200" w:lineRule="exact"/>
        <w:rPr>
          <w:sz w:val="20"/>
          <w:szCs w:val="20"/>
          <w:color w:val="auto"/>
        </w:rPr>
      </w:pPr>
    </w:p>
    <w:p>
      <w:pPr>
        <w:spacing w:after="0" w:line="39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58">
        <w:r>
          <w:rPr>
            <w:rFonts w:ascii="Arial" w:cs="Arial" w:eastAsia="Arial" w:hAnsi="Arial"/>
            <w:sz w:val="18"/>
            <w:szCs w:val="18"/>
            <w:u w:val="single" w:color="auto"/>
            <w:color w:val="0000EE"/>
          </w:rPr>
          <w:t>Quantitative and Qualitative Disclosures About Market Risk</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59">
        <w:r>
          <w:rPr>
            <w:rFonts w:ascii="Arial" w:cs="Arial" w:eastAsia="Arial" w:hAnsi="Arial"/>
            <w:sz w:val="18"/>
            <w:szCs w:val="18"/>
            <w:u w:val="single" w:color="auto"/>
            <w:color w:val="0000EE"/>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60">
        <w:r>
          <w:rPr>
            <w:rFonts w:ascii="Arial" w:cs="Arial" w:eastAsia="Arial" w:hAnsi="Arial"/>
            <w:sz w:val="18"/>
            <w:szCs w:val="18"/>
            <w:b w:val="1"/>
            <w:bCs w:val="1"/>
            <w:u w:val="single" w:color="auto"/>
            <w:color w:val="0000EE"/>
          </w:rPr>
          <w:t>PART II: OTHER INFORMATION</w:t>
        </w:r>
      </w:hyperlink>
    </w:p>
    <w:p>
      <w:pPr>
        <w:spacing w:after="0" w:line="200" w:lineRule="exact"/>
        <w:rPr>
          <w:sz w:val="20"/>
          <w:szCs w:val="20"/>
          <w:color w:val="auto"/>
        </w:rPr>
      </w:pPr>
    </w:p>
    <w:p>
      <w:pPr>
        <w:spacing w:after="0" w:line="24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61">
        <w:r>
          <w:rPr>
            <w:rFonts w:ascii="Arial" w:cs="Arial" w:eastAsia="Arial" w:hAnsi="Arial"/>
            <w:sz w:val="18"/>
            <w:szCs w:val="18"/>
            <w:u w:val="single" w:color="auto"/>
            <w:color w:val="0000EE"/>
          </w:rPr>
          <w:t>Legal Proceedings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61">
        <w:r>
          <w:rPr>
            <w:rFonts w:ascii="Arial" w:cs="Arial" w:eastAsia="Arial" w:hAnsi="Arial"/>
            <w:sz w:val="18"/>
            <w:szCs w:val="18"/>
            <w:u w:val="single" w:color="auto"/>
            <w:color w:val="0000EE"/>
          </w:rPr>
          <w:t>Risk Factors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61">
        <w:r>
          <w:rPr>
            <w:rFonts w:ascii="Arial" w:cs="Arial" w:eastAsia="Arial" w:hAnsi="Arial"/>
            <w:sz w:val="18"/>
            <w:szCs w:val="18"/>
            <w:u w:val="single" w:color="auto"/>
            <w:color w:val="0000EE"/>
          </w:rPr>
          <w:t>Unregistered Sales of Equity Securities and Use of Proceeds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61">
        <w:r>
          <w:rPr>
            <w:rFonts w:ascii="Arial" w:cs="Arial" w:eastAsia="Arial" w:hAnsi="Arial"/>
            <w:sz w:val="18"/>
            <w:szCs w:val="18"/>
            <w:u w:val="single" w:color="auto"/>
            <w:color w:val="0000EE"/>
          </w:rPr>
          <w:t>Other Information</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62">
        <w:r>
          <w:rPr>
            <w:rFonts w:ascii="Arial" w:cs="Arial" w:eastAsia="Arial" w:hAnsi="Arial"/>
            <w:sz w:val="18"/>
            <w:szCs w:val="18"/>
            <w:u w:val="single" w:color="auto"/>
            <w:color w:val="0000EE"/>
          </w:rPr>
          <w:t>Exhibits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34290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2</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36</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57</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59</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59</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59</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59</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60</w:t>
        </w:r>
      </w:hyperlink>
    </w:p>
    <w:p>
      <w:pPr>
        <w:spacing w:after="0" w:line="200" w:lineRule="exact"/>
        <w:rPr>
          <w:sz w:val="20"/>
          <w:szCs w:val="20"/>
          <w:color w:val="auto"/>
        </w:rPr>
      </w:pPr>
    </w:p>
    <w:p>
      <w:pPr>
        <w:sectPr>
          <w:pgSz w:w="11900" w:h="16838" w:orient="portrait"/>
          <w:cols w:equalWidth="0" w:num="2">
            <w:col w:w="9880" w:space="720"/>
            <w:col w:w="540"/>
          </w:cols>
          <w:pgMar w:left="240" w:top="125" w:right="519" w:bottom="1440" w:gutter="0" w:footer="0" w:header="0"/>
        </w:sect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60" w:type="dxa"/>
            <w:vAlign w:val="bottom"/>
          </w:tcPr>
          <w:p>
            <w:pPr>
              <w:spacing w:after="0"/>
              <w:rPr>
                <w:rFonts w:ascii="Arial" w:cs="Arial" w:eastAsia="Arial" w:hAnsi="Arial"/>
                <w:sz w:val="18"/>
                <w:szCs w:val="18"/>
                <w:b w:val="1"/>
                <w:bCs w:val="1"/>
                <w:color w:val="0000EE"/>
                <w:w w:val="98"/>
              </w:rPr>
            </w:pPr>
            <w:hyperlink w:anchor="page62">
              <w:r>
                <w:rPr>
                  <w:rFonts w:ascii="Arial" w:cs="Arial" w:eastAsia="Arial" w:hAnsi="Arial"/>
                  <w:sz w:val="18"/>
                  <w:szCs w:val="18"/>
                  <w:b w:val="1"/>
                  <w:bCs w:val="1"/>
                  <w:color w:val="0000EE"/>
                  <w:w w:val="98"/>
                </w:rPr>
                <w:t>SIGNATURE</w:t>
              </w:r>
            </w:hyperlink>
          </w:p>
        </w:tc>
        <w:tc>
          <w:tcPr>
            <w:tcW w:w="10040" w:type="dxa"/>
            <w:vAlign w:val="bottom"/>
            <w:gridSpan w:val="2"/>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r>
      <w:tr>
        <w:trPr>
          <w:trHeight w:val="20"/>
        </w:trPr>
        <w:tc>
          <w:tcPr>
            <w:tcW w:w="1060" w:type="dxa"/>
            <w:vAlign w:val="bottom"/>
            <w:shd w:val="clear" w:color="auto" w:fill="0000EE"/>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40"/>
          </w:cols>
          <w:pgMar w:left="240" w:top="125" w:right="51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0"/>
              </w:rPr>
              <w:t>Three Months Ended</w:t>
            </w:r>
          </w:p>
        </w:tc>
        <w:tc>
          <w:tcPr>
            <w:tcW w:w="400" w:type="dxa"/>
            <w:vAlign w:val="bottom"/>
          </w:tcPr>
          <w:p>
            <w:pPr>
              <w:spacing w:after="0"/>
              <w:rPr>
                <w:sz w:val="18"/>
                <w:szCs w:val="18"/>
                <w:color w:val="auto"/>
              </w:rPr>
            </w:pPr>
          </w:p>
        </w:tc>
        <w:tc>
          <w:tcPr>
            <w:tcW w:w="312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5"/>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gridSpan w:val="5"/>
          </w:tcPr>
          <w:p>
            <w:pPr>
              <w:ind w:left="100"/>
              <w:spacing w:after="0"/>
              <w:rPr>
                <w:sz w:val="20"/>
                <w:szCs w:val="20"/>
                <w:color w:val="auto"/>
              </w:rPr>
            </w:pPr>
            <w:r>
              <w:rPr>
                <w:rFonts w:ascii="Arial" w:cs="Arial" w:eastAsia="Arial" w:hAnsi="Arial"/>
                <w:sz w:val="18"/>
                <w:szCs w:val="18"/>
                <w:b w:val="1"/>
                <w:bCs w:val="1"/>
                <w:color w:val="auto"/>
              </w:rPr>
              <w:t>(in thousands, except per share data)</w:t>
            </w: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469,092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496,454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1,387,442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1,460,602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322,126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345,692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983,706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992,264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146,966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403,736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468,338</w:t>
            </w: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39,217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44,484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123,302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138,212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126,399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130,711</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31,118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36,542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103,195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114,629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23,730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33,096</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w:t>
            </w:r>
          </w:p>
        </w:tc>
        <w:tc>
          <w:tcPr>
            <w:tcW w:w="4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37"/>
        </w:trPr>
        <w:tc>
          <w:tcPr>
            <w:tcW w:w="42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119,758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134,304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366,940</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415,414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27,208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16,458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36,796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52,924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(13,966)</w:t>
            </w:r>
          </w:p>
        </w:tc>
        <w:tc>
          <w:tcPr>
            <w:tcW w:w="0" w:type="dxa"/>
            <w:vAlign w:val="bottom"/>
          </w:tcPr>
          <w:p>
            <w:pPr>
              <w:spacing w:after="0"/>
              <w:rPr>
                <w:sz w:val="1"/>
                <w:szCs w:val="1"/>
                <w:color w:val="auto"/>
              </w:rPr>
            </w:pPr>
          </w:p>
        </w:tc>
      </w:tr>
      <w:tr>
        <w:trPr>
          <w:trHeight w:val="291"/>
        </w:trPr>
        <w:tc>
          <w:tcPr>
            <w:tcW w:w="42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24,897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38,958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(19,673)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(11,679)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27,279</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w w:val="97"/>
              </w:rPr>
              <w:t>Net income attributable to noncontrolling interests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Itron, Inc.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26,313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 Basic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 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w w:val="95"/>
              </w:rPr>
              <w:t>Weighted average common shares outstanding - Basic</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38,114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39,213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38,329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39,268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Weighted average common shares outstanding - Diluted</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38,358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39,493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38,591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39,516</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25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13,325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(63,934)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(60,760)</w:t>
            </w:r>
          </w:p>
        </w:tc>
      </w:tr>
      <w:tr>
        <w:trPr>
          <w:trHeight w:val="229"/>
        </w:trPr>
        <w:tc>
          <w:tcPr>
            <w:tcW w:w="5160" w:type="dxa"/>
            <w:vAlign w:val="bottom"/>
          </w:tcPr>
          <w:p>
            <w:pPr>
              <w:ind w:left="200"/>
              <w:spacing w:after="0"/>
              <w:rPr>
                <w:sz w:val="20"/>
                <w:szCs w:val="20"/>
                <w:color w:val="auto"/>
              </w:rPr>
            </w:pPr>
            <w:r>
              <w:rPr>
                <w:rFonts w:ascii="Arial" w:cs="Arial" w:eastAsia="Arial" w:hAnsi="Arial"/>
                <w:sz w:val="18"/>
                <w:szCs w:val="18"/>
                <w:color w:val="auto"/>
                <w:w w:val="91"/>
              </w:rPr>
              <w:t>Foreign currency translation adjustment reclassified into net income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on disposal</w:t>
            </w: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Net unrealized gain (loss) on derivative instruments, designated as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flow hedges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Net hedging loss reclassified into net income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788</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Pension plan benefit liability adjustment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(14,801)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(48,893)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(61,029)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(60,003)</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(41,340)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(55,805)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(32,724)</w:t>
            </w:r>
          </w:p>
        </w:tc>
      </w:tr>
      <w:tr>
        <w:trPr>
          <w:trHeight w:val="209"/>
        </w:trPr>
        <w:tc>
          <w:tcPr>
            <w:tcW w:w="5160" w:type="dxa"/>
            <w:vAlign w:val="bottom"/>
          </w:tcPr>
          <w:p>
            <w:pPr>
              <w:ind w:left="200"/>
              <w:spacing w:after="0"/>
              <w:rPr>
                <w:sz w:val="20"/>
                <w:szCs w:val="20"/>
                <w:color w:val="auto"/>
              </w:rPr>
            </w:pPr>
            <w:r>
              <w:rPr>
                <w:rFonts w:ascii="Arial" w:cs="Arial" w:eastAsia="Arial" w:hAnsi="Arial"/>
                <w:sz w:val="18"/>
                <w:szCs w:val="18"/>
                <w:color w:val="auto"/>
                <w:w w:val="93"/>
              </w:rPr>
              <w:t>Comprehensive income attributable to noncontrolling interests, net</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of tax</w:t>
            </w: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966</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Itron, Inc.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(57,622)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(33,690)</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306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rPr>
              <w:t>ITRON, INC.</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gridSpan w:val="4"/>
          </w:tcPr>
          <w:p>
            <w:pPr>
              <w:jc w:val="center"/>
              <w:ind w:right="164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06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88"/>
              </w:rPr>
              <w:t>(in thousands)</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 2015</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2014</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266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2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112,371</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340,423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348,389</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154,504</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Deferred tax assets current, net</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35,975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39,115</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8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106,059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104,307</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current assets</w:t>
            </w:r>
          </w:p>
        </w:tc>
        <w:tc>
          <w:tcPr>
            <w:tcW w:w="28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806,152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758,686</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190,295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207,789</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 noncurrent, net</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74,598</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27,192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28,503</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139,909</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474,965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500,820</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8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1,670,201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1,710,305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507"/>
        </w:trPr>
        <w:tc>
          <w:tcPr>
            <w:tcW w:w="1280" w:type="dxa"/>
            <w:vAlign w:val="bottom"/>
          </w:tcPr>
          <w:p>
            <w:pPr>
              <w:spacing w:after="0"/>
              <w:rPr>
                <w:sz w:val="24"/>
                <w:szCs w:val="24"/>
                <w:color w:val="auto"/>
              </w:rPr>
            </w:pPr>
          </w:p>
        </w:tc>
        <w:tc>
          <w:tcPr>
            <w:tcW w:w="5720" w:type="dxa"/>
            <w:vAlign w:val="bottom"/>
            <w:gridSpan w:val="3"/>
          </w:tcPr>
          <w:p>
            <w:pPr>
              <w:jc w:val="right"/>
              <w:ind w:right="2210"/>
              <w:spacing w:after="0"/>
              <w:rPr>
                <w:sz w:val="20"/>
                <w:szCs w:val="20"/>
                <w:color w:val="auto"/>
              </w:rPr>
            </w:pPr>
            <w:r>
              <w:rPr>
                <w:rFonts w:ascii="Arial" w:cs="Arial" w:eastAsia="Arial" w:hAnsi="Arial"/>
                <w:sz w:val="18"/>
                <w:szCs w:val="18"/>
                <w:b w:val="1"/>
                <w:bCs w:val="1"/>
                <w:color w:val="auto"/>
              </w:rPr>
              <w:t>LIABILITIES AND EQUITY</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0"/>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184,132</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68,140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100,945</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95,248</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Taxes payable</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13,210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21,951</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Current portion of warranty</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40,060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21,063</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28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43,436</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28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471,955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496,775</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369,457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293,969</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warranty</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15,403</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Pension plan benefit liability</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94,100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101,432</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 noncurrent, net</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3,808</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81,628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84,437</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1,035,393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995,824</w:t>
            </w:r>
          </w:p>
        </w:tc>
      </w:tr>
      <w:tr>
        <w:trPr>
          <w:trHeight w:val="284"/>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84"/>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Preferred stock</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1,246,177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1,270,045</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(197,543)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(136,514)</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8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(433,184)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(436,591)</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Itron, Inc. shareholders' equity</w:t>
            </w:r>
          </w:p>
        </w:tc>
        <w:tc>
          <w:tcPr>
            <w:tcW w:w="28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615,450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696,940</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8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19,358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17,541</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equity</w:t>
            </w:r>
          </w:p>
        </w:tc>
        <w:tc>
          <w:tcPr>
            <w:tcW w:w="28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634,808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714,481</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30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1,670,201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1,710,305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13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138"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22860</wp:posOffset>
            </wp:positionV>
            <wp:extent cx="2238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58,514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75,233</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10,879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12,703</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prepaid debt fees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Deferred taxes, net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14,926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(9,787)</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Goodwill impairment</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Restructuring, non-cash</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adjustments,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(73,212)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(23,986)</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long-term assets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(1,396)</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other current liabilities, and taxes payable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19,669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Wages and benefits payable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6,717</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Warranty</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20,280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net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6,415</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20,154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116,538</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(32,060)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Business acquisitions, net of cash and cash equivalents acquired</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(5,754)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net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(38,533)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(32,253)</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borrowings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89,709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Payments on debt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(68,750)</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(35,278)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(15,324)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financing, net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2,395</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28,355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(79,355)</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(12,889)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(7,260)</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112,371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124,805</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109,458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122,475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Non-cash transactions: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Property, plant, and equipment purchased but not yet paid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832</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during the period for:</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Income taxes, net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22,578</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8,528</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net of amounts capitalized</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7,549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7,536</w:t>
            </w:r>
          </w:p>
        </w:tc>
      </w:tr>
      <w:tr>
        <w:trPr>
          <w:trHeight w:val="27"/>
        </w:trPr>
        <w:tc>
          <w:tcPr>
            <w:tcW w:w="7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Washington in 1977. We are a technology company, offering end-to-end smart metering solutions to electric, natural gas, and water utilities around the world.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condensed consolidated financial statements presented in this Quarterly Report on Form 10-Q are unaudited and reflect entries necessary for the fair presentation of the Consolidated Statements of Operations and the Consolidated Statements of Comprehensive Income (Loss) for the three and nine months ended September 30, 2015 and 2014, the Consolidated Balance Sheets as of September 30, 2015 and December 31, 2014, and the Consolidated Statements of Cash Flows for the nine months ended September 30, 2015 and 2014 of Itron, Inc. and its subsidiaries. All entries required for the fair presentation of the financial statements are of a normal recurring nature, except as disclosed.</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2014 audited financial statements and notes included in our Annual Report on Form 10-K filed with the SEC on February 20, 2015. The results of operations for the three and nine months ended September 30, 2015 are not necessarily indicative of the results expected for the full fiscal year or for any other fiscal period.</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50% or less ownership interest and exercise significant influence. Entities in which we have less than a 20% ownership interest and where we do not exercise significant influence are accounted for under the cost method. Intercompany transactions and balances are eliminated upon consolidation.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Noncontrolling Interests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several of our consolidated international subsidiaries, we have joint venture partners, who are minority shareholders. Although these entities are not wholly-owned by Itron, we consolidate them because we have a greater than 50% ownership interest or because we exercise control over the operations. The noncontrolling interest balance is adjusted each period to reflect the allocation of net income and other comprehensive income attributable to the noncontrolling interests, as shown in our Consolidated Statements of Operations and our Consolidated Statements of Comprehensive Income (Loss) as well as contributions from and distributions to the owners. The noncontrolling interest balance in our Consolidated Balance Sheets represents the proportional share of the equity of the joint venture entities, which is attributable to the minority shareholders.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Acquisition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August 26, 2015, we completed our acquisition of 100% of Temetra Limited (Temetra) in a stock purchase. Temetra is a technology company focused on meter data management and meter data collection in the water industry with a software-as-a-service business model. The acquisition strengthens Itron's data analytics capabilities and provides water utility customers with additional cloud-based technology options. The acquisition consisted of cash and contingent consideration. This acquisition is not considered significant to our financial position, results of operations, and cash flows. See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policy below.</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We record an allowance for doubtful accounts representing our estimate of the probable losses in accounts receivable at the date of the balance sheet based on our historical experience of bad debts and our specific review</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outstanding receivables. Accounts receivable are written-off against the allowance when we believe an account, or a portion thereof, is no longer collectible.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are determined using the fair value measurements of significant other observable inputs (Level 2), as defined by GAAP. 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any derivative designated as a fair value hedge, the changes in the fair value of the derivative and of the hedged item attributable to the hedged risk are recognized in earnings. For any derivative designated as a cash flow hedge, the effective portions of changes in the fair value of the derivative are recorded as a component of other comprehensive income (loss) (OCI) and are recognized in earnings when the hedged item affects earnings. Ineffective portions of cash flow hedges are recognized in other income (expense), net in the Consolidated Statements of Operations. For a hedge of a net investment, the effective portion of any unrealized gain or loss from the foreign currency revaluation of the hedging instrument is reported in OCI as a net unrealized gain or loss on derivative instruments. Upon termination of a net investment hedge, the net derivative gain/loss will remain in accumulated OCI until such time when earnings are impacted by a sale or liquidation of the associated operations. Ineffective portions of fair value changes or the changes in fair value of derivative instruments that do not qualify for hedging activities are recognized in other income (expense), net in the Consolidated Statements of Operations. We classify cash flows from our derivative programs as cash flows from operating activities in the Consolidated Statements of Cash Flows.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Derivatives are not used for trading or speculative purposes. Our derivative contract counterparties are credit-worthy multinational commercial banks, with whom we have master netting agreements; however, our derivative positions are not recorded on a net basis in the Consolidated Balance Sheets. There are no credit-risk-related contingent features within our derivative instruments. Refer to Note 7 and Note 13 for further disclosures of our derivative instruments and their impact on OCI.</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Property, plant, and equipment are stated at cost less accumulated depreciation. Depreciation is computed using the straight-line method over the estimated useful lives of the assets, generally 30 years for buildings and improvements and three to ten years for machinery and equipment, computers and software, and furniture. Leasehold improvements are capitalized and depreciated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Statements of Operations according to the use of the asset, except those gains and losses recognized in conjunction with our restructuring activities, which are classified within restructuring.</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Prepaid debt fees represent the capitalized direct costs incurred related to the issuance of debt and are recorded as noncurrent assets. These costs are amortized to interest expense over the terms of the respective borrowings, including contingent maturity or call features, using the effective interest method, or straight-line method when associated with a revolving credit facility. When debt is repaid early, the related portion of unamortized prepaid debt fees is written off and included in interest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the date of acquisition, the assets acquired, liabilities assumed, and any noncontrolling interests in the acquiree are recorded at their fair values. The acquiree's results of operations are also included as of the date of acquisition in our consolidated results. Intangible assets that arise from contractual/legal rights, or are capable of being separated, as well as in-process research and development (IPR&amp;D), are measured and recorded at fair value, and amortized over the estimated useful life. IPR&amp;D is not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amortized until such time as the associated development projects are completed or terminated. If a development project is completed, the IPR&amp;D is reclassified as a core technology intangible asset and amortized over its estimated useful life. If the development project is terminated, the recorded value of the associated IPR&amp;D is immediately expensed.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The residual balance of the purchase price, after fair value allocations to all identified assets and liabilities, represents goodwill. Acquisition-related costs are expensed as incurred. Restructuring costs associated with an acquisition are generally expensed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 us to recognize the fair value of the estimated liability at the time of the acquisition. Subsequent changes in the estimate of the amount to be paid under the contingent consideration arrangement are recognized in the Consolidated Statements of Operations. Cash payments for contingent or deferred consideration are classified within cash flows from investing activities within the Consolidated Statements of Cash Flows.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and intangible assets may result from our business acquisitions. Intangible assets may also result from the purchase of assets and intellectual property in a transaction that does not qualify as a business combination.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IPR&amp;D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Each reporting unit corresponds with its respective operating segment, effective in the fourth quarter of 2013.</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annual financial and nonfinancial targets. If management determines it is probable that the targets will be achieved, and the amounts can be reasonably estimated, a compensation accrual is recorded based on the proportional achievement of the financial and nonfinancial targets. Although we monitor and accrue expenses quarterly based on our progress toward the achievement of the annual targets,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at the end of the year may result in awards that are significantly greater or less than the estimates made in earlier quarters.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recorded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termination of a contract in accordance with the contract terms or the cessation of the use of the rights conveyed by the contract, whichever occurs later.</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impairments associated with a restructuring project are determined at the asset group level. An impairment may be recorded for assets that are to be abandoned, are to be sold for less than net book value, or are held for sale in which the estimated proceeds less costs to sell are less than the net book value.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recorded within restructuring in the Consolidated Statements of Operations.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both funded and unfunded defined benefit pension plans for certain international employees.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Repurchase Plan</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From time to time, we may repurchase shares of common stock under programs authorized by our Board of Directors. Share repurchases are made in the open market or in privately negotiated transactions and in accordance with applicable securities laws. Under applicable Washington State law, shares repurchased are retired and not reported separately as treasury stock on the financial statements; the value of the repurchased shares is deducted from common stock.</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 arrangement exists, (2) delivery has occurred or services have been rendered, (3) the sales price is fixed or determinable, and (4) collectability is reasonably assured.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majority of our revenue arrangements involve multiple deliverables, which combine two or more of the following: hardware, meter reading system software, installation, and/or project management services. Revenue arrangements with multiple deliverables are divided into separate units of accounting if the delivered item(s) has value to the customer on a standalone basis and delivery/performance of the undelivered item(s) is probable. The total arrangement consideration is allocated among the separate units of accounting based on their relative selling prices and the applicable revenue recognition criteria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 loss. The majority of our revenue is recognized when products are shipped to or received by a customer or when services are provided.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Hardware revenues are recognized at the time of shipment, receipt by the customer, or, if applicable, upon completion of customer acceptance provisions.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Generally, network software revenue is recognized when shipped if all other revenue recognition criteria are met and services are not essential to the functionality of the software. If implementation services are essential to the functionality of the network software, software and implementation revenues are recognized using the percentage-of-completion methodology of contract accounting when project costs are reliably estimated.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data collection system does not use standard Internet protocols and network design services are deemed complex and extensive, revenue from network software and services is recognized using the units-of-delivery method of contract accounting, as network design services and network software are essential to the functionality of the related hardware (network). This methodology results in the deferral of costs and revenues as professional services and software implementation commence prior to deployment of hardware.</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unusual instances when we are unable to reliably estimate the cost to complete a contract at its inception, we use the completed contract method of contract accounting. Revenues and costs are recognized upon substantial completion when remaining costs are insignificant and potential risks are minimal.</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contract accounting, if we estimate that the completion of a contract component (unit of accounting) will result in a loss, the loss is recognized in the period in which the loss becomes evident. We reevaluate the estimated loss through the completion of the contract component and adjust the estimated loss for changes in facts and circumstances.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customer arrangements contain clauses for liquidated damages, related to the timing of delivery or milestone accomplishments, that could become material in an event of failure to meet the contractual deadlines. At the inception of the arrangement and on an ongoing basis, we evaluate if the liquidating damages represent contingent revenue and, if so, we reduce the amount of consideration allocated to the delivered products and services and record it as a reduction in revenue in the period of default. If the arrangement is subject to contract accounting, liquidated damages resulting from anticipated events of default are estimated and are accounted for as job costs in the period in which the liquidated damages are deemed probable of occurrence and are reasonably estimable.</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enter into multiple deliverable software arrangements that do not include hardware. For this type of arrangement, revenue recognition is dependent upon the availability of vendor specific objective evidence (VSOE) of fair value for each of the deliverables. The lack of VSOE, or the existence of extended payment terms or other inherent risks, may affect the timing of revenue recognition for multiple deliverable software arrangements.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allocate consideration to each deliverable in an arrangement based on its relative selling price. We determine selling price using VSOE, if it exists, otherwise we use third 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to determine the price at which we would transact if the product or service were regularly sold by us on a standalone basis. Our determination of ESP involves a weighting of several factors based on the specific facts and circumstances of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arrangement. The factors considered include the cost to produce the deliverable, the anticipated margin on that deliverable, our ongoing pricing strategy and policies, and the characteristics of the varying markets in which the deliverable is sold.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Unearned revenue is recorded when a customer pays for products or services, but the criteria for revenue recognition have not been met as of the balance sheet date. Unearned revenues of $78.2 million and $76.6 million at September 30, 2015 and December 31, 2014 related primarily to professional services and software associated with our smart metering contracts, extended or noncustomary warranty, and prepaid post-contract support. Deferred costs are recorded for products or services for which ownership (typically defined as title and risk of loss) has transferred to the customer, but the criteria for revenue recognition have not been met as of the balance sheet date. Deferred costs were $11.7 million and $24.9 million at September 30, 2015 and December 31, 2014 and are recorded within other assets in the Consolidated Balance Sheets.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Hardware and software post-sale maintenance support fees are recognized ratably over the life of the related service contract. Shipping and handling costs and incidental expenses billed to customers are recorded as revenue, with the associated cost charged to cost of revenues. We record sales, use, and value added taxes billed to our customers on a net basis.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We do not capitalize product development costs, and we do not generally capitalize software development expenses as the costs incurred are immaterial for the relatively short period of time between technological feasibility and the completion of software development.</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measure and recognize compensation expense for all stock-based awards made to employees and directors, including stock options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term. For performance-based restricted stock units and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performance and service conditions, if vesting is probable, we expense the stock-based compensation, adjusted for estimated forfeitures, on a straight-line basis over the requisite service period for each separately vesting portion of the award. For awards with a market condition, we expense the fair value over the requisite service period.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employees are eligible to participate in our Employee Stock Purchase Plan (ESPP). The discount provided for ESPP purchases is 5% from the fair market value of the stock at the end of each fiscal quarter and is not considered compensatory.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compute our interim income tax provision through the use of an estimated annual effective tax rate (ETR) applied to year-to-date operating results and specific events that are discretely recognized as they occur. In calculating the estimated annual ETR, we analyze various factors, including the forecast mix of earnings in domestic and international jurisdictions, new or revised tax legislation and accounting pronouncements, tax credits, state income taxes, adjustments to valuation allowances, and uncertain tax positions, among other items. Discrete items, including the effect of changes in tax laws, tax rates, and certain circumstances with respect to valuation allowances or other unusual or non-recurring tax adjustments, are reflected in the period in which they occur as an addition to, or reduction from, the income tax provision, rather than included in the estimated annual ETR.</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Deferred tax assets and liabilities are recognized based upon anticipated future tax consequences, in each of the jurisdictions in which we operate, attributable to: (1) the differences between the financial statement carrying amounts of existing assets and liabilities and their respective income tax bases; and</w:t>
      </w:r>
    </w:p>
    <w:p>
      <w:pPr>
        <w:jc w:val="both"/>
        <w:ind w:right="20" w:firstLine="8"/>
        <w:spacing w:after="0" w:line="302" w:lineRule="auto"/>
        <w:tabs>
          <w:tab w:leader="none" w:pos="258"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loss and tax credit carryforwards. Deferred tax assets and liabilities are measured using enacted tax rates expected to apply to taxable income in the years in which those temporary differences are expected to be recovered or settled. The calculation of our tax liabilities involves applying complex tax regulations in different jurisdictions to our tax positions. The effect on deferred tax assets and liabilities of a change in tax rates is recognized in the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that includes the enactment date. A valuation allowance is recorded to reduce the carrying amount of deferred tax assets if it is more likely than not that such assets will not be realized. We do not record tax liabilities on undistributed earnings of international subsidiaries that are permanently reinvested.</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utilize a two step approach to account for uncertain tax positions. A tax position is first evaluated for recognition based on its technical merits. Tax positions that have a greater than 50% likelihood of being realized upon ultimate settlement are then measured to determine amounts to be recognized in the financial statements. This measurement incorporates information about potential settlements with taxing authorities. A previously recognized tax position is derecognized in the first period in which the position no longer meets the recognition threshold or upon expiration of the statute of limitations. We classify interest expense and penalties related to uncertain tax positions and interest income on tax overpayments as part of income tax expense.</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 weighted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(ASU 2014-09), to supersede nearly all existing revenue recognition guidance under U.S. GAAP. The core principle of ASU 2014-09 is</w:t>
      </w:r>
      <w:r>
        <w:rPr>
          <w:rFonts w:ascii="Arial" w:cs="Arial" w:eastAsia="Arial" w:hAnsi="Arial"/>
          <w:sz w:val="16"/>
          <w:szCs w:val="16"/>
          <w:i w:val="1"/>
          <w:iCs w:val="1"/>
          <w:color w:val="auto"/>
        </w:rPr>
        <w:t xml:space="preserve"> </w:t>
      </w:r>
      <w:r>
        <w:rPr>
          <w:rFonts w:ascii="Arial" w:cs="Arial" w:eastAsia="Arial" w:hAnsi="Arial"/>
          <w:sz w:val="16"/>
          <w:szCs w:val="16"/>
          <w:color w:val="auto"/>
        </w:rPr>
        <w:t>to recognize revenues when promised goods or services are transferred to customers in an amount that reflects the consideration that is expected to be received for those goods or services. ASU 2014-09 is effective for us on January 1, 2018 using either the retrospective or modified-retrospective transition method. We are currently evaluating the impact of our pending adoption of ASU 2014-09 on our consolidated financial statements.</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April 7, 2015, the FASB issued ASU 2015-03, </w:t>
      </w:r>
      <w:r>
        <w:rPr>
          <w:rFonts w:ascii="Arial" w:cs="Arial" w:eastAsia="Arial" w:hAnsi="Arial"/>
          <w:sz w:val="18"/>
          <w:szCs w:val="18"/>
          <w:i w:val="1"/>
          <w:iCs w:val="1"/>
          <w:color w:val="auto"/>
        </w:rPr>
        <w:t>Interest - Imputation of Interest (Subtopic 835-30) - Simplifying the Presentation of Debt Issuance Costs</w:t>
      </w:r>
      <w:r>
        <w:rPr>
          <w:rFonts w:ascii="Arial" w:cs="Arial" w:eastAsia="Arial" w:hAnsi="Arial"/>
          <w:sz w:val="18"/>
          <w:szCs w:val="18"/>
          <w:color w:val="auto"/>
        </w:rPr>
        <w:t xml:space="preserve"> (ASU 2015-03), which will require debt issuance costs to be presented in the balance sheet as a direct deduction from the associated debt liability. ASU 2015-03 is effective for us on January 1, 2016 using the retrospective or transition method, and we plan to adopt on that date. We do not anticipate that ASU 2015-03 will have a material impact to our balance sheet.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April 2015, the FASB issued ASU 2015-05, </w:t>
      </w:r>
      <w:r>
        <w:rPr>
          <w:rFonts w:ascii="Arial" w:cs="Arial" w:eastAsia="Arial" w:hAnsi="Arial"/>
          <w:sz w:val="18"/>
          <w:szCs w:val="18"/>
          <w:i w:val="1"/>
          <w:iCs w:val="1"/>
          <w:color w:val="auto"/>
        </w:rPr>
        <w:t>Intangibles - Goodwill and Other - Internal-Use Software (Subtopic 350-40), Customer's Accounting for Fees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Paid in a Cloud Computing Arrangement </w:t>
      </w:r>
      <w:r>
        <w:rPr>
          <w:rFonts w:ascii="Arial" w:cs="Arial" w:eastAsia="Arial" w:hAnsi="Arial"/>
          <w:sz w:val="18"/>
          <w:szCs w:val="18"/>
          <w:color w:val="auto"/>
        </w:rPr>
        <w:t>(ASU 2015-05), which provides guidance about whether a cloud computing arrangement includes a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ASU 2015-05 is effective for us on January 1, 2016. We are currently evaluating the impact of adopting this guidance.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 Simplifying the Measurement of Inventory</w:t>
      </w:r>
      <w:r>
        <w:rPr>
          <w:rFonts w:ascii="Arial" w:cs="Arial" w:eastAsia="Arial" w:hAnsi="Arial"/>
          <w:sz w:val="18"/>
          <w:szCs w:val="18"/>
          <w:color w:val="auto"/>
        </w:rPr>
        <w:t xml:space="preserve"> (ASU 2015-11). The amendments in ASU 2015-11 apply to inventory measured using first-in, first-out (FIFO) or average cost and will require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entities to measure inventory at the lower of cost or net realizable value. Net realizable value is the estimated selling price in the normal course of business, minus the cost of completion, disposal and transportation. Replacement cost and net realizable value less a normal profit margin will no longer be considered. ASU 2015-11 is effective for us on January 1, 2017. The adoption of this guidance is not expected to have a material impact on our consolidated financial statements.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September 2015, the FASB issued ASU 2015-16, </w:t>
      </w:r>
      <w:r>
        <w:rPr>
          <w:rFonts w:ascii="Arial" w:cs="Arial" w:eastAsia="Arial" w:hAnsi="Arial"/>
          <w:sz w:val="17"/>
          <w:szCs w:val="17"/>
          <w:i w:val="1"/>
          <w:iCs w:val="1"/>
          <w:color w:val="auto"/>
        </w:rPr>
        <w:t>Business Combinations (Topic 805) - Simplifying the Accounting for Measurement-Period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Adjustments. </w:t>
      </w:r>
      <w:r>
        <w:rPr>
          <w:rFonts w:ascii="Arial" w:cs="Arial" w:eastAsia="Arial" w:hAnsi="Arial"/>
          <w:sz w:val="17"/>
          <w:szCs w:val="17"/>
          <w:color w:val="auto"/>
        </w:rPr>
        <w:t>The amendments in this update require that an acquirer recognize adjustments to provisional amounts that are identified during the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period with a corresponding adjustment to goodwill in the reporting period in which the adjustment amounts are determined. The effect on earnings of changes in depreciation, amortization or other income effects, if any, as a result of the change to the provisional amounts will be recorded in the same period’s financial statements, calculated as if the accounting had been completed at the acquisition date. This ASU is effective for fiscal years beginning after December 15, 2015, and early adoption is permitted. The amendments in this update should be applied prospectively to adjustments to provisional amounts that occur after the effective date of this update with earlier application permitted for financial statements that have not been issued. We adopted this ASU on October 1, 2015, and we do not anticipate a material impact from adoption.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 and Capital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6"/>
                <w:szCs w:val="16"/>
                <w:b w:val="1"/>
                <w:bCs w:val="1"/>
                <w:color w:val="auto"/>
              </w:rPr>
              <w:t>(in thousands, except per share data)</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available to common shareholders</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12,695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26,313</w:t>
            </w:r>
          </w:p>
        </w:tc>
      </w:tr>
      <w:tr>
        <w:trPr>
          <w:trHeight w:val="270"/>
        </w:trPr>
        <w:tc>
          <w:tcPr>
            <w:tcW w:w="4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38,114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39,268</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Dilutive effect of stock-based awards</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248</w:t>
            </w: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38,358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39,516</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Earnings per common share - Basic</w:t>
            </w: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0.67</w:t>
            </w:r>
          </w:p>
        </w:tc>
      </w:tr>
      <w:tr>
        <w:trPr>
          <w:trHeight w:val="73"/>
        </w:trPr>
        <w:tc>
          <w:tcPr>
            <w:tcW w:w="47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242"/>
        </w:trPr>
        <w:tc>
          <w:tcPr>
            <w:tcW w:w="47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Earnings per common share - Diluted</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Approximately 1.1 million and 1.2 million stock-based awards were excluded from the calculation of diluted EPS for the three and nine months ended September 30, 2015, and 2014 because they were anti-dilutive. These stock-based awards could be dilutive in future periods.</w:t>
      </w:r>
    </w:p>
    <w:p>
      <w:pPr>
        <w:spacing w:after="0" w:line="19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280" w:type="dxa"/>
            <w:vAlign w:val="bottom"/>
          </w:tcPr>
          <w:p>
            <w:pPr>
              <w:spacing w:after="0"/>
              <w:rPr>
                <w:sz w:val="20"/>
                <w:szCs w:val="20"/>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2015</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Trade receivables (net of allowance of $4,959 and $6,195)</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298,895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312,302</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280" w:type="dxa"/>
            <w:vAlign w:val="bottom"/>
          </w:tcPr>
          <w:p>
            <w:pPr>
              <w:spacing w:after="0"/>
              <w:rPr>
                <w:sz w:val="20"/>
                <w:szCs w:val="20"/>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41,528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36,087</w:t>
            </w:r>
          </w:p>
        </w:tc>
      </w:tr>
      <w:tr>
        <w:trPr>
          <w:trHeight w:val="33"/>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340,423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348,389</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September 30, 2015 and December 31, 2014, $4.5 million and $4.7 million, respectively, were recorded within trade receivables as billed but not yet paid by customers, in accordance with contract retainage provisions. At September 30, 2015 and December 31, 2014, contract retainage amounts that were unbilled and classified as unbilled receivables were $4.7 million and $4.0 million, respectively. These contract retainage amounts within trade receivables and unbilled receivables are expected to be collected within the following 12 months.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2015 and December 31, 2014, long-term unbilled receivables totaled $3.8 million and $4.3 million, respectively. These long-term unbilled receivables are classified within other long-term assets, as collection is not anticipated within the following 12 months. We had no long-term billed contract retainage receivables at September 30, 2015 and December 31, 2014.</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accounts activity</w:t>
            </w:r>
          </w:p>
        </w:tc>
        <w:tc>
          <w:tcPr>
            <w:tcW w:w="30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7"/>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Beginning balance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7,355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8,368</w:t>
            </w:r>
          </w:p>
        </w:tc>
      </w:tr>
      <w:tr>
        <w:trPr>
          <w:trHeight w:val="237"/>
        </w:trPr>
        <w:tc>
          <w:tcPr>
            <w:tcW w:w="4240" w:type="dxa"/>
            <w:vAlign w:val="bottom"/>
          </w:tcPr>
          <w:p>
            <w:pPr>
              <w:ind w:left="540"/>
              <w:spacing w:after="0"/>
              <w:rPr>
                <w:sz w:val="20"/>
                <w:szCs w:val="20"/>
                <w:color w:val="auto"/>
              </w:rPr>
            </w:pPr>
            <w:r>
              <w:rPr>
                <w:rFonts w:ascii="Arial" w:cs="Arial" w:eastAsia="Arial" w:hAnsi="Arial"/>
                <w:sz w:val="16"/>
                <w:szCs w:val="16"/>
                <w:color w:val="auto"/>
              </w:rPr>
              <w:t>Provision (release) for doubtful accounts, net</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(545)</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written-off</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r>
      <w:tr>
        <w:trPr>
          <w:trHeight w:val="237"/>
        </w:trPr>
        <w:tc>
          <w:tcPr>
            <w:tcW w:w="4240" w:type="dxa"/>
            <w:vAlign w:val="bottom"/>
          </w:tcPr>
          <w:p>
            <w:pPr>
              <w:ind w:left="540"/>
              <w:spacing w:after="0"/>
              <w:rPr>
                <w:sz w:val="20"/>
                <w:szCs w:val="20"/>
                <w:color w:val="auto"/>
              </w:rPr>
            </w:pPr>
            <w:r>
              <w:rPr>
                <w:rFonts w:ascii="Arial" w:cs="Arial" w:eastAsia="Arial" w:hAnsi="Arial"/>
                <w:sz w:val="16"/>
                <w:szCs w:val="16"/>
                <w:color w:val="auto"/>
              </w:rPr>
              <w:t>Effect of change in exchange rates</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Ending balance</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4,959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6,524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6,524</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Inventories</w:t>
            </w:r>
          </w:p>
        </w:tc>
        <w:tc>
          <w:tcPr>
            <w:tcW w:w="280" w:type="dxa"/>
            <w:vAlign w:val="bottom"/>
          </w:tcPr>
          <w:p>
            <w:pPr>
              <w:spacing w:after="0"/>
              <w:rPr>
                <w:sz w:val="20"/>
                <w:szCs w:val="20"/>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2015</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123,730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90,557</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280" w:type="dxa"/>
            <w:vAlign w:val="bottom"/>
          </w:tcPr>
          <w:p>
            <w:pPr>
              <w:spacing w:after="0"/>
              <w:rPr>
                <w:sz w:val="20"/>
                <w:szCs w:val="20"/>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10,193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8,991</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80,314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54,956</w:t>
            </w:r>
          </w:p>
        </w:tc>
      </w:tr>
      <w:tr>
        <w:trPr>
          <w:trHeight w:val="244"/>
        </w:trPr>
        <w:tc>
          <w:tcPr>
            <w:tcW w:w="674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214,237</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154,504</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inventory levels may vary from period to period as a result of our factory scheduling and the timing of contract fulfillments, which may include the buildup of materials in preparation for customer orders or finished goods for shipment.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Consigned inventory is held at third party locations; however, we retain title to the inventory until it is purchased by the third party. Consigned inventory, consisting of raw materials and finished goods, was $3.0 million and $2.5 million at September 30, 2015 and December 31, 2014, respectively.</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280" w:type="dxa"/>
            <w:vAlign w:val="bottom"/>
          </w:tcPr>
          <w:p>
            <w:pPr>
              <w:spacing w:after="0"/>
              <w:rPr>
                <w:sz w:val="20"/>
                <w:szCs w:val="20"/>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2015</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278,609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287,448</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Computers and software</w:t>
            </w:r>
          </w:p>
        </w:tc>
        <w:tc>
          <w:tcPr>
            <w:tcW w:w="280" w:type="dxa"/>
            <w:vAlign w:val="bottom"/>
          </w:tcPr>
          <w:p>
            <w:pPr>
              <w:spacing w:after="0"/>
              <w:rPr>
                <w:sz w:val="20"/>
                <w:szCs w:val="20"/>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107,328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100,212</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134,461</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Land</w:t>
            </w:r>
          </w:p>
        </w:tc>
        <w:tc>
          <w:tcPr>
            <w:tcW w:w="280" w:type="dxa"/>
            <w:vAlign w:val="bottom"/>
          </w:tcPr>
          <w:p>
            <w:pPr>
              <w:spacing w:after="0"/>
              <w:rPr>
                <w:sz w:val="20"/>
                <w:szCs w:val="20"/>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20,758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21,186</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24,784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21,007</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cost</w:t>
            </w:r>
          </w:p>
        </w:tc>
        <w:tc>
          <w:tcPr>
            <w:tcW w:w="28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561,488</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564,314</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(371,193)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(356,525)</w:t>
            </w:r>
          </w:p>
        </w:tc>
      </w:tr>
      <w:tr>
        <w:trPr>
          <w:trHeight w:val="244"/>
        </w:trPr>
        <w:tc>
          <w:tcPr>
            <w:tcW w:w="6740" w:type="dxa"/>
            <w:vAlign w:val="bottom"/>
          </w:tcPr>
          <w:p>
            <w:pPr>
              <w:ind w:left="10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190,295</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207,789</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of our international subsidiaries are recorded in their respective functional currency; therefore, the carrying amounts of these assets increase or decrease, with a corresponding change in accumulated OCI, due to changes in foreign currency exchange rates. In addition, depreciation expense is impacted by the fluctuations in foreign exchange rates.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320" w:type="dxa"/>
            <w:vAlign w:val="bottom"/>
          </w:tcPr>
          <w:p>
            <w:pPr>
              <w:spacing w:after="0"/>
              <w:rPr>
                <w:sz w:val="20"/>
                <w:szCs w:val="20"/>
                <w:color w:val="auto"/>
              </w:rPr>
            </w:pPr>
          </w:p>
        </w:tc>
        <w:tc>
          <w:tcPr>
            <w:tcW w:w="338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20"/>
                <w:szCs w:val="20"/>
                <w:color w:val="auto"/>
              </w:rPr>
            </w:pPr>
          </w:p>
        </w:tc>
        <w:tc>
          <w:tcPr>
            <w:tcW w:w="30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7"/>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11,885</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13,691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34,784</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42,118</w:t>
            </w:r>
          </w:p>
        </w:tc>
      </w:tr>
      <w:tr>
        <w:trPr>
          <w:trHeight w:val="33"/>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gridSpan w:val="4"/>
          </w:tcPr>
          <w:p>
            <w:pPr>
              <w:ind w:left="100"/>
              <w:spacing w:after="0"/>
              <w:rPr>
                <w:sz w:val="20"/>
                <w:szCs w:val="20"/>
                <w:color w:val="auto"/>
              </w:rPr>
            </w:pPr>
            <w:r>
              <w:rPr>
                <w:rFonts w:ascii="Arial" w:cs="Arial" w:eastAsia="Arial" w:hAnsi="Arial"/>
                <w:sz w:val="16"/>
                <w:szCs w:val="16"/>
                <w:b w:val="1"/>
                <w:bCs w:val="1"/>
                <w:color w:val="auto"/>
              </w:rPr>
              <w:t>September 30, 2015</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2014</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Gross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w:t>
            </w:r>
          </w:p>
        </w:tc>
        <w:tc>
          <w:tcPr>
            <w:tcW w:w="180" w:type="dxa"/>
            <w:vAlign w:val="bottom"/>
          </w:tcPr>
          <w:p>
            <w:pPr>
              <w:spacing w:after="0"/>
              <w:rPr>
                <w:sz w:val="18"/>
                <w:szCs w:val="18"/>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Net</w:t>
            </w:r>
          </w:p>
        </w:tc>
      </w:tr>
      <w:tr>
        <w:trPr>
          <w:trHeight w:val="33"/>
        </w:trPr>
        <w:tc>
          <w:tcPr>
            <w:tcW w:w="2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392,667</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(357,007)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405,434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45,934</w:t>
            </w: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242,627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(168,552)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74,075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262,930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(172,755)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90,175</w:t>
            </w:r>
          </w:p>
        </w:tc>
      </w:tr>
      <w:tr>
        <w:trPr>
          <w:trHeight w:val="33"/>
        </w:trPr>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64,808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3,300</w:t>
            </w: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11,131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11,579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500</w:t>
            </w:r>
          </w:p>
        </w:tc>
      </w:tr>
      <w:tr>
        <w:trPr>
          <w:trHeight w:val="33"/>
        </w:trPr>
        <w:tc>
          <w:tcPr>
            <w:tcW w:w="2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8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711,233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(599,466)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111,767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748,148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(608,239)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139,909</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 activity is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88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September 30,</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8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38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748,148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804,281</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Intangible assets acquired</w:t>
            </w:r>
          </w:p>
        </w:tc>
        <w:tc>
          <w:tcPr>
            <w:tcW w:w="1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4,827</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1,453</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Intangible assets impaired</w:t>
            </w:r>
          </w:p>
        </w:tc>
        <w:tc>
          <w:tcPr>
            <w:tcW w:w="1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(41,245)</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(35,742)</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intangible assets, gross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711,233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769,992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impaired includes purchased software licenses to be sold to others. This amount was expensed as part of cost of revenues in the Consolidated Statement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Intangible assets acquired in 2015 are based on the preliminary purchase price allocation relating to our acquisition of Temetra. Refer to Note 5 for additional information regarding this acquisition. The following table reflects our preliminary allocation of purchase price for intangible assets acquired on August 26, 2015:</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b w:val="1"/>
                <w:bCs w:val="1"/>
                <w:color w:val="auto"/>
              </w:rPr>
              <w:t>Fair Value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Weighted Average Useful Life</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right"/>
              <w:ind w:right="739"/>
              <w:spacing w:after="0"/>
              <w:rPr>
                <w:sz w:val="20"/>
                <w:szCs w:val="20"/>
                <w:color w:val="auto"/>
              </w:rPr>
            </w:pPr>
            <w:r>
              <w:rPr>
                <w:rFonts w:ascii="Arial" w:cs="Arial" w:eastAsia="Arial" w:hAnsi="Arial"/>
                <w:sz w:val="16"/>
                <w:szCs w:val="16"/>
                <w:b w:val="1"/>
                <w:bCs w:val="1"/>
                <w:color w:val="auto"/>
              </w:rPr>
              <w:t>(in years)</w:t>
            </w: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Identified intangible assets</w:t>
            </w:r>
          </w:p>
        </w:tc>
        <w:tc>
          <w:tcPr>
            <w:tcW w:w="17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Core-developed technology</w:t>
            </w:r>
          </w:p>
        </w:tc>
        <w:tc>
          <w:tcPr>
            <w:tcW w:w="1720" w:type="dxa"/>
            <w:vAlign w:val="bottom"/>
          </w:tcPr>
          <w:p>
            <w:pPr>
              <w:jc w:val="right"/>
              <w:ind w:right="15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4,378</w:t>
            </w:r>
          </w:p>
        </w:tc>
        <w:tc>
          <w:tcPr>
            <w:tcW w:w="1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Customer contracts and relationships</w:t>
            </w:r>
          </w:p>
        </w:tc>
        <w:tc>
          <w:tcPr>
            <w:tcW w:w="17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Trademarks and trade names</w:t>
            </w:r>
          </w:p>
        </w:tc>
        <w:tc>
          <w:tcPr>
            <w:tcW w:w="17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7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6740" w:type="dxa"/>
            <w:vAlign w:val="bottom"/>
          </w:tcPr>
          <w:p>
            <w:pPr>
              <w:ind w:left="600"/>
              <w:spacing w:after="0"/>
              <w:rPr>
                <w:sz w:val="20"/>
                <w:szCs w:val="20"/>
                <w:color w:val="auto"/>
              </w:rPr>
            </w:pPr>
            <w:r>
              <w:rPr>
                <w:rFonts w:ascii="Arial" w:cs="Arial" w:eastAsia="Arial" w:hAnsi="Arial"/>
                <w:sz w:val="16"/>
                <w:szCs w:val="16"/>
                <w:color w:val="auto"/>
              </w:rPr>
              <w:t>Total identified intangible assets subject to amortization</w:t>
            </w:r>
          </w:p>
        </w:tc>
        <w:tc>
          <w:tcPr>
            <w:tcW w:w="1720" w:type="dxa"/>
            <w:vAlign w:val="bottom"/>
            <w:tcBorders>
              <w:top w:val="single" w:sz="8" w:color="auto"/>
            </w:tcBorders>
          </w:tcPr>
          <w:p>
            <w:pPr>
              <w:jc w:val="right"/>
              <w:ind w:right="15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4,827</w:t>
            </w:r>
          </w:p>
        </w:tc>
        <w:tc>
          <w:tcPr>
            <w:tcW w:w="120" w:type="dxa"/>
            <w:vAlign w:val="bottom"/>
          </w:tcPr>
          <w:p>
            <w:pPr>
              <w:spacing w:after="0"/>
              <w:rPr>
                <w:sz w:val="18"/>
                <w:szCs w:val="18"/>
                <w:color w:val="auto"/>
              </w:rPr>
            </w:pP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Intangible assets of our international subsidiaries are recorded in their respective functional currency; therefore, the carrying amounts and accumulated amortization of intangible assets increase or decrease, with a corresponding change in accumulated OCI, due to changes in foreign currency exchange rates. Amortization expense is scheduled to decrease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expense is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center"/>
              <w:ind w:right="239"/>
              <w:spacing w:after="0"/>
              <w:rPr>
                <w:sz w:val="20"/>
                <w:szCs w:val="20"/>
                <w:color w:val="auto"/>
              </w:rPr>
            </w:pPr>
            <w:r>
              <w:rPr>
                <w:rFonts w:ascii="Arial" w:cs="Arial" w:eastAsia="Arial" w:hAnsi="Arial"/>
                <w:sz w:val="16"/>
                <w:szCs w:val="16"/>
                <w:b w:val="1"/>
                <w:bCs w:val="1"/>
                <w:color w:val="auto"/>
                <w:w w:val="91"/>
              </w:rPr>
              <w:t>Estimated Annual</w:t>
            </w:r>
          </w:p>
        </w:tc>
      </w:tr>
      <w:tr>
        <w:trPr>
          <w:trHeight w:val="210"/>
        </w:trPr>
        <w:tc>
          <w:tcPr>
            <w:tcW w:w="9160" w:type="dxa"/>
            <w:vAlign w:val="bottom"/>
          </w:tcPr>
          <w:p>
            <w:pPr>
              <w:ind w:left="40"/>
              <w:spacing w:after="0"/>
              <w:rPr>
                <w:sz w:val="20"/>
                <w:szCs w:val="20"/>
                <w:color w:val="auto"/>
              </w:rPr>
            </w:pPr>
            <w:r>
              <w:rPr>
                <w:rFonts w:ascii="Arial" w:cs="Arial" w:eastAsia="Arial" w:hAnsi="Arial"/>
                <w:sz w:val="16"/>
                <w:szCs w:val="16"/>
                <w:b w:val="1"/>
                <w:bCs w:val="1"/>
                <w:color w:val="auto"/>
              </w:rPr>
              <w:t>Years ending December 31,</w:t>
            </w:r>
          </w:p>
        </w:tc>
        <w:tc>
          <w:tcPr>
            <w:tcW w:w="300" w:type="dxa"/>
            <w:vAlign w:val="bottom"/>
          </w:tcPr>
          <w:p>
            <w:pPr>
              <w:spacing w:after="0"/>
              <w:rPr>
                <w:sz w:val="18"/>
                <w:szCs w:val="18"/>
                <w:color w:val="auto"/>
              </w:rPr>
            </w:pPr>
          </w:p>
        </w:tc>
        <w:tc>
          <w:tcPr>
            <w:tcW w:w="1960" w:type="dxa"/>
            <w:vAlign w:val="bottom"/>
          </w:tcPr>
          <w:p>
            <w:pPr>
              <w:jc w:val="center"/>
              <w:ind w:right="239"/>
              <w:spacing w:after="0"/>
              <w:rPr>
                <w:sz w:val="20"/>
                <w:szCs w:val="20"/>
                <w:color w:val="auto"/>
              </w:rPr>
            </w:pPr>
            <w:r>
              <w:rPr>
                <w:rFonts w:ascii="Arial" w:cs="Arial" w:eastAsia="Arial" w:hAnsi="Arial"/>
                <w:sz w:val="16"/>
                <w:szCs w:val="16"/>
                <w:b w:val="1"/>
                <w:bCs w:val="1"/>
                <w:color w:val="auto"/>
                <w:w w:val="94"/>
              </w:rPr>
              <w:t>Amortization</w:t>
            </w:r>
          </w:p>
        </w:tc>
      </w:tr>
      <w:tr>
        <w:trPr>
          <w:trHeight w:val="33"/>
        </w:trPr>
        <w:tc>
          <w:tcPr>
            <w:tcW w:w="9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9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9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 (amount remaining at September 30, 2015)</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8,189</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2016</w:t>
            </w:r>
          </w:p>
        </w:tc>
        <w:tc>
          <w:tcPr>
            <w:tcW w:w="300" w:type="dxa"/>
            <w:vAlign w:val="bottom"/>
          </w:tcPr>
          <w:p>
            <w:pPr>
              <w:spacing w:after="0"/>
              <w:rPr>
                <w:sz w:val="19"/>
                <w:szCs w:val="19"/>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25,566</w:t>
            </w:r>
          </w:p>
        </w:tc>
      </w:tr>
      <w:tr>
        <w:trPr>
          <w:trHeight w:val="33"/>
        </w:trPr>
        <w:tc>
          <w:tcPr>
            <w:tcW w:w="9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3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19,005</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2018</w:t>
            </w:r>
          </w:p>
        </w:tc>
        <w:tc>
          <w:tcPr>
            <w:tcW w:w="300" w:type="dxa"/>
            <w:vAlign w:val="bottom"/>
          </w:tcPr>
          <w:p>
            <w:pPr>
              <w:spacing w:after="0"/>
              <w:rPr>
                <w:sz w:val="19"/>
                <w:szCs w:val="19"/>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13,271</w:t>
            </w:r>
          </w:p>
        </w:tc>
      </w:tr>
      <w:tr>
        <w:trPr>
          <w:trHeight w:val="33"/>
        </w:trPr>
        <w:tc>
          <w:tcPr>
            <w:tcW w:w="9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3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10,448</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Beyond 2019</w:t>
            </w:r>
          </w:p>
        </w:tc>
        <w:tc>
          <w:tcPr>
            <w:tcW w:w="300" w:type="dxa"/>
            <w:vAlign w:val="bottom"/>
          </w:tcPr>
          <w:p>
            <w:pPr>
              <w:spacing w:after="0"/>
              <w:rPr>
                <w:sz w:val="19"/>
                <w:szCs w:val="19"/>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35,288</w:t>
            </w:r>
          </w:p>
        </w:tc>
      </w:tr>
      <w:tr>
        <w:trPr>
          <w:trHeight w:val="33"/>
        </w:trPr>
        <w:tc>
          <w:tcPr>
            <w:tcW w:w="9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5"/>
        </w:trPr>
        <w:tc>
          <w:tcPr>
            <w:tcW w:w="9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intangible assets subject to amortization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111,767</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as of September 30,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auto"/>
              </w:rPr>
              <w:t>Electricity</w:t>
            </w:r>
          </w:p>
        </w:tc>
        <w:tc>
          <w:tcPr>
            <w:tcW w:w="500" w:type="dxa"/>
            <w:vAlign w:val="bottom"/>
          </w:tcPr>
          <w:p>
            <w:pPr>
              <w:spacing w:after="0"/>
              <w:rPr>
                <w:sz w:val="18"/>
                <w:szCs w:val="18"/>
                <w:color w:val="auto"/>
              </w:rPr>
            </w:pPr>
          </w:p>
        </w:tc>
        <w:tc>
          <w:tcPr>
            <w:tcW w:w="1660" w:type="dxa"/>
            <w:vAlign w:val="bottom"/>
            <w:gridSpan w:val="2"/>
          </w:tcPr>
          <w:p>
            <w:pPr>
              <w:ind w:left="380"/>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Water</w:t>
            </w:r>
          </w:p>
        </w:tc>
        <w:tc>
          <w:tcPr>
            <w:tcW w:w="300" w:type="dxa"/>
            <w:vAlign w:val="bottom"/>
          </w:tcPr>
          <w:p>
            <w:pPr>
              <w:spacing w:after="0"/>
              <w:rPr>
                <w:sz w:val="18"/>
                <w:szCs w:val="18"/>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 Company</w:t>
            </w:r>
          </w:p>
        </w:tc>
      </w:tr>
      <w:tr>
        <w:trPr>
          <w:trHeight w:val="33"/>
        </w:trPr>
        <w:tc>
          <w:tcPr>
            <w:tcW w:w="2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7"/>
        </w:trPr>
        <w:tc>
          <w:tcPr>
            <w:tcW w:w="2880" w:type="dxa"/>
            <w:vAlign w:val="bottom"/>
          </w:tcPr>
          <w:p>
            <w:pPr>
              <w:ind w:left="40"/>
              <w:spacing w:after="0"/>
              <w:rPr>
                <w:sz w:val="20"/>
                <w:szCs w:val="20"/>
                <w:color w:val="auto"/>
              </w:rPr>
            </w:pPr>
            <w:r>
              <w:rPr>
                <w:rFonts w:ascii="Arial" w:cs="Arial" w:eastAsia="Arial" w:hAnsi="Arial"/>
                <w:sz w:val="16"/>
                <w:szCs w:val="16"/>
                <w:color w:val="auto"/>
              </w:rPr>
              <w:t>Balances at January 1, 2015</w:t>
            </w:r>
          </w:p>
        </w:tc>
        <w:tc>
          <w:tcPr>
            <w:tcW w:w="3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47"/>
        </w:trPr>
        <w:tc>
          <w:tcPr>
            <w:tcW w:w="2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449,668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359,485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382,655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1,191,808</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(393,981)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(297,007)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(690,988)</w:t>
            </w:r>
          </w:p>
        </w:tc>
      </w:tr>
      <w:tr>
        <w:trPr>
          <w:trHeight w:val="33"/>
        </w:trPr>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55,687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359,485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85,648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500,820</w:t>
            </w:r>
          </w:p>
        </w:tc>
      </w:tr>
      <w:tr>
        <w:trPr>
          <w:trHeight w:val="264"/>
        </w:trPr>
        <w:tc>
          <w:tcPr>
            <w:tcW w:w="28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acquired</w:t>
            </w:r>
          </w:p>
        </w:tc>
        <w:tc>
          <w:tcPr>
            <w:tcW w:w="3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4,236</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(2,411)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(22,615)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(30,091)</w:t>
            </w: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Balances at September 30, 2015</w:t>
            </w:r>
          </w:p>
        </w:tc>
        <w:tc>
          <w:tcPr>
            <w:tcW w:w="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Goodwill before impairment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421,608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336,870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1,115,581</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(368,332)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(272,284)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(640,616)</w:t>
            </w:r>
          </w:p>
        </w:tc>
      </w:tr>
      <w:tr>
        <w:trPr>
          <w:trHeight w:val="33"/>
        </w:trPr>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53,276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336,870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84,819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474,965</w:t>
            </w:r>
          </w:p>
        </w:tc>
      </w:tr>
      <w:tr>
        <w:trPr>
          <w:trHeight w:val="20"/>
        </w:trPr>
        <w:tc>
          <w:tcPr>
            <w:tcW w:w="2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 for a description of our reporting units and the methods used to determine the fair values of our reporting units and to determine the amount of any goodwill impairment.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26, 2015, we completed our acquisition of 100% of Temetra in a stock purchase. Goodwill acquired in 2015 is based on the preliminary purchase price allocation of the Temetra acquisition. We are continuing to collect information to determine the fair values of accrued liabilities and contingent consideration, both of which would affect goodwill. Due to the timing of the acquisition, we completed a preliminary assessment of the fair values of these liabilities, and as a result, the fair values of these liabilities are provisional until we are able to complete our assessment. The preliminary purchase price of Temetra includes the following:</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paid (net of $1,395 cash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Estimated working capital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Estimated fair value of contingent consideration</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preliminary purchase price</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Total Preliminary Purchase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14408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 w:type="dxa"/>
            <w:vAlign w:val="bottom"/>
          </w:tcPr>
          <w:p>
            <w:pPr>
              <w:spacing w:after="0"/>
              <w:rPr>
                <w:sz w:val="18"/>
                <w:szCs w:val="18"/>
                <w:color w:val="auto"/>
              </w:rPr>
            </w:pPr>
          </w:p>
        </w:tc>
        <w:tc>
          <w:tcPr>
            <w:tcW w:w="1900" w:type="dxa"/>
            <w:vAlign w:val="bottom"/>
          </w:tcPr>
          <w:p>
            <w:pPr>
              <w:jc w:val="right"/>
              <w:ind w:right="559"/>
              <w:spacing w:after="0"/>
              <w:rPr>
                <w:sz w:val="20"/>
                <w:szCs w:val="20"/>
                <w:color w:val="auto"/>
              </w:rPr>
            </w:pPr>
            <w:r>
              <w:rPr>
                <w:rFonts w:ascii="Arial" w:cs="Arial" w:eastAsia="Arial" w:hAnsi="Arial"/>
                <w:sz w:val="16"/>
                <w:szCs w:val="16"/>
                <w:b w:val="1"/>
                <w:bCs w:val="1"/>
                <w:color w:val="auto"/>
              </w:rPr>
              <w:t>(in thousands)</w:t>
            </w:r>
          </w:p>
        </w:tc>
      </w:tr>
      <w:tr>
        <w:trPr>
          <w:trHeight w:val="257"/>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5,754</w:t>
            </w:r>
          </w:p>
        </w:tc>
      </w:tr>
      <w:tr>
        <w:trPr>
          <w:trHeight w:val="257"/>
        </w:trPr>
        <w:tc>
          <w:tcPr>
            <w:tcW w:w="360" w:type="dxa"/>
            <w:vAlign w:val="bottom"/>
          </w:tcPr>
          <w:p>
            <w:pPr>
              <w:spacing w:after="0"/>
              <w:rPr>
                <w:sz w:val="22"/>
                <w:szCs w:val="22"/>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905</w:t>
            </w:r>
          </w:p>
        </w:tc>
      </w:tr>
      <w:tr>
        <w:trPr>
          <w:trHeight w:val="257"/>
        </w:trPr>
        <w:tc>
          <w:tcPr>
            <w:tcW w:w="360" w:type="dxa"/>
            <w:vAlign w:val="bottom"/>
          </w:tcPr>
          <w:p>
            <w:pPr>
              <w:spacing w:after="0"/>
              <w:rPr>
                <w:sz w:val="22"/>
                <w:szCs w:val="22"/>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2,673</w:t>
            </w:r>
          </w:p>
        </w:tc>
      </w:tr>
      <w:tr>
        <w:trPr>
          <w:trHeight w:val="33"/>
        </w:trPr>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9,332</w:t>
            </w:r>
          </w:p>
        </w:tc>
      </w:tr>
      <w:tr>
        <w:trPr>
          <w:trHeight w:val="33"/>
        </w:trPr>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40" w:space="720"/>
            <w:col w:w="2260"/>
          </w:cols>
          <w:pgMar w:left="240" w:top="125" w:right="239" w:bottom="1440" w:gutter="0" w:footer="0" w:header="0"/>
          <w:type w:val="continuous"/>
        </w:sectPr>
      </w:pP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contingent consideration could be earned by the former Temetra shareholders based on Temetra's operational performance through the end of 2018. Refer to Note 4 for additional information regarding this acquisition. Pro forma information has not been provided as the acquisition is not considered significant.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and accumulated impairment losses associated with our international subsidiaries are recorded in their respective functional currencies; therefore, the carrying amounts of these balances increase or decrease, with a corresponding change in accumulated OCI, due to changes in foreign currency exchange rates.</w:t>
      </w:r>
    </w:p>
    <w:p>
      <w:pPr>
        <w:sectPr>
          <w:pgSz w:w="11900" w:h="16838" w:orient="portrait"/>
          <w:cols w:equalWidth="0" w:num="1">
            <w:col w:w="11420"/>
          </w:cols>
          <w:pgMar w:left="240" w:top="125" w:right="239" w:bottom="1440" w:gutter="0" w:footer="0" w:header="0"/>
          <w:type w:val="continuous"/>
        </w:sectPr>
      </w:pPr>
    </w:p>
    <w:p>
      <w:pPr>
        <w:spacing w:after="0" w:line="17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our borrowings were as follows: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Credit facility: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USD denominated term loan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Multicurrency revolving line of credit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Less: current portion of debt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2015</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33"/>
        </w:trPr>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527"/>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222,188</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232,500</w:t>
            </w:r>
          </w:p>
        </w:tc>
      </w:tr>
      <w:tr>
        <w:trPr>
          <w:trHeight w:val="270"/>
        </w:trPr>
        <w:tc>
          <w:tcPr>
            <w:tcW w:w="300" w:type="dxa"/>
            <w:vAlign w:val="bottom"/>
          </w:tcPr>
          <w:p>
            <w:pPr>
              <w:spacing w:after="0"/>
              <w:rPr>
                <w:sz w:val="23"/>
                <w:szCs w:val="23"/>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158,519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91,469</w:t>
            </w:r>
          </w:p>
        </w:tc>
      </w:tr>
      <w:tr>
        <w:trPr>
          <w:trHeight w:val="47"/>
        </w:trPr>
        <w:tc>
          <w:tcPr>
            <w:tcW w:w="3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17"/>
        </w:trPr>
        <w:tc>
          <w:tcPr>
            <w:tcW w:w="300" w:type="dxa"/>
            <w:vAlign w:val="bottom"/>
          </w:tcPr>
          <w:p>
            <w:pPr>
              <w:spacing w:after="0"/>
              <w:rPr>
                <w:sz w:val="18"/>
                <w:szCs w:val="18"/>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380,707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323,969</w:t>
            </w:r>
          </w:p>
        </w:tc>
      </w:tr>
      <w:tr>
        <w:trPr>
          <w:trHeight w:val="270"/>
        </w:trPr>
        <w:tc>
          <w:tcPr>
            <w:tcW w:w="300" w:type="dxa"/>
            <w:vAlign w:val="bottom"/>
          </w:tcPr>
          <w:p>
            <w:pPr>
              <w:spacing w:after="0"/>
              <w:rPr>
                <w:sz w:val="23"/>
                <w:szCs w:val="23"/>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11,250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30,000</w:t>
            </w:r>
          </w:p>
        </w:tc>
      </w:tr>
      <w:tr>
        <w:trPr>
          <w:trHeight w:val="33"/>
        </w:trPr>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369,457</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293,969</w:t>
            </w:r>
          </w:p>
        </w:tc>
      </w:tr>
      <w:tr>
        <w:trPr>
          <w:trHeight w:val="33"/>
        </w:trPr>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-882650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-539750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-196850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June 23, 2015, we entered into an amended and restated credit agreement providing for committed credit facilities in the amount of $725 million U.S. dollars (the 2015 credit facility). The 2015 credit facility consists of a $225 million U.S. dollar term loan (the term loan) and a multicurrency revolving line of credit (the revolver) with a principal amount of up to $500 million. The revolver also contains a $300 million standby letter of credit sub-facility and a $50 million swingline sub-facility (available for immediate cash needs at a higher interest rate). Both the term loan and the revolver mature on June 23, 2020, and amounts borrowed under the revolver are classified as long-term and, during the credit facility term, may be repaid and reborrowed until the revolver's maturity, at which time the revolver will terminate, and all outstanding loans, together with all accrued and unpaid interest, must be repaid. Amounts not borrowed under the revolver are subject to a commitment fee, which is paid in arrears on the last day of each fiscal quarter, ranging from 0.175% to 0.30% per annum depending on our total leverage ratio as of the most recently ended fiscal quarter. Amounts repaid on the term loan may not be reborrowed. The 2015 credit facility permits us and certain of our foreign subsidiaries to borrow in U.S. dollars, euros, British pounds, or, with lender approval, other currencies readily convertible into U.S. dollars. All obligations under the 2015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2015 credit facility, are guaranteed by the foreign subsidiary and by its direct and indirect foreign parents. The 2015 credit facility includes debt covenants, which contain certain financial ratio thresholds and place certain restrictions on the incurrence of debt, investments, and the issuance of dividends. We were in compliance with the debt covenants under the 2015 credit facility at September 30, 2015.</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Scheduled principal repayments for the term loan are due quarterly in the amount of $2.8 million from September 2015 through June 2017, $4.2 million from September 2017 through June 2018, $5.6 million from September 2018 through March 2020, and the remainder due at maturity on June 23, 2020. The term loan may be repaid early in whole or in part, subject to certain minimum thresholds, without penalty.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2015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(floor of 0%), plus an applicable margin, or (2) the Alternate Base Rate, plus an applicable margin. The Alternate Base Rate election is equal to the greatest of three rates: (i) the prime rate, (ii) the Federal Reserve effective rate plus 1/2 of 1%, or (iii) one month LIBOR plus 1%. At September 30, 2015, the interest rate for both the term loan and the USD revolver was 1.95% (the LIBOR rate plus a margin of 1.75%), and the interest rate for the EUR revolver was 1.75% (the EURIBOR floor rate plus a margin of 1.75%).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Total credit facility repayments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92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 September 30,</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76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380" w:type="dxa"/>
            <w:vAlign w:val="bottom"/>
            <w:gridSpan w:val="3"/>
          </w:tcPr>
          <w:p>
            <w:pPr>
              <w:jc w:val="right"/>
              <w:ind w:right="979"/>
              <w:spacing w:after="0"/>
              <w:rPr>
                <w:sz w:val="20"/>
                <w:szCs w:val="20"/>
                <w:color w:val="auto"/>
              </w:rPr>
            </w:pPr>
            <w:r>
              <w:rPr>
                <w:rFonts w:ascii="Arial" w:cs="Arial" w:eastAsia="Arial" w:hAnsi="Arial"/>
                <w:sz w:val="16"/>
                <w:szCs w:val="16"/>
                <w:b w:val="1"/>
                <w:bCs w:val="1"/>
                <w:color w:val="auto"/>
              </w:rPr>
              <w:t>(in thousands)</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18,750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Multicurrency revolving line of credit</w:t>
            </w:r>
          </w:p>
        </w:tc>
        <w:tc>
          <w:tcPr>
            <w:tcW w:w="15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19,873</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50,000</w:t>
            </w:r>
          </w:p>
        </w:tc>
      </w:tr>
      <w:tr>
        <w:trPr>
          <w:trHeight w:val="33"/>
        </w:trPr>
        <w:tc>
          <w:tcPr>
            <w:tcW w:w="6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credit facility repayments</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30,186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68,750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September 30, 2015, $158.5 million was outstanding under the credit facility revolver, and $238.4 million was available for additional borrowings or standby letters of credit due to the most recent total leverage ratio. At September 30, 2015, $46.2 million was utilized by outstanding standby letters of credit, resulting in $253.8 million available for additional standby letters of credit. No amounts were outstanding under the swingline sub-facility.</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Upon entering into the 2015 credit facility, a portion of our unamortized prepaid debt fees, totaling $821,000, were written-off to interest expense. Prepaid debt fees of approximately $3.9 million were capitalized associated with the 2015 credit facility. Unamortized prepaid debt fees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ind w:right="399"/>
              <w:spacing w:after="0"/>
              <w:rPr>
                <w:sz w:val="20"/>
                <w:szCs w:val="20"/>
                <w:color w:val="auto"/>
              </w:rPr>
            </w:pPr>
            <w:r>
              <w:rPr>
                <w:rFonts w:ascii="Arial" w:cs="Arial" w:eastAsia="Arial" w:hAnsi="Arial"/>
                <w:sz w:val="16"/>
                <w:szCs w:val="16"/>
                <w:b w:val="1"/>
                <w:bCs w:val="1"/>
                <w:color w:val="auto"/>
              </w:rPr>
              <w:t>September 30, 2015</w:t>
            </w: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Unamortized prepaid debt fees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4,422</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2,298</w:t>
            </w:r>
          </w:p>
        </w:tc>
      </w:tr>
      <w:tr>
        <w:trPr>
          <w:trHeight w:val="33"/>
        </w:trPr>
        <w:tc>
          <w:tcPr>
            <w:tcW w:w="6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13, and Note 14 for additional disclosures on our derivative instruments.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14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419"/>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700" w:type="dxa"/>
            <w:vAlign w:val="bottom"/>
          </w:tcPr>
          <w:p>
            <w:pPr>
              <w:spacing w:after="0"/>
              <w:rPr>
                <w:sz w:val="18"/>
                <w:szCs w:val="18"/>
                <w:color w:val="auto"/>
              </w:rPr>
            </w:pPr>
          </w:p>
        </w:tc>
        <w:tc>
          <w:tcPr>
            <w:tcW w:w="276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Sheet Location</w:t>
            </w: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2014</w:t>
            </w:r>
          </w:p>
        </w:tc>
      </w:tr>
      <w:tr>
        <w:trPr>
          <w:trHeight w:val="33"/>
        </w:trPr>
        <w:tc>
          <w:tcPr>
            <w:tcW w:w="470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b w:val="1"/>
                <w:bCs w:val="1"/>
                <w:color w:val="auto"/>
                <w:w w:val="90"/>
              </w:rPr>
              <w:t>(in thousands)</w:t>
            </w:r>
          </w:p>
        </w:tc>
        <w:tc>
          <w:tcPr>
            <w:tcW w:w="1460" w:type="dxa"/>
            <w:vAlign w:val="bottom"/>
          </w:tcPr>
          <w:p>
            <w:pPr>
              <w:spacing w:after="0"/>
              <w:rPr>
                <w:sz w:val="20"/>
                <w:szCs w:val="20"/>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Asset Derivatives</w:t>
            </w:r>
          </w:p>
        </w:tc>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w w:val="92"/>
              </w:rPr>
              <w:t>Derivatives designated as hedging instruments under ASC 815-20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long-term assets</w:t>
            </w:r>
          </w:p>
        </w:tc>
        <w:tc>
          <w:tcPr>
            <w:tcW w:w="1460" w:type="dxa"/>
            <w:vAlign w:val="bottom"/>
            <w:tcBorders>
              <w:bottom w:val="single" w:sz="8" w:color="CCEEFF"/>
            </w:tcBorders>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24"/>
        </w:trPr>
        <w:tc>
          <w:tcPr>
            <w:tcW w:w="746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exchange forward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4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r>
      <w:tr>
        <w:trPr>
          <w:trHeight w:val="217"/>
        </w:trPr>
        <w:tc>
          <w:tcPr>
            <w:tcW w:w="4700" w:type="dxa"/>
            <w:vAlign w:val="bottom"/>
          </w:tcPr>
          <w:p>
            <w:pPr>
              <w:ind w:left="420"/>
              <w:spacing w:after="0"/>
              <w:rPr>
                <w:sz w:val="20"/>
                <w:szCs w:val="20"/>
                <w:color w:val="auto"/>
              </w:rPr>
            </w:pPr>
            <w:r>
              <w:rPr>
                <w:rFonts w:ascii="Arial" w:cs="Arial" w:eastAsia="Arial" w:hAnsi="Arial"/>
                <w:sz w:val="16"/>
                <w:szCs w:val="16"/>
                <w:b w:val="1"/>
                <w:bCs w:val="1"/>
                <w:color w:val="auto"/>
              </w:rPr>
              <w:t>Total asset derivatives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ind w:right="125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182</w:t>
            </w:r>
          </w:p>
        </w:tc>
      </w:tr>
      <w:tr>
        <w:trPr>
          <w:trHeight w:val="73"/>
        </w:trPr>
        <w:tc>
          <w:tcPr>
            <w:tcW w:w="4700" w:type="dxa"/>
            <w:vAlign w:val="bottom"/>
            <w:tcBorders>
              <w:bottom w:val="single" w:sz="8" w:color="CCEEFF"/>
            </w:tcBorders>
          </w:tcPr>
          <w:p>
            <w:pPr>
              <w:spacing w:after="0"/>
              <w:rPr>
                <w:sz w:val="6"/>
                <w:szCs w:val="6"/>
                <w:color w:val="auto"/>
              </w:rPr>
            </w:pPr>
          </w:p>
        </w:tc>
        <w:tc>
          <w:tcPr>
            <w:tcW w:w="26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251"/>
        </w:trPr>
        <w:tc>
          <w:tcPr>
            <w:tcW w:w="4700" w:type="dxa"/>
            <w:vAlign w:val="bottom"/>
            <w:shd w:val="clear" w:color="auto" w:fill="CCEEFF"/>
          </w:tcPr>
          <w:p>
            <w:pPr>
              <w:spacing w:after="0"/>
              <w:rPr>
                <w:sz w:val="21"/>
                <w:szCs w:val="21"/>
                <w:color w:val="auto"/>
              </w:rPr>
            </w:pPr>
          </w:p>
        </w:tc>
        <w:tc>
          <w:tcPr>
            <w:tcW w:w="2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Liability Derivatives</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
        </w:trPr>
        <w:tc>
          <w:tcPr>
            <w:tcW w:w="470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2"/>
              </w:rPr>
              <w:t>Derivatives designated as hedging instruments under ASC 815-20</w:t>
            </w:r>
          </w:p>
        </w:tc>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color w:val="auto"/>
              </w:rPr>
              <w:t>Interest rate swap contracts</w:t>
            </w:r>
          </w:p>
        </w:tc>
        <w:tc>
          <w:tcPr>
            <w:tcW w:w="2760" w:type="dxa"/>
            <w:vAlign w:val="bottom"/>
            <w:gridSpan w:val="2"/>
          </w:tcPr>
          <w:p>
            <w:pPr>
              <w:ind w:left="40"/>
              <w:spacing w:after="0"/>
              <w:rPr>
                <w:sz w:val="20"/>
                <w:szCs w:val="20"/>
                <w:color w:val="auto"/>
              </w:rPr>
            </w:pPr>
            <w:r>
              <w:rPr>
                <w:rFonts w:ascii="Arial" w:cs="Arial" w:eastAsia="Arial" w:hAnsi="Arial"/>
                <w:sz w:val="16"/>
                <w:szCs w:val="16"/>
                <w:color w:val="auto"/>
              </w:rPr>
              <w:t>Other current liabilities</w:t>
            </w:r>
          </w:p>
        </w:tc>
        <w:tc>
          <w:tcPr>
            <w:tcW w:w="1460" w:type="dxa"/>
            <w:vAlign w:val="bottom"/>
          </w:tcPr>
          <w:p>
            <w:pPr>
              <w:jc w:val="right"/>
              <w:ind w:right="125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w w:val="84"/>
              </w:rPr>
              <w:t>1,111</w:t>
            </w:r>
          </w:p>
        </w:tc>
        <w:tc>
          <w:tcPr>
            <w:tcW w:w="100" w:type="dxa"/>
            <w:vAlign w:val="bottom"/>
          </w:tcPr>
          <w:p>
            <w:pPr>
              <w:spacing w:after="0"/>
              <w:rPr>
                <w:sz w:val="19"/>
                <w:szCs w:val="19"/>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1,317</w:t>
            </w:r>
          </w:p>
        </w:tc>
      </w:tr>
      <w:tr>
        <w:trPr>
          <w:trHeight w:val="47"/>
        </w:trPr>
        <w:tc>
          <w:tcPr>
            <w:tcW w:w="73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7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2760" w:type="dxa"/>
            <w:vAlign w:val="bottom"/>
            <w:gridSpan w:val="2"/>
          </w:tcPr>
          <w:p>
            <w:pPr>
              <w:ind w:left="40"/>
              <w:spacing w:after="0"/>
              <w:rPr>
                <w:sz w:val="20"/>
                <w:szCs w:val="20"/>
                <w:color w:val="auto"/>
              </w:rPr>
            </w:pPr>
            <w:r>
              <w:rPr>
                <w:rFonts w:ascii="Arial" w:cs="Arial" w:eastAsia="Arial" w:hAnsi="Arial"/>
                <w:sz w:val="16"/>
                <w:szCs w:val="16"/>
                <w:color w:val="auto"/>
              </w:rPr>
              <w:t>Other current liabilities</w:t>
            </w:r>
          </w:p>
        </w:tc>
        <w:tc>
          <w:tcPr>
            <w:tcW w:w="1460" w:type="dxa"/>
            <w:vAlign w:val="bottom"/>
          </w:tcPr>
          <w:p>
            <w:pPr>
              <w:spacing w:after="0"/>
              <w:rPr>
                <w:sz w:val="19"/>
                <w:szCs w:val="19"/>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236</w:t>
            </w:r>
          </w:p>
        </w:tc>
      </w:tr>
      <w:tr>
        <w:trPr>
          <w:trHeight w:val="47"/>
        </w:trPr>
        <w:tc>
          <w:tcPr>
            <w:tcW w:w="4700" w:type="dxa"/>
            <w:vAlign w:val="bottom"/>
            <w:tcBorders>
              <w:bottom w:val="single" w:sz="8" w:color="CCEEFF"/>
            </w:tcBorders>
          </w:tcPr>
          <w:p>
            <w:pPr>
              <w:spacing w:after="0"/>
              <w:rPr>
                <w:sz w:val="4"/>
                <w:szCs w:val="4"/>
                <w:color w:val="auto"/>
              </w:rPr>
            </w:pPr>
          </w:p>
        </w:tc>
        <w:tc>
          <w:tcPr>
            <w:tcW w:w="26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55"/>
        </w:trPr>
        <w:tc>
          <w:tcPr>
            <w:tcW w:w="4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b w:val="1"/>
                <w:bCs w:val="1"/>
                <w:color w:val="auto"/>
              </w:rPr>
              <w:t>Total liability derivatives</w:t>
            </w:r>
          </w:p>
        </w:tc>
        <w:tc>
          <w:tcPr>
            <w:tcW w:w="2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1,494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OCI during the reporting periods for our derivative and nonderivative hedging instruments, net of tax,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jc w:val="right"/>
              <w:ind w:right="719"/>
              <w:spacing w:after="0"/>
              <w:rPr>
                <w:sz w:val="20"/>
                <w:szCs w:val="20"/>
                <w:color w:val="auto"/>
              </w:rPr>
            </w:pPr>
            <w:r>
              <w:rPr>
                <w:rFonts w:ascii="Arial" w:cs="Arial" w:eastAsia="Arial" w:hAnsi="Arial"/>
                <w:sz w:val="16"/>
                <w:szCs w:val="16"/>
                <w:b w:val="1"/>
                <w:bCs w:val="1"/>
                <w:color w:val="auto"/>
              </w:rPr>
              <w:t>2014</w:t>
            </w:r>
          </w:p>
        </w:tc>
      </w:tr>
      <w:tr>
        <w:trPr>
          <w:trHeight w:val="33"/>
        </w:trPr>
        <w:tc>
          <w:tcPr>
            <w:tcW w:w="7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30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loss on hedging instruments at January 1,</w:t>
            </w: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(15,148)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(15,636)</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Unrealized loss on hedging instruments</w:t>
            </w:r>
          </w:p>
        </w:tc>
        <w:tc>
          <w:tcPr>
            <w:tcW w:w="1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3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Realized losses reclassified into net income</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unrealized loss on hedging instruments at September 30,</w:t>
            </w:r>
          </w:p>
        </w:tc>
        <w:tc>
          <w:tcPr>
            <w:tcW w:w="1240" w:type="dxa"/>
            <w:vAlign w:val="bottom"/>
            <w:tcBorders>
              <w:top w:val="single" w:sz="8" w:color="auto"/>
            </w:tcBorders>
          </w:tcPr>
          <w:p>
            <w:pPr>
              <w:jc w:val="right"/>
              <w:ind w:right="10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(15,068)</w:t>
            </w: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(15,192)</w:t>
            </w:r>
          </w:p>
        </w:tc>
      </w:tr>
      <w:tr>
        <w:trPr>
          <w:trHeight w:val="33"/>
        </w:trPr>
        <w:tc>
          <w:tcPr>
            <w:tcW w:w="7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the net unrealized loss on hedging instruments at September 30, 2015 and 2014 is a loss of $14.4 million, net of tax, related to our nonderivative net investment hedge, which terminated in 2011. This loss on our net investment hedge will remain in accumulated OCI until such time when earnings are impacted by a sale or liquidation of the associated foreign operation.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potential effect of netting arrangements on our financial position related to the offsetting of our recognized derivative assets and liabilities under master netting arrangements or similar agreements is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Assets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2"/>
              </w:rPr>
              <w:t>Gross Amounts Not</w:t>
            </w: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0"/>
              </w:rPr>
              <w:t>Offset in the Consolidated Balance Sheets</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080" w:type="dxa"/>
            <w:vAlign w:val="bottom"/>
            <w:gridSpan w:val="2"/>
          </w:tcPr>
          <w:p>
            <w:pPr>
              <w:jc w:val="center"/>
              <w:ind w:right="68"/>
              <w:spacing w:after="0" w:line="139" w:lineRule="exact"/>
              <w:rPr>
                <w:sz w:val="20"/>
                <w:szCs w:val="20"/>
                <w:color w:val="auto"/>
              </w:rPr>
            </w:pPr>
            <w:r>
              <w:rPr>
                <w:rFonts w:ascii="Arial" w:cs="Arial" w:eastAsia="Arial" w:hAnsi="Arial"/>
                <w:sz w:val="14"/>
                <w:szCs w:val="14"/>
                <w:b w:val="1"/>
                <w:bCs w:val="1"/>
                <w:color w:val="auto"/>
                <w:w w:val="90"/>
              </w:rPr>
              <w:t>Gross Amounts of Recognized</w:t>
            </w: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88"/>
              </w:rPr>
              <w:t>Assets Presented in</w:t>
            </w:r>
          </w:p>
        </w:tc>
        <w:tc>
          <w:tcPr>
            <w:tcW w:w="220" w:type="dxa"/>
            <w:vAlign w:val="bottom"/>
          </w:tcPr>
          <w:p>
            <w:pPr>
              <w:spacing w:after="0"/>
              <w:rPr>
                <w:sz w:val="12"/>
                <w:szCs w:val="12"/>
                <w:color w:val="auto"/>
              </w:rPr>
            </w:pPr>
          </w:p>
        </w:tc>
        <w:tc>
          <w:tcPr>
            <w:tcW w:w="17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Derivative Financial</w:t>
            </w: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89"/>
              </w:rPr>
              <w:t>the Consolidated</w:t>
            </w: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Cash Collateral Received</w:t>
            </w:r>
          </w:p>
        </w:tc>
        <w:tc>
          <w:tcPr>
            <w:tcW w:w="440" w:type="dxa"/>
            <w:vAlign w:val="bottom"/>
          </w:tcPr>
          <w:p>
            <w:pPr>
              <w:spacing w:after="0"/>
              <w:rPr>
                <w:sz w:val="12"/>
                <w:szCs w:val="12"/>
                <w:color w:val="auto"/>
              </w:rPr>
            </w:pPr>
          </w:p>
        </w:tc>
        <w:tc>
          <w:tcPr>
            <w:tcW w:w="15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86"/>
              </w:rPr>
              <w:t>Balance Sheets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Instruments</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3"/>
          </w:tcPr>
          <w:p>
            <w:pPr>
              <w:ind w:left="13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September 30, 2015</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331</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ind w:left="1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31, 2014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182</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ind w:left="1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Liabilities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2"/>
              </w:rPr>
              <w:t>Gross Amounts Not</w:t>
            </w: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0"/>
              </w:rPr>
              <w:t>Offset in the Consolidated Balance Sheets</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080" w:type="dxa"/>
            <w:vAlign w:val="bottom"/>
            <w:gridSpan w:val="2"/>
          </w:tcPr>
          <w:p>
            <w:pPr>
              <w:jc w:val="center"/>
              <w:ind w:right="68"/>
              <w:spacing w:after="0" w:line="139" w:lineRule="exact"/>
              <w:rPr>
                <w:sz w:val="20"/>
                <w:szCs w:val="20"/>
                <w:color w:val="auto"/>
              </w:rPr>
            </w:pPr>
            <w:r>
              <w:rPr>
                <w:rFonts w:ascii="Arial" w:cs="Arial" w:eastAsia="Arial" w:hAnsi="Arial"/>
                <w:sz w:val="14"/>
                <w:szCs w:val="14"/>
                <w:b w:val="1"/>
                <w:bCs w:val="1"/>
                <w:color w:val="auto"/>
                <w:w w:val="90"/>
              </w:rPr>
              <w:t>Gross Amounts of Recognized</w:t>
            </w: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3"/>
              </w:rPr>
              <w:t>Liabilities Presented in</w:t>
            </w:r>
          </w:p>
        </w:tc>
        <w:tc>
          <w:tcPr>
            <w:tcW w:w="220" w:type="dxa"/>
            <w:vAlign w:val="bottom"/>
          </w:tcPr>
          <w:p>
            <w:pPr>
              <w:spacing w:after="0"/>
              <w:rPr>
                <w:sz w:val="12"/>
                <w:szCs w:val="12"/>
                <w:color w:val="auto"/>
              </w:rPr>
            </w:pPr>
          </w:p>
        </w:tc>
        <w:tc>
          <w:tcPr>
            <w:tcW w:w="17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Derivative Financial</w:t>
            </w: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89"/>
              </w:rPr>
              <w:t>the Consolidated</w:t>
            </w: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Cash Collateral Pledged</w:t>
            </w:r>
          </w:p>
        </w:tc>
        <w:tc>
          <w:tcPr>
            <w:tcW w:w="440" w:type="dxa"/>
            <w:vAlign w:val="bottom"/>
          </w:tcPr>
          <w:p>
            <w:pPr>
              <w:spacing w:after="0"/>
              <w:rPr>
                <w:sz w:val="12"/>
                <w:szCs w:val="12"/>
                <w:color w:val="auto"/>
              </w:rPr>
            </w:pPr>
          </w:p>
        </w:tc>
        <w:tc>
          <w:tcPr>
            <w:tcW w:w="15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86"/>
              </w:rPr>
              <w:t>Balance Sheets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Instruments</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3"/>
          </w:tcPr>
          <w:p>
            <w:pPr>
              <w:ind w:left="13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September 30, 2015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1,494</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31, 2014</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1,553</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derivative assets and liabilities consist of foreign exchange forward and interest rate swap contracts with eight counterparties at September 30, 2015 and December 31, 2014. No derivative asset or liability balance with any of our counterparties was individually significant at September 30, 2015 or December 31, 2014.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swaps to achieve a fixed rate of interest on the hedged portion of debt in order to increase our ability to forecast interest expense. The objective of these swaps is to reduce the variability of cash flows from increases in the LIBOR-based borrowing rates on our floating rate credit facility. The swaps do not protect us from changes to the applicable margin under our credit facility.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2012, we entered into six forward starting pay-fixed, receive one-month LIBOR interest rate swaps. The interest rate swaps convert $200 million of our LIBOR-based debt from a floating LIBOR interest rate to a fixed interest rate of 1.00% (excluding the applicable margin on the debt) and are effective from July 31, 2013 to August 8, 2016. These cash flow hedges are expected to be highly effective in achieving offsetting cash flows attributable to the hedged risk through the term of the hedge. Consequently, effective changes in the fair value of the interest rate swaps are recorded as a component of OCI and are recognized in earnings when the hedged item affects earnings. The amounts paid or received on the hedges are recognized as adjustments to interest expense. The amount of net losses expected to be reclassified into earnings in the next 12 months is $1.1 million. At September 30, 2015, our LIBOR-based debt balance was $347.2 million.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 of our cash flow derivative instruments on the Consolidated Balance Sheets and the Consolidated Statements of Operations for the three and nine months ended September 30 were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3"/>
          </w:tcPr>
          <w:p>
            <w:pPr>
              <w:jc w:val="center"/>
              <w:ind w:right="137"/>
              <w:spacing w:after="0"/>
              <w:rPr>
                <w:sz w:val="20"/>
                <w:szCs w:val="20"/>
                <w:color w:val="auto"/>
              </w:rPr>
            </w:pPr>
            <w:r>
              <w:rPr>
                <w:rFonts w:ascii="Arial" w:cs="Arial" w:eastAsia="Arial" w:hAnsi="Arial"/>
                <w:sz w:val="13"/>
                <w:szCs w:val="13"/>
                <w:b w:val="1"/>
                <w:bCs w:val="1"/>
                <w:color w:val="auto"/>
                <w:w w:val="87"/>
              </w:rPr>
              <w:t>Amount of Gain (Loss)</w:t>
            </w:r>
          </w:p>
        </w:tc>
        <w:tc>
          <w:tcPr>
            <w:tcW w:w="120" w:type="dxa"/>
            <w:vAlign w:val="bottom"/>
          </w:tcPr>
          <w:p>
            <w:pPr>
              <w:spacing w:after="0"/>
              <w:rPr>
                <w:sz w:val="13"/>
                <w:szCs w:val="13"/>
                <w:color w:val="auto"/>
              </w:rPr>
            </w:pPr>
          </w:p>
        </w:tc>
        <w:tc>
          <w:tcPr>
            <w:tcW w:w="3400" w:type="dxa"/>
            <w:vAlign w:val="bottom"/>
            <w:gridSpan w:val="6"/>
          </w:tcPr>
          <w:p>
            <w:pPr>
              <w:ind w:left="540"/>
              <w:spacing w:after="0"/>
              <w:rPr>
                <w:sz w:val="20"/>
                <w:szCs w:val="20"/>
                <w:color w:val="auto"/>
              </w:rPr>
            </w:pPr>
            <w:r>
              <w:rPr>
                <w:rFonts w:ascii="Arial" w:cs="Arial" w:eastAsia="Arial" w:hAnsi="Arial"/>
                <w:sz w:val="13"/>
                <w:szCs w:val="13"/>
                <w:b w:val="1"/>
                <w:bCs w:val="1"/>
                <w:color w:val="auto"/>
              </w:rPr>
              <w:t>Gain (Loss) Reclassified from Accumulated</w:t>
            </w:r>
          </w:p>
        </w:tc>
        <w:tc>
          <w:tcPr>
            <w:tcW w:w="120" w:type="dxa"/>
            <w:vAlign w:val="bottom"/>
          </w:tcPr>
          <w:p>
            <w:pPr>
              <w:spacing w:after="0"/>
              <w:rPr>
                <w:sz w:val="13"/>
                <w:szCs w:val="13"/>
                <w:color w:val="auto"/>
              </w:rPr>
            </w:pPr>
          </w:p>
        </w:tc>
        <w:tc>
          <w:tcPr>
            <w:tcW w:w="3080" w:type="dxa"/>
            <w:vAlign w:val="bottom"/>
            <w:gridSpan w:val="5"/>
          </w:tcPr>
          <w:p>
            <w:pPr>
              <w:jc w:val="right"/>
              <w:ind w:right="337"/>
              <w:spacing w:after="0"/>
              <w:rPr>
                <w:sz w:val="20"/>
                <w:szCs w:val="20"/>
                <w:color w:val="auto"/>
              </w:rPr>
            </w:pPr>
            <w:r>
              <w:rPr>
                <w:rFonts w:ascii="Arial" w:cs="Arial" w:eastAsia="Arial" w:hAnsi="Arial"/>
                <w:sz w:val="13"/>
                <w:szCs w:val="13"/>
                <w:b w:val="1"/>
                <w:bCs w:val="1"/>
                <w:color w:val="auto"/>
              </w:rPr>
              <w:t>Gain (Loss) Recognized in Income on</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Derivatives in ASC 815-20</w:t>
            </w:r>
          </w:p>
        </w:tc>
        <w:tc>
          <w:tcPr>
            <w:tcW w:w="220" w:type="dxa"/>
            <w:vAlign w:val="bottom"/>
          </w:tcPr>
          <w:p>
            <w:pPr>
              <w:spacing w:after="0"/>
              <w:rPr>
                <w:sz w:val="12"/>
                <w:szCs w:val="12"/>
                <w:color w:val="auto"/>
              </w:rPr>
            </w:pPr>
          </w:p>
        </w:tc>
        <w:tc>
          <w:tcPr>
            <w:tcW w:w="1780" w:type="dxa"/>
            <w:vAlign w:val="bottom"/>
            <w:gridSpan w:val="3"/>
          </w:tcPr>
          <w:p>
            <w:pPr>
              <w:jc w:val="center"/>
              <w:ind w:right="137"/>
              <w:spacing w:after="0" w:line="144" w:lineRule="exact"/>
              <w:rPr>
                <w:sz w:val="20"/>
                <w:szCs w:val="20"/>
                <w:color w:val="auto"/>
              </w:rPr>
            </w:pPr>
            <w:r>
              <w:rPr>
                <w:rFonts w:ascii="Arial" w:cs="Arial" w:eastAsia="Arial" w:hAnsi="Arial"/>
                <w:sz w:val="13"/>
                <w:szCs w:val="13"/>
                <w:b w:val="1"/>
                <w:bCs w:val="1"/>
                <w:color w:val="auto"/>
                <w:w w:val="87"/>
              </w:rPr>
              <w:t>Recognized in OCI on</w:t>
            </w:r>
          </w:p>
        </w:tc>
        <w:tc>
          <w:tcPr>
            <w:tcW w:w="120" w:type="dxa"/>
            <w:vAlign w:val="bottom"/>
          </w:tcPr>
          <w:p>
            <w:pPr>
              <w:spacing w:after="0"/>
              <w:rPr>
                <w:sz w:val="12"/>
                <w:szCs w:val="12"/>
                <w:color w:val="auto"/>
              </w:rPr>
            </w:pPr>
          </w:p>
        </w:tc>
        <w:tc>
          <w:tcPr>
            <w:tcW w:w="2760" w:type="dxa"/>
            <w:vAlign w:val="bottom"/>
            <w:gridSpan w:val="5"/>
          </w:tcPr>
          <w:p>
            <w:pPr>
              <w:ind w:left="740"/>
              <w:spacing w:after="0" w:line="144" w:lineRule="exact"/>
              <w:rPr>
                <w:sz w:val="20"/>
                <w:szCs w:val="20"/>
                <w:color w:val="auto"/>
              </w:rPr>
            </w:pPr>
            <w:r>
              <w:rPr>
                <w:rFonts w:ascii="Arial" w:cs="Arial" w:eastAsia="Arial" w:hAnsi="Arial"/>
                <w:sz w:val="13"/>
                <w:szCs w:val="13"/>
                <w:b w:val="1"/>
                <w:bCs w:val="1"/>
                <w:color w:val="auto"/>
                <w:w w:val="92"/>
              </w:rPr>
              <w:t>OCI into Income (Effective Portion)</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gridSpan w:val="5"/>
          </w:tcPr>
          <w:p>
            <w:pPr>
              <w:jc w:val="right"/>
              <w:ind w:right="497"/>
              <w:spacing w:after="0" w:line="144" w:lineRule="exact"/>
              <w:rPr>
                <w:sz w:val="20"/>
                <w:szCs w:val="20"/>
                <w:color w:val="auto"/>
              </w:rPr>
            </w:pPr>
            <w:r>
              <w:rPr>
                <w:rFonts w:ascii="Arial" w:cs="Arial" w:eastAsia="Arial" w:hAnsi="Arial"/>
                <w:sz w:val="13"/>
                <w:szCs w:val="13"/>
                <w:b w:val="1"/>
                <w:bCs w:val="1"/>
                <w:color w:val="auto"/>
              </w:rPr>
              <w:t>Derivative (Ineffective Portion)</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42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Cash Flow</w:t>
            </w:r>
          </w:p>
        </w:tc>
        <w:tc>
          <w:tcPr>
            <w:tcW w:w="220" w:type="dxa"/>
            <w:vAlign w:val="bottom"/>
          </w:tcPr>
          <w:p>
            <w:pPr>
              <w:spacing w:after="0"/>
              <w:rPr>
                <w:sz w:val="2"/>
                <w:szCs w:val="2"/>
                <w:color w:val="auto"/>
              </w:rPr>
            </w:pPr>
          </w:p>
        </w:tc>
        <w:tc>
          <w:tcPr>
            <w:tcW w:w="1780" w:type="dxa"/>
            <w:vAlign w:val="bottom"/>
            <w:gridSpan w:val="3"/>
            <w:vMerge w:val="restart"/>
          </w:tcPr>
          <w:p>
            <w:pPr>
              <w:jc w:val="center"/>
              <w:ind w:right="137"/>
              <w:spacing w:after="0" w:line="135" w:lineRule="exact"/>
              <w:rPr>
                <w:sz w:val="20"/>
                <w:szCs w:val="20"/>
                <w:color w:val="auto"/>
              </w:rPr>
            </w:pPr>
            <w:r>
              <w:rPr>
                <w:rFonts w:ascii="Arial" w:cs="Arial" w:eastAsia="Arial" w:hAnsi="Arial"/>
                <w:sz w:val="13"/>
                <w:szCs w:val="13"/>
                <w:b w:val="1"/>
                <w:bCs w:val="1"/>
                <w:color w:val="auto"/>
                <w:w w:val="88"/>
              </w:rPr>
              <w:t>Derivative (Effective</w:t>
            </w: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4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4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Hedging Relationships</w:t>
            </w:r>
          </w:p>
        </w:tc>
        <w:tc>
          <w:tcPr>
            <w:tcW w:w="220" w:type="dxa"/>
            <w:vAlign w:val="bottom"/>
          </w:tcPr>
          <w:p>
            <w:pPr>
              <w:spacing w:after="0"/>
              <w:rPr>
                <w:sz w:val="15"/>
                <w:szCs w:val="15"/>
                <w:color w:val="auto"/>
              </w:rPr>
            </w:pPr>
          </w:p>
        </w:tc>
        <w:tc>
          <w:tcPr>
            <w:tcW w:w="1180" w:type="dxa"/>
            <w:vAlign w:val="bottom"/>
            <w:gridSpan w:val="2"/>
          </w:tcPr>
          <w:p>
            <w:pPr>
              <w:jc w:val="center"/>
              <w:ind w:left="337"/>
              <w:spacing w:after="0"/>
              <w:rPr>
                <w:sz w:val="20"/>
                <w:szCs w:val="20"/>
                <w:color w:val="auto"/>
              </w:rPr>
            </w:pPr>
            <w:r>
              <w:rPr>
                <w:rFonts w:ascii="Arial" w:cs="Arial" w:eastAsia="Arial" w:hAnsi="Arial"/>
                <w:sz w:val="13"/>
                <w:szCs w:val="13"/>
                <w:b w:val="1"/>
                <w:bCs w:val="1"/>
                <w:color w:val="auto"/>
                <w:w w:val="92"/>
              </w:rPr>
              <w:t>Portion)</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ind w:left="440"/>
              <w:spacing w:after="0"/>
              <w:rPr>
                <w:sz w:val="20"/>
                <w:szCs w:val="20"/>
                <w:color w:val="auto"/>
              </w:rPr>
            </w:pPr>
            <w:r>
              <w:rPr>
                <w:rFonts w:ascii="Arial" w:cs="Arial" w:eastAsia="Arial" w:hAnsi="Arial"/>
                <w:sz w:val="13"/>
                <w:szCs w:val="13"/>
                <w:b w:val="1"/>
                <w:bCs w:val="1"/>
                <w:color w:val="auto"/>
              </w:rPr>
              <w:t>Location</w:t>
            </w:r>
          </w:p>
        </w:tc>
        <w:tc>
          <w:tcPr>
            <w:tcW w:w="200" w:type="dxa"/>
            <w:vAlign w:val="bottom"/>
          </w:tcPr>
          <w:p>
            <w:pPr>
              <w:spacing w:after="0"/>
              <w:rPr>
                <w:sz w:val="15"/>
                <w:szCs w:val="15"/>
                <w:color w:val="auto"/>
              </w:rPr>
            </w:pPr>
          </w:p>
        </w:tc>
        <w:tc>
          <w:tcPr>
            <w:tcW w:w="106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ind w:left="440"/>
              <w:spacing w:after="0"/>
              <w:rPr>
                <w:sz w:val="20"/>
                <w:szCs w:val="20"/>
                <w:color w:val="auto"/>
              </w:rPr>
            </w:pPr>
            <w:r>
              <w:rPr>
                <w:rFonts w:ascii="Arial" w:cs="Arial" w:eastAsia="Arial" w:hAnsi="Arial"/>
                <w:sz w:val="13"/>
                <w:szCs w:val="13"/>
                <w:b w:val="1"/>
                <w:bCs w:val="1"/>
                <w:color w:val="auto"/>
              </w:rPr>
              <w:t>Location</w:t>
            </w:r>
          </w:p>
        </w:tc>
        <w:tc>
          <w:tcPr>
            <w:tcW w:w="580" w:type="dxa"/>
            <w:vAlign w:val="bottom"/>
          </w:tcPr>
          <w:p>
            <w:pPr>
              <w:spacing w:after="0"/>
              <w:rPr>
                <w:sz w:val="15"/>
                <w:szCs w:val="15"/>
                <w:color w:val="auto"/>
              </w:rPr>
            </w:pPr>
          </w:p>
        </w:tc>
        <w:tc>
          <w:tcPr>
            <w:tcW w:w="1040" w:type="dxa"/>
            <w:vAlign w:val="bottom"/>
            <w:gridSpan w:val="2"/>
          </w:tcPr>
          <w:p>
            <w:pPr>
              <w:jc w:val="right"/>
              <w:ind w:right="377"/>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2015</w:t>
            </w:r>
          </w:p>
        </w:tc>
        <w:tc>
          <w:tcPr>
            <w:tcW w:w="4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w w:val="82"/>
              </w:rPr>
              <w:t>2014</w:t>
            </w: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2015</w:t>
            </w:r>
          </w:p>
        </w:tc>
        <w:tc>
          <w:tcPr>
            <w:tcW w:w="3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3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2014</w:t>
            </w:r>
          </w:p>
        </w:tc>
        <w:tc>
          <w:tcPr>
            <w:tcW w:w="2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left="337"/>
              <w:spacing w:after="0"/>
              <w:rPr>
                <w:sz w:val="20"/>
                <w:szCs w:val="20"/>
                <w:color w:val="auto"/>
              </w:rPr>
            </w:pPr>
            <w:r>
              <w:rPr>
                <w:rFonts w:ascii="Arial" w:cs="Arial" w:eastAsia="Arial" w:hAnsi="Arial"/>
                <w:sz w:val="13"/>
                <w:szCs w:val="13"/>
                <w:b w:val="1"/>
                <w:bCs w:val="1"/>
                <w:color w:val="auto"/>
                <w:w w:val="87"/>
              </w:rPr>
              <w:t>(in thousands)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3"/>
          </w:tcPr>
          <w:p>
            <w:pPr>
              <w:jc w:val="right"/>
              <w:ind w:right="497"/>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w w:val="84"/>
              </w:rPr>
              <w:t>(in thousands)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Three Months Ended September 30,</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Interest rate swap contracts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(296)</w:t>
            </w:r>
          </w:p>
        </w:tc>
        <w:tc>
          <w:tcPr>
            <w:tcW w:w="4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217</w:t>
            </w:r>
          </w:p>
        </w:tc>
        <w:tc>
          <w:tcPr>
            <w:tcW w:w="1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w w:val="99"/>
              </w:rPr>
              <w:t>Interest expense</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(412)</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w w:val="95"/>
              </w:rPr>
              <w:t>Interest expense</w:t>
            </w: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Nine Months Ended September 30,</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jc w:val="right"/>
              <w:ind w:right="660"/>
              <w:spacing w:after="0"/>
              <w:rPr>
                <w:sz w:val="20"/>
                <w:szCs w:val="20"/>
                <w:color w:val="auto"/>
              </w:rPr>
            </w:pPr>
            <w:r>
              <w:rPr>
                <w:rFonts w:ascii="Arial" w:cs="Arial" w:eastAsia="Arial" w:hAnsi="Arial"/>
                <w:sz w:val="13"/>
                <w:szCs w:val="13"/>
                <w:color w:val="auto"/>
              </w:rPr>
              <w:t>Interest rate swap contracts</w:t>
            </w: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(1,104)</w:t>
            </w:r>
          </w:p>
        </w:tc>
        <w:tc>
          <w:tcPr>
            <w:tcW w:w="42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(556)</w:t>
            </w:r>
          </w:p>
        </w:tc>
        <w:tc>
          <w:tcPr>
            <w:tcW w:w="120" w:type="dxa"/>
            <w:vAlign w:val="bottom"/>
          </w:tcPr>
          <w:p>
            <w:pPr>
              <w:spacing w:after="0"/>
              <w:rPr>
                <w:sz w:val="15"/>
                <w:szCs w:val="15"/>
                <w:color w:val="auto"/>
              </w:rPr>
            </w:pPr>
          </w:p>
        </w:tc>
        <w:tc>
          <w:tcPr>
            <w:tcW w:w="1500" w:type="dxa"/>
            <w:vAlign w:val="bottom"/>
            <w:gridSpan w:val="2"/>
            <w:vMerge w:val="restart"/>
          </w:tcPr>
          <w:p>
            <w:pPr>
              <w:ind w:left="520"/>
              <w:spacing w:after="0"/>
              <w:rPr>
                <w:sz w:val="20"/>
                <w:szCs w:val="20"/>
                <w:color w:val="auto"/>
              </w:rPr>
            </w:pPr>
            <w:r>
              <w:rPr>
                <w:rFonts w:ascii="Arial" w:cs="Arial" w:eastAsia="Arial" w:hAnsi="Arial"/>
                <w:sz w:val="13"/>
                <w:szCs w:val="13"/>
                <w:color w:val="auto"/>
                <w:w w:val="99"/>
              </w:rPr>
              <w:t>Interest expense</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auto"/>
              </w:rPr>
              <w:t>(1,235)</w:t>
            </w:r>
          </w:p>
        </w:tc>
        <w:tc>
          <w:tcPr>
            <w:tcW w:w="3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(1,276)</w:t>
            </w:r>
          </w:p>
        </w:tc>
        <w:tc>
          <w:tcPr>
            <w:tcW w:w="120" w:type="dxa"/>
            <w:vAlign w:val="bottom"/>
          </w:tcPr>
          <w:p>
            <w:pPr>
              <w:spacing w:after="0"/>
              <w:rPr>
                <w:sz w:val="15"/>
                <w:szCs w:val="15"/>
                <w:color w:val="auto"/>
              </w:rPr>
            </w:pPr>
          </w:p>
        </w:tc>
        <w:tc>
          <w:tcPr>
            <w:tcW w:w="1460" w:type="dxa"/>
            <w:vAlign w:val="bottom"/>
            <w:gridSpan w:val="2"/>
            <w:vMerge w:val="restart"/>
          </w:tcPr>
          <w:p>
            <w:pPr>
              <w:ind w:left="520"/>
              <w:spacing w:after="0"/>
              <w:rPr>
                <w:sz w:val="20"/>
                <w:szCs w:val="20"/>
                <w:color w:val="auto"/>
              </w:rPr>
            </w:pPr>
            <w:r>
              <w:rPr>
                <w:rFonts w:ascii="Arial" w:cs="Arial" w:eastAsia="Arial" w:hAnsi="Arial"/>
                <w:sz w:val="13"/>
                <w:szCs w:val="13"/>
                <w:color w:val="auto"/>
                <w:w w:val="95"/>
              </w:rPr>
              <w:t>Interest expense</w:t>
            </w:r>
          </w:p>
        </w:tc>
        <w:tc>
          <w:tcPr>
            <w:tcW w:w="580" w:type="dxa"/>
            <w:vAlign w:val="bottom"/>
            <w:vMerge w:val="restart"/>
          </w:tcPr>
          <w:p>
            <w:pPr>
              <w:jc w:val="right"/>
              <w:ind w:right="417"/>
              <w:spacing w:after="0"/>
              <w:rPr>
                <w:sz w:val="20"/>
                <w:szCs w:val="20"/>
                <w:color w:val="auto"/>
              </w:rPr>
            </w:pPr>
            <w:r>
              <w:rPr>
                <w:rFonts w:ascii="Arial" w:cs="Arial" w:eastAsia="Arial" w:hAnsi="Arial"/>
                <w:sz w:val="13"/>
                <w:szCs w:val="13"/>
                <w:color w:val="auto"/>
              </w:rPr>
              <w:t>$</w:t>
            </w:r>
          </w:p>
        </w:tc>
        <w:tc>
          <w:tcPr>
            <w:tcW w:w="34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exposed to foreign exchange risk when we enter into non-functional currency transactions, both intercompany and third party. At each period-end, non-functional currency monetary assets and liabilities are revalued with the change recorded to other income (expense), net. We enter into monthly foreign exchange forward contracts (a total of 409 contracts were entered into during the nine months ended September 30, 2015), which are not designated for hedge accounting, but rather with the intent to reduce earnings volatility associated with certain of these non-functional currency assets and liabilities. The notional amounts of the contracts ranged from $118,000 to $22.0 million, offsetting our exposures to the euro, British pound, Canadian dollar, Australian dollar, Mexican peso, and various other currencies.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effect of our foreign exchange forward derivative instruments on the Consolidated Statements of Operations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was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Derivatives Not Designated as</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5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Hedging Instrument under ASC 815-20</w:t>
            </w:r>
          </w:p>
        </w:tc>
        <w:tc>
          <w:tcPr>
            <w:tcW w:w="340" w:type="dxa"/>
            <w:vAlign w:val="bottom"/>
          </w:tcPr>
          <w:p>
            <w:pPr>
              <w:spacing w:after="0"/>
              <w:rPr>
                <w:sz w:val="18"/>
                <w:szCs w:val="18"/>
                <w:color w:val="auto"/>
              </w:rPr>
            </w:pPr>
          </w:p>
        </w:tc>
        <w:tc>
          <w:tcPr>
            <w:tcW w:w="5920" w:type="dxa"/>
            <w:vAlign w:val="bottom"/>
            <w:gridSpan w:val="8"/>
          </w:tcPr>
          <w:p>
            <w:pPr>
              <w:ind w:left="500"/>
              <w:spacing w:after="0"/>
              <w:rPr>
                <w:sz w:val="20"/>
                <w:szCs w:val="20"/>
                <w:color w:val="auto"/>
              </w:rPr>
            </w:pPr>
            <w:r>
              <w:rPr>
                <w:rFonts w:ascii="Arial" w:cs="Arial" w:eastAsia="Arial" w:hAnsi="Arial"/>
                <w:sz w:val="16"/>
                <w:szCs w:val="16"/>
                <w:b w:val="1"/>
                <w:bCs w:val="1"/>
                <w:color w:val="auto"/>
              </w:rPr>
              <w:t>Gain (Loss) Recognized on Derivatives in Other Income (Expense)</w:t>
            </w: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r>
      <w:tr>
        <w:trPr>
          <w:trHeight w:val="209"/>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4"/>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2540" w:type="dxa"/>
            <w:vAlign w:val="bottom"/>
            <w:gridSpan w:val="3"/>
          </w:tcPr>
          <w:p>
            <w:pPr>
              <w:jc w:val="center"/>
              <w:ind w:right="379"/>
              <w:spacing w:after="0"/>
              <w:rPr>
                <w:sz w:val="20"/>
                <w:szCs w:val="20"/>
                <w:color w:val="auto"/>
              </w:rPr>
            </w:pPr>
            <w:r>
              <w:rPr>
                <w:rFonts w:ascii="Arial" w:cs="Arial" w:eastAsia="Arial" w:hAnsi="Arial"/>
                <w:sz w:val="16"/>
                <w:szCs w:val="16"/>
                <w:b w:val="1"/>
                <w:bCs w:val="1"/>
                <w:color w:val="auto"/>
                <w:w w:val="93"/>
              </w:rPr>
              <w:t>Nine Months Ended</w:t>
            </w:r>
          </w:p>
        </w:tc>
      </w:tr>
      <w:tr>
        <w:trPr>
          <w:trHeight w:val="210"/>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ind w:left="740"/>
              <w:spacing w:after="0"/>
              <w:rPr>
                <w:sz w:val="20"/>
                <w:szCs w:val="20"/>
                <w:color w:val="auto"/>
              </w:rPr>
            </w:pPr>
            <w:r>
              <w:rPr>
                <w:rFonts w:ascii="Arial" w:cs="Arial" w:eastAsia="Arial" w:hAnsi="Arial"/>
                <w:sz w:val="16"/>
                <w:szCs w:val="16"/>
                <w:b w:val="1"/>
                <w:bCs w:val="1"/>
                <w:color w:val="auto"/>
                <w:w w:val="95"/>
              </w:rPr>
              <w:t>September 30,</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gridSpan w:val="2"/>
          </w:tcPr>
          <w:p>
            <w:pPr>
              <w:jc w:val="center"/>
              <w:ind w:left="399"/>
              <w:spacing w:after="0"/>
              <w:rPr>
                <w:sz w:val="20"/>
                <w:szCs w:val="20"/>
                <w:color w:val="auto"/>
              </w:rPr>
            </w:pPr>
            <w:r>
              <w:rPr>
                <w:rFonts w:ascii="Arial" w:cs="Arial" w:eastAsia="Arial" w:hAnsi="Arial"/>
                <w:sz w:val="16"/>
                <w:szCs w:val="16"/>
                <w:b w:val="1"/>
                <w:bCs w:val="1"/>
                <w:color w:val="auto"/>
                <w:w w:val="91"/>
              </w:rPr>
              <w:t>September 30,</w:t>
            </w:r>
          </w:p>
        </w:tc>
        <w:tc>
          <w:tcPr>
            <w:tcW w:w="94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9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9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(1,278)</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(3,004)</w:t>
            </w:r>
          </w:p>
        </w:tc>
        <w:tc>
          <w:tcPr>
            <w:tcW w:w="5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(4,389)</w:t>
            </w:r>
          </w:p>
        </w:tc>
      </w:tr>
      <w:tr>
        <w:trPr>
          <w:trHeight w:val="33"/>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offering death and disability, retirement, and special termination benefits. The defined benefit obligation is calculated annually by using the projected unit credit method. The measurement date for the pension plans was December 31, 2014.</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defined benefit pension plans are denominated in the functional currencies of the respective countries in which the plans are sponsored; therefore, the balances increase or decrease, with a corresponding change in OCI, due to changes in foreign currency exchange rates. Amounts recognized on the Consolidated Balance Sheets consist of:</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2015</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47"/>
        </w:trPr>
        <w:tc>
          <w:tcPr>
            <w:tcW w:w="6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assets in other long-term assets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w:t>
            </w:r>
          </w:p>
        </w:tc>
      </w:tr>
      <w:tr>
        <w:trPr>
          <w:trHeight w:val="270"/>
        </w:trPr>
        <w:tc>
          <w:tcPr>
            <w:tcW w:w="6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Current portion of pension plan liability in wages and benefits payable</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3,498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4,552</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portion of pension plan liability</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101,432</w:t>
            </w:r>
          </w:p>
        </w:tc>
      </w:tr>
      <w:tr>
        <w:trPr>
          <w:trHeight w:val="270"/>
        </w:trPr>
        <w:tc>
          <w:tcPr>
            <w:tcW w:w="67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pension plan benefit liability</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97,198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105,417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pension plan benefit liability decreased primarily due to the strengthening of the U.S. dollar compared with most foreign currencies at September 30, 2015 as compared with December 31, 2014.</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 We contributed $312,000 and $389,000 to the defined benefit pension plans for the nine months ended September 30, 2015 and 2014, respectively. The timing of contributions can vary by plan and from year to year. For 2015, assuming that actual plan asset returns are consistent with our expected rate of return, and that interest rates remain constant, we expect to contribute approximately $382,000 to our defined benefit pension plans. We contributed $375,000 to the defined benefit pension plans for the year ended December 31, 2014.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871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2,661</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Settlements and other</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actuarial net loss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Amortization of unrecognized prior service costs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periodic benefit cost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2,254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1,577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5,382</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 stock-based compensation expense for awards of stock options and the issuance of restricted stock units and unrestricted stock awards. We expense stock-based compensation primarily using the straight-line method over the requisite service period. For the three and nine months ended September 30, stock-based compensation expense and the related tax benefit were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1,706</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1,969</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2,413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8,374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10,307</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Unrestricted stock awards</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w:t>
            </w:r>
          </w:p>
        </w:tc>
      </w:tr>
      <w:tr>
        <w:trPr>
          <w:trHeight w:val="284"/>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stock-based compensation</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2,882</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4"/>
              </w:rPr>
              <w:t>3,249</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10,879</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12,703</w:t>
            </w:r>
          </w:p>
        </w:tc>
      </w:tr>
      <w:tr>
        <w:trPr>
          <w:trHeight w:val="257"/>
        </w:trPr>
        <w:tc>
          <w:tcPr>
            <w:tcW w:w="4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6"/>
                <w:szCs w:val="16"/>
                <w:color w:val="auto"/>
              </w:rPr>
              <w:t>Related tax benefit</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3,189</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3,523</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issue new shares of common stock upon the exercise of stock options or when vesting conditions on restricted stock units are fully satisfied.</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Subject to stock splits, dividends, and other similar events, 7,473,956 shares of common stock are reserved and authorized for issuance under our Amended and Restated 2010 Stock Incentive Plan (Stock Incentive Plan). Awards consist of stock options, restricted stock units, and unrestricted stock awards. At September 30, 2015, 2,830,492 shares were available for grant under the Stock Incentive Plan. The Stock Incentive Plan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Options to purchase our common stock are granted to certain employees, senior management, and members of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option-pricing model with the following weighted average assumptions: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3100" w:type="dxa"/>
            <w:vAlign w:val="bottom"/>
            <w:gridSpan w:val="4"/>
          </w:tcPr>
          <w:p>
            <w:pPr>
              <w:ind w:left="560"/>
              <w:spacing w:after="0"/>
              <w:rPr>
                <w:sz w:val="20"/>
                <w:szCs w:val="20"/>
                <w:color w:val="auto"/>
              </w:rPr>
            </w:pPr>
            <w:r>
              <w:rPr>
                <w:rFonts w:ascii="Arial" w:cs="Arial" w:eastAsia="Arial" w:hAnsi="Arial"/>
                <w:sz w:val="16"/>
                <w:szCs w:val="16"/>
                <w:b w:val="1"/>
                <w:bCs w:val="1"/>
                <w:color w:val="auto"/>
                <w:w w:val="92"/>
              </w:rPr>
              <w:t>Three Months Ended September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5360" w:type="dxa"/>
            <w:vAlign w:val="bottom"/>
            <w:gridSpan w:val="2"/>
          </w:tcPr>
          <w:p>
            <w:pPr>
              <w:ind w:left="4840"/>
              <w:spacing w:after="0"/>
              <w:rPr>
                <w:sz w:val="20"/>
                <w:szCs w:val="20"/>
                <w:color w:val="auto"/>
              </w:rPr>
            </w:pPr>
            <w:r>
              <w:rPr>
                <w:rFonts w:ascii="Arial" w:cs="Arial" w:eastAsia="Arial" w:hAnsi="Arial"/>
                <w:sz w:val="16"/>
                <w:szCs w:val="16"/>
                <w:b w:val="1"/>
                <w:bCs w:val="1"/>
                <w:color w:val="auto"/>
              </w:rPr>
              <w:t>2015</w:t>
            </w:r>
          </w:p>
        </w:tc>
        <w:tc>
          <w:tcPr>
            <w:tcW w:w="1880" w:type="dxa"/>
            <w:vAlign w:val="bottom"/>
            <w:gridSpan w:val="3"/>
          </w:tcPr>
          <w:p>
            <w:pPr>
              <w:ind w:left="1320"/>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r>
      <w:tr>
        <w:trPr>
          <w:trHeight w:val="33"/>
        </w:trPr>
        <w:tc>
          <w:tcPr>
            <w:tcW w:w="41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Dividend yield</w:t>
            </w:r>
            <w:r>
              <w:rPr>
                <w:rFonts w:ascii="Arial" w:cs="Arial" w:eastAsia="Arial" w:hAnsi="Arial"/>
                <w:sz w:val="21"/>
                <w:szCs w:val="21"/>
                <w:color w:val="auto"/>
                <w:vertAlign w:val="superscript"/>
              </w:rPr>
              <w:t>(1)</w:t>
            </w:r>
          </w:p>
        </w:tc>
        <w:tc>
          <w:tcPr>
            <w:tcW w:w="18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r>
              <w:rPr>
                <w:rFonts w:ascii="Arial" w:cs="Arial" w:eastAsia="Arial" w:hAnsi="Arial"/>
                <w:sz w:val="21"/>
                <w:szCs w:val="21"/>
                <w:color w:val="auto"/>
                <w:vertAlign w:val="superscript"/>
              </w:rPr>
              <w:t>(1)</w:t>
            </w:r>
          </w:p>
        </w:tc>
        <w:tc>
          <w:tcPr>
            <w:tcW w:w="188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6"/>
              </w:rPr>
              <w:t>33.6%</w:t>
            </w:r>
          </w:p>
        </w:tc>
        <w:tc>
          <w:tcPr>
            <w:tcW w:w="1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70"/>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Risk-free interest rate</w:t>
            </w:r>
            <w:r>
              <w:rPr>
                <w:rFonts w:ascii="Arial" w:cs="Arial" w:eastAsia="Arial" w:hAnsi="Arial"/>
                <w:sz w:val="21"/>
                <w:szCs w:val="21"/>
                <w:color w:val="auto"/>
                <w:vertAlign w:val="superscript"/>
              </w:rPr>
              <w:t>(1)</w:t>
            </w:r>
          </w:p>
        </w:tc>
        <w:tc>
          <w:tcPr>
            <w:tcW w:w="18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98"/>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Expected term (years)</w:t>
            </w:r>
            <w:r>
              <w:rPr>
                <w:rFonts w:ascii="Arial" w:cs="Arial" w:eastAsia="Arial" w:hAnsi="Arial"/>
                <w:sz w:val="21"/>
                <w:szCs w:val="21"/>
                <w:color w:val="auto"/>
                <w:vertAlign w:val="superscript"/>
              </w:rPr>
              <w:t>(1)</w:t>
            </w:r>
          </w:p>
        </w:tc>
        <w:tc>
          <w:tcPr>
            <w:tcW w:w="188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4"/>
                <w:szCs w:val="24"/>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4"/>
                <w:szCs w:val="24"/>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5.5</w:t>
            </w:r>
          </w:p>
        </w:tc>
      </w:tr>
    </w:tbl>
    <w:p>
      <w:pPr>
        <w:spacing w:after="0" w:line="143"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There were no employee stock options granted for the three months ended September 30, 2015.</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the historical volatility of our common stock and the implied volatility of our traded options for the related expected term. We believe this combined approach is reflective of current and historical market conditions and is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estimated date the award will be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for the nine months ended September 30 is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480" w:type="dxa"/>
            <w:vAlign w:val="bottom"/>
          </w:tcPr>
          <w:p>
            <w:pPr>
              <w:jc w:val="center"/>
              <w:ind w:left="139"/>
              <w:spacing w:after="0"/>
              <w:rPr>
                <w:sz w:val="20"/>
                <w:szCs w:val="20"/>
                <w:color w:val="auto"/>
              </w:rPr>
            </w:pPr>
            <w:r>
              <w:rPr>
                <w:rFonts w:ascii="Arial" w:cs="Arial" w:eastAsia="Arial" w:hAnsi="Arial"/>
                <w:sz w:val="16"/>
                <w:szCs w:val="16"/>
                <w:b w:val="1"/>
                <w:bCs w:val="1"/>
                <w:color w:val="auto"/>
                <w:w w:val="90"/>
              </w:rPr>
              <w:t>Weighted Average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 Exercise</w:t>
            </w: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0"/>
              </w:rPr>
              <w:t>Aggregate</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Average Grant</w:t>
            </w:r>
          </w:p>
        </w:tc>
      </w:tr>
      <w:tr>
        <w:trPr>
          <w:trHeight w:val="243"/>
        </w:trPr>
        <w:tc>
          <w:tcPr>
            <w:tcW w:w="32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Shares</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Price per Share</w:t>
            </w:r>
          </w:p>
        </w:tc>
        <w:tc>
          <w:tcPr>
            <w:tcW w:w="140" w:type="dxa"/>
            <w:vAlign w:val="bottom"/>
          </w:tcPr>
          <w:p>
            <w:pPr>
              <w:spacing w:after="0"/>
              <w:rPr>
                <w:sz w:val="21"/>
                <w:szCs w:val="21"/>
                <w:color w:val="auto"/>
              </w:rPr>
            </w:pPr>
          </w:p>
        </w:tc>
        <w:tc>
          <w:tcPr>
            <w:tcW w:w="148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5"/>
              </w:rPr>
              <w:t>Contractual Life</w:t>
            </w:r>
          </w:p>
        </w:tc>
        <w:tc>
          <w:tcPr>
            <w:tcW w:w="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Intrinsic Value</w:t>
            </w:r>
            <w:r>
              <w:rPr>
                <w:rFonts w:ascii="Arial" w:cs="Arial" w:eastAsia="Arial" w:hAnsi="Arial"/>
                <w:sz w:val="21"/>
                <w:szCs w:val="21"/>
                <w:b w:val="1"/>
                <w:bCs w:val="1"/>
                <w:color w:val="auto"/>
                <w:w w:val="91"/>
                <w:vertAlign w:val="superscript"/>
              </w:rPr>
              <w:t>(1)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Date Fair Value</w:t>
            </w:r>
          </w:p>
        </w:tc>
      </w:tr>
      <w:tr>
        <w:trPr>
          <w:trHeight w:val="217"/>
        </w:trPr>
        <w:tc>
          <w:tcPr>
            <w:tcW w:w="32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1"/>
              </w:rPr>
              <w:t>(years)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8"/>
              </w:rPr>
              <w:t>(in thousands)</w:t>
            </w:r>
          </w:p>
        </w:tc>
        <w:tc>
          <w:tcPr>
            <w:tcW w:w="132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2014</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54.79</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35.65</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13.65</w:t>
            </w: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26.17</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44.06</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69.24</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September 30, 2014</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51.42</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5.1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51"/>
        </w:trPr>
        <w:tc>
          <w:tcPr>
            <w:tcW w:w="3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January 1, 2015</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51.90</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4.4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12.15</w:t>
            </w: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36.05</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37.47</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53.95</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320" w:type="dxa"/>
            <w:vAlign w:val="bottom"/>
            <w:tcBorders>
              <w:bottom w:val="single" w:sz="8" w:color="CCEEFF"/>
            </w:tcBorders>
          </w:tcPr>
          <w:p>
            <w:pPr>
              <w:spacing w:after="0"/>
              <w:rPr>
                <w:sz w:val="4"/>
                <w:szCs w:val="4"/>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September 30, 2015</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49.12</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2"/>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September 30, 2015</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55.52</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2"/>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to vest, September 30, 2015</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36.86</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06" w:lineRule="exact"/>
        <w:rPr>
          <w:sz w:val="20"/>
          <w:szCs w:val="20"/>
          <w:color w:val="auto"/>
        </w:rPr>
      </w:pPr>
    </w:p>
    <w:p>
      <w:pPr>
        <w:jc w:val="both"/>
        <w:ind w:left="340" w:hanging="332"/>
        <w:spacing w:after="0" w:line="230" w:lineRule="auto"/>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of outstanding stock options represents amounts that would have been received by the optionees had all in- the-money options been exercised on that date. Specifically, it is the amount by which the market value of our stock exceeded the exercise 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1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2015, total unrecognized stock-based compensation expense related to nonvested stock options was approximately $3.1 million, which is expected to be recognized over a weighted average period of approximately 1.9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Certain employees, senior management, and members of the Board of Directors receive restricted stock units as a component of their total compensation. The fair value of a restricted stock unit is the market close price of our common stock on the date of</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grant. Restricted stock units generally vest over a three year period. Compensation expense, net of forfeitures, is recognized over the vesting period.</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Beginning in 2013, the performance-based restricted stock units to be issued under the Long-Term Performance Restricted Stock Unit Award Agreement (Performance Award Agreement) were determined based on (1) our achievement of specified non-GAAP EPS targets, as established by the Board at the beginning of each year for each of the calendar years contained in the performance periods (2-year and 3-year awards in 2013 and 3-year awards in subsequent years) (the performance condition) and (2) our total shareholder return (TSR) relative to the TSR attained by companies that are included in the Russell 3000 Index during the performance periods (the market condition). Compensation expense, net of forfeitures, is recognized on a straight-line basis, and the restricted stock units vest upon achievement of the performance condition, provided participants are employed by Itron at the end of the respective performance periods.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Depending on the level of achievement of the performance condition, the actual number of shares to be earned ranges between 0% and 160% of the awards originally granted. At the end of the performance periods, if the performance conditions are achieved at or above threshold, the number of shares earned is further adjusted by a TSR multiplier payout percentage, which ranges between 75% and 125%, based on the market condition. Therefore, based on the attainment of the performance and market conditions, the actual number of shares that vest may range from 0% to 200% of the awards originally granted. Due to the presence of the TSR multiplier market condition, we utilize a Monte Carlo valuation model to determine the fair value of the awards at the grant date. This pricing model uses multiple simulations to evaluate the probability of our achievement of various stock price levels to determine our expected TSR performance ranking. The weighted-average assumptions used to estimate the fair value of performance-based restricted stock units granted and the resulting weighted average fair value are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3680" w:type="dxa"/>
            <w:vAlign w:val="bottom"/>
            <w:gridSpan w:val="6"/>
          </w:tcPr>
          <w:p>
            <w:pPr>
              <w:ind w:left="560"/>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Pr>
          <w:p>
            <w:pPr>
              <w:spacing w:after="0"/>
              <w:rPr>
                <w:sz w:val="18"/>
                <w:szCs w:val="18"/>
                <w:color w:val="auto"/>
              </w:rPr>
            </w:pPr>
          </w:p>
        </w:tc>
        <w:tc>
          <w:tcPr>
            <w:tcW w:w="322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6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4160" w:type="dxa"/>
            <w:vAlign w:val="bottom"/>
            <w:vMerge w:val="restart"/>
          </w:tcPr>
          <w:p>
            <w:pPr>
              <w:ind w:left="40"/>
              <w:spacing w:after="0"/>
              <w:rPr>
                <w:sz w:val="20"/>
                <w:szCs w:val="20"/>
                <w:color w:val="auto"/>
              </w:rPr>
            </w:pPr>
            <w:r>
              <w:rPr>
                <w:rFonts w:ascii="Arial" w:cs="Arial" w:eastAsia="Arial" w:hAnsi="Arial"/>
                <w:sz w:val="16"/>
                <w:szCs w:val="16"/>
                <w:color w:val="auto"/>
              </w:rPr>
              <w:t>Dividend yield</w:t>
            </w:r>
            <w:r>
              <w:rPr>
                <w:rFonts w:ascii="Arial" w:cs="Arial" w:eastAsia="Arial" w:hAnsi="Arial"/>
                <w:sz w:val="21"/>
                <w:szCs w:val="21"/>
                <w:color w:val="auto"/>
                <w:vertAlign w:val="superscript"/>
              </w:rPr>
              <w:t>(1)</w:t>
            </w: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60" w:type="dxa"/>
            <w:vAlign w:val="bottom"/>
            <w:vMerge w:val="continue"/>
          </w:tcPr>
          <w:p>
            <w:pPr>
              <w:spacing w:after="0"/>
              <w:rPr>
                <w:sz w:val="21"/>
                <w:szCs w:val="21"/>
                <w:color w:val="auto"/>
              </w:rPr>
            </w:pPr>
          </w:p>
        </w:tc>
        <w:tc>
          <w:tcPr>
            <w:tcW w:w="1220" w:type="dxa"/>
            <w:vAlign w:val="bottom"/>
          </w:tcPr>
          <w:p>
            <w:pPr>
              <w:spacing w:after="0"/>
              <w:rPr>
                <w:sz w:val="21"/>
                <w:szCs w:val="21"/>
                <w:color w:val="auto"/>
              </w:rPr>
            </w:pPr>
          </w:p>
        </w:tc>
        <w:tc>
          <w:tcPr>
            <w:tcW w:w="102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14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48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volatility</w:t>
            </w:r>
            <w:r>
              <w:rPr>
                <w:rFonts w:ascii="Arial" w:cs="Arial" w:eastAsia="Arial" w:hAnsi="Arial"/>
                <w:sz w:val="21"/>
                <w:szCs w:val="21"/>
                <w:color w:val="auto"/>
                <w:vertAlign w:val="superscript"/>
              </w:rPr>
              <w:t>(1)</w:t>
            </w:r>
          </w:p>
        </w:tc>
        <w:tc>
          <w:tcPr>
            <w:tcW w:w="122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Risk-free interest rate</w:t>
            </w:r>
            <w:r>
              <w:rPr>
                <w:rFonts w:ascii="Arial" w:cs="Arial" w:eastAsia="Arial" w:hAnsi="Arial"/>
                <w:sz w:val="21"/>
                <w:szCs w:val="21"/>
                <w:color w:val="auto"/>
                <w:vertAlign w:val="superscript"/>
              </w:rPr>
              <w:t>(1)</w:t>
            </w:r>
          </w:p>
        </w:tc>
        <w:tc>
          <w:tcPr>
            <w:tcW w:w="1220" w:type="dxa"/>
            <w:vAlign w:val="bottom"/>
          </w:tcPr>
          <w:p>
            <w:pPr>
              <w:spacing w:after="0"/>
              <w:rPr>
                <w:sz w:val="23"/>
                <w:szCs w:val="23"/>
                <w:color w:val="auto"/>
              </w:rPr>
            </w:pPr>
          </w:p>
        </w:tc>
        <w:tc>
          <w:tcPr>
            <w:tcW w:w="102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term (years)</w:t>
            </w:r>
            <w:r>
              <w:rPr>
                <w:rFonts w:ascii="Arial" w:cs="Arial" w:eastAsia="Arial" w:hAnsi="Arial"/>
                <w:sz w:val="21"/>
                <w:szCs w:val="21"/>
                <w:color w:val="auto"/>
                <w:vertAlign w:val="superscript"/>
              </w:rPr>
              <w:t>(1)</w:t>
            </w:r>
          </w:p>
        </w:tc>
        <w:tc>
          <w:tcPr>
            <w:tcW w:w="122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fair value</w:t>
            </w:r>
            <w:r>
              <w:rPr>
                <w:rFonts w:ascii="Arial" w:cs="Arial" w:eastAsia="Arial" w:hAnsi="Arial"/>
                <w:sz w:val="21"/>
                <w:szCs w:val="21"/>
                <w:color w:val="auto"/>
                <w:vertAlign w:val="superscript"/>
              </w:rPr>
              <w:t>(1)</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43.05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33.48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35.15</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There were no long-term performance restricted stock units granted for the three months ended September 30, 2015.</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term of an award based on the period of time between the date of the award and the date the award is expected to vest. The expected term assumption is based upon the plan's performance period as of the date of the award. We have not paid dividends in the past and do not plan to pay dividends in the foreseeable future.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 for the nine months ended September 30:</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1"/>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760" w:type="dxa"/>
            <w:vAlign w:val="bottom"/>
          </w:tcPr>
          <w:p>
            <w:pPr>
              <w:jc w:val="center"/>
              <w:ind w:left="439"/>
              <w:spacing w:after="0"/>
              <w:rPr>
                <w:sz w:val="20"/>
                <w:szCs w:val="20"/>
                <w:color w:val="auto"/>
              </w:rPr>
            </w:pPr>
            <w:r>
              <w:rPr>
                <w:rFonts w:ascii="Arial" w:cs="Arial" w:eastAsia="Arial" w:hAnsi="Arial"/>
                <w:sz w:val="16"/>
                <w:szCs w:val="16"/>
                <w:b w:val="1"/>
                <w:bCs w:val="1"/>
                <w:color w:val="auto"/>
                <w:w w:val="94"/>
              </w:rPr>
              <w:t>Number of</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2"/>
              </w:rPr>
              <w:t>Average Grant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Aggregate</w:t>
            </w:r>
          </w:p>
        </w:tc>
      </w:tr>
      <w:tr>
        <w:trPr>
          <w:trHeight w:val="243"/>
        </w:trPr>
        <w:tc>
          <w:tcPr>
            <w:tcW w:w="4360" w:type="dxa"/>
            <w:vAlign w:val="bottom"/>
          </w:tcPr>
          <w:p>
            <w:pPr>
              <w:spacing w:after="0"/>
              <w:rPr>
                <w:sz w:val="21"/>
                <w:szCs w:val="21"/>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c>
          <w:tcPr>
            <w:tcW w:w="120" w:type="dxa"/>
            <w:vAlign w:val="bottom"/>
          </w:tcPr>
          <w:p>
            <w:pPr>
              <w:spacing w:after="0"/>
              <w:rPr>
                <w:sz w:val="21"/>
                <w:szCs w:val="21"/>
                <w:color w:val="auto"/>
              </w:rPr>
            </w:pPr>
          </w:p>
        </w:tc>
        <w:tc>
          <w:tcPr>
            <w:tcW w:w="174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w w:val="95"/>
              </w:rPr>
              <w:t>Date Fair Value</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1"/>
                <w:szCs w:val="21"/>
                <w:b w:val="1"/>
                <w:bCs w:val="1"/>
                <w:color w:val="auto"/>
                <w:w w:val="90"/>
                <w:vertAlign w:val="superscript"/>
              </w:rPr>
              <w:t>(1)</w:t>
            </w:r>
          </w:p>
        </w:tc>
      </w:tr>
      <w:tr>
        <w:trPr>
          <w:trHeight w:val="217"/>
        </w:trPr>
        <w:tc>
          <w:tcPr>
            <w:tcW w:w="4360" w:type="dxa"/>
            <w:vAlign w:val="bottom"/>
          </w:tcPr>
          <w:p>
            <w:pPr>
              <w:spacing w:after="0"/>
              <w:rPr>
                <w:sz w:val="18"/>
                <w:szCs w:val="18"/>
                <w:color w:val="auto"/>
              </w:rPr>
            </w:pPr>
          </w:p>
        </w:tc>
        <w:tc>
          <w:tcPr>
            <w:tcW w:w="1760" w:type="dxa"/>
            <w:vAlign w:val="bottom"/>
          </w:tcPr>
          <w:p>
            <w:pPr>
              <w:jc w:val="center"/>
              <w:ind w:left="459"/>
              <w:spacing w:after="0"/>
              <w:rPr>
                <w:sz w:val="20"/>
                <w:szCs w:val="20"/>
                <w:color w:val="auto"/>
              </w:rPr>
            </w:pPr>
            <w:r>
              <w:rPr>
                <w:rFonts w:ascii="Arial" w:cs="Arial" w:eastAsia="Arial" w:hAnsi="Arial"/>
                <w:sz w:val="16"/>
                <w:szCs w:val="16"/>
                <w:b w:val="1"/>
                <w:bCs w:val="1"/>
                <w:color w:val="auto"/>
                <w:w w:val="88"/>
              </w:rPr>
              <w:t>(in thousands)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2014</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70"/>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330</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35.64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13,022</w:t>
            </w: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September 30, 2014</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2015</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70"/>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319</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35.30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11,852</w:t>
            </w:r>
          </w:p>
        </w:tc>
      </w:tr>
      <w:tr>
        <w:trPr>
          <w:trHeight w:val="224"/>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74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September 30, 2015</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62"/>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 but not released, September 30, 2015</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0"/>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to vest, September 30, 2015</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537</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17,131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line="217" w:lineRule="auto"/>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is the market value of the stock, before applicable income taxes, based on the closing price on the stock release dates or at the end of the period for restricted stock units expected to vest.</w:t>
      </w:r>
    </w:p>
    <w:p>
      <w:pPr>
        <w:spacing w:after="0" w:line="64" w:lineRule="exact"/>
        <w:rPr>
          <w:rFonts w:ascii="Arial" w:cs="Arial" w:eastAsia="Arial" w:hAnsi="Arial"/>
          <w:sz w:val="22"/>
          <w:szCs w:val="22"/>
          <w:color w:val="auto"/>
          <w:vertAlign w:val="superscript"/>
        </w:rPr>
      </w:pPr>
    </w:p>
    <w:p>
      <w:pPr>
        <w:jc w:val="both"/>
        <w:ind w:left="340" w:hanging="332"/>
        <w:spacing w:after="0" w:line="225" w:lineRule="auto"/>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Restricted stock units granted in 2014 and 2015 do not include awards under the Performance Award Agreement for the respective years, as these awards are not granted until attainment of annual performance goals has been determined at the conclusion of the performance period, which had not occurred as of September 30, 2014 and 2015, respectively.</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2015, unrecognized compensation expense on restricted stock units was $20.6 million, which is expected to be recognized over a weighted average period of approximately 1.9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grant unrestricted stock awards to members of our Board of Directors as part of their compensation. Awards are fully vested and expensed when granted.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unrestricted stock awards is the market close price of our common stock on the date of grant.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 for the three and nine months ended September 30:</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60" w:type="dxa"/>
            <w:vAlign w:val="bottom"/>
            <w:gridSpan w:val="5"/>
          </w:tcPr>
          <w:p>
            <w:pPr>
              <w:jc w:val="right"/>
              <w:ind w:right="439"/>
              <w:spacing w:after="0"/>
              <w:rPr>
                <w:sz w:val="20"/>
                <w:szCs w:val="20"/>
                <w:color w:val="auto"/>
              </w:rPr>
            </w:pPr>
            <w:r>
              <w:rPr>
                <w:rFonts w:ascii="Arial" w:cs="Arial" w:eastAsia="Arial" w:hAnsi="Arial"/>
                <w:sz w:val="16"/>
                <w:szCs w:val="16"/>
                <w:b w:val="1"/>
                <w:bCs w:val="1"/>
                <w:color w:val="auto"/>
              </w:rPr>
              <w:t>(in thousands, except per share data)</w:t>
            </w: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of unrestricted stock granted</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70"/>
        </w:trPr>
        <w:tc>
          <w:tcPr>
            <w:tcW w:w="4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 per share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33.91</w:t>
            </w:r>
          </w:p>
        </w:tc>
        <w:tc>
          <w:tcPr>
            <w:tcW w:w="13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4"/>
              </w:rPr>
              <w:t>41.42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36.51</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39.19</w:t>
            </w:r>
          </w:p>
        </w:tc>
      </w:tr>
      <w:tr>
        <w:trPr>
          <w:trHeight w:val="33"/>
        </w:trPr>
        <w:tc>
          <w:tcPr>
            <w:tcW w:w="4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ESPP, employees can deduct up to 10% of their regular cash compensation to purchase our common stock at a 5% discount from the fair market value of the stock at the end of each fiscal quarter, subject to other limitations under the plan. The sale of the stock to the employees occurs at the beginning of the subsequent quarter. The ESPP is not considered compensatory, and no compensation expense is recognized for sales of our common stock to employees.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ESPP activity for the three and nine months ended September 30:</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2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33"/>
        </w:trPr>
        <w:tc>
          <w:tcPr>
            <w:tcW w:w="4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548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18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jc w:val="right"/>
              <w:ind w:right="959"/>
              <w:spacing w:after="0"/>
              <w:rPr>
                <w:sz w:val="20"/>
                <w:szCs w:val="20"/>
                <w:color w:val="auto"/>
              </w:rPr>
            </w:pPr>
            <w:r>
              <w:rPr>
                <w:rFonts w:ascii="Arial" w:cs="Arial" w:eastAsia="Arial" w:hAnsi="Arial"/>
                <w:sz w:val="16"/>
                <w:szCs w:val="16"/>
                <w:b w:val="1"/>
                <w:bCs w:val="1"/>
                <w:color w:val="auto"/>
              </w:rPr>
              <w:t>2015</w:t>
            </w:r>
          </w:p>
        </w:tc>
        <w:tc>
          <w:tcPr>
            <w:tcW w:w="14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4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w w:val="94"/>
              </w:rPr>
              <w:t>(in thousands)</w:t>
            </w: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480" w:type="dxa"/>
            <w:vAlign w:val="bottom"/>
            <w:gridSpan w:val="2"/>
            <w:shd w:val="clear" w:color="auto" w:fill="CCEEFF"/>
          </w:tcPr>
          <w:p>
            <w:pPr>
              <w:jc w:val="right"/>
              <w:ind w:right="3039"/>
              <w:spacing w:after="0"/>
              <w:rPr>
                <w:sz w:val="20"/>
                <w:szCs w:val="20"/>
                <w:color w:val="auto"/>
              </w:rPr>
            </w:pPr>
            <w:r>
              <w:rPr>
                <w:rFonts w:ascii="Arial" w:cs="Arial" w:eastAsia="Arial" w:hAnsi="Arial"/>
                <w:sz w:val="16"/>
                <w:szCs w:val="16"/>
                <w:color w:val="auto"/>
                <w:w w:val="89"/>
              </w:rPr>
              <w:t>Shares of stock sold to employees</w:t>
            </w:r>
            <w:r>
              <w:rPr>
                <w:rFonts w:ascii="Arial" w:cs="Arial" w:eastAsia="Arial" w:hAnsi="Arial"/>
                <w:sz w:val="21"/>
                <w:szCs w:val="21"/>
                <w:color w:val="auto"/>
                <w:w w:val="89"/>
                <w:vertAlign w:val="superscript"/>
              </w:rPr>
              <w:t>(1)</w:t>
            </w:r>
          </w:p>
        </w:tc>
        <w:tc>
          <w:tcPr>
            <w:tcW w:w="1840" w:type="dxa"/>
            <w:vAlign w:val="bottom"/>
            <w:shd w:val="clear" w:color="auto" w:fill="CCEEFF"/>
          </w:tcPr>
          <w:p>
            <w:pPr>
              <w:jc w:val="right"/>
              <w:ind w:right="1399"/>
              <w:spacing w:after="0"/>
              <w:rPr>
                <w:sz w:val="20"/>
                <w:szCs w:val="20"/>
                <w:color w:val="auto"/>
              </w:rPr>
            </w:pPr>
            <w:r>
              <w:rPr>
                <w:rFonts w:ascii="Arial" w:cs="Arial" w:eastAsia="Arial" w:hAnsi="Arial"/>
                <w:sz w:val="16"/>
                <w:szCs w:val="16"/>
                <w:color w:val="auto"/>
              </w:rPr>
              <w:t>11</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39</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bl>
    <w:p>
      <w:pPr>
        <w:spacing w:after="0" w:line="17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Stock sold to employees during each fiscal quarter under the ESPP is associated with the offering period ending on the last day of the previous fiscal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406,000 shares of common stock available for future issuance under the ESPP at September 30,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tax provision as a percentage of income before tax typically differs from the federal statutory rate of 35%, and may vary from period to period, due to fluctuations in the forecast mix of earnings in domestic and international jurisdictions, new or revised tax legislation and accounting pronouncements, tax credits, state income taxes, adjustments to valuation allowances, and uncertain tax positions, among other items.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tax expense for the three and nine months ended September 30, 2015 differed from the federal statutory rate of 35% due to the forecasted mix of earnings in domestic and international jurisdictions and losses experienced in jurisdictions with valuation allowances on deferred tax assets.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expense for the three and nine months ended September 30, 2014 differed from the federal statutory rate of 35% due to the forecasted mix of earnings in domestic and international jurisdictions, estimated benefits of foreign tax credits, the benefit of certain interest expense deductions, and an election under U.S. Internal Revenue Code Section 338 with respect to a foreign acquisition in 2007.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recognized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8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4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b w:val="1"/>
                <w:bCs w:val="1"/>
                <w:color w:val="auto"/>
                <w:w w:val="90"/>
              </w:rPr>
              <w:t>(in thousands)</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interest and penalties expense</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170</w:t>
            </w:r>
          </w:p>
        </w:tc>
        <w:tc>
          <w:tcPr>
            <w:tcW w:w="13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645</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1,476</w:t>
            </w:r>
          </w:p>
        </w:tc>
      </w:tr>
      <w:tr>
        <w:trPr>
          <w:trHeight w:val="33"/>
        </w:trPr>
        <w:tc>
          <w:tcPr>
            <w:tcW w:w="4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recorded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September 30, 2015</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33"/>
        </w:trPr>
        <w:tc>
          <w:tcPr>
            <w:tcW w:w="67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840" w:type="dxa"/>
            <w:vAlign w:val="bottom"/>
            <w:tcBorders>
              <w:bottom w:val="single" w:sz="8" w:color="CCEEFF"/>
            </w:tcBorders>
            <w:shd w:val="clear" w:color="auto" w:fill="CCEEFF"/>
          </w:tcPr>
          <w:p>
            <w:pPr>
              <w:jc w:val="right"/>
              <w:ind w:right="16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1,886</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Accrued penalties</w:t>
            </w:r>
          </w:p>
        </w:tc>
        <w:tc>
          <w:tcPr>
            <w:tcW w:w="184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w w:val="84"/>
              </w:rPr>
              <w:t>2,585</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2,671</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ind w:right="399"/>
              <w:spacing w:after="0"/>
              <w:rPr>
                <w:sz w:val="20"/>
                <w:szCs w:val="20"/>
                <w:color w:val="auto"/>
              </w:rPr>
            </w:pPr>
            <w:r>
              <w:rPr>
                <w:rFonts w:ascii="Arial" w:cs="Arial" w:eastAsia="Arial" w:hAnsi="Arial"/>
                <w:sz w:val="16"/>
                <w:szCs w:val="16"/>
                <w:b w:val="1"/>
                <w:bCs w:val="1"/>
                <w:color w:val="auto"/>
              </w:rPr>
              <w:t>September 30, 2015</w:t>
            </w: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related to uncertain tax positions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32,973</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28,146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The amount of unrecognized tax benefits that, if recognized, would affect our effective tax rate</w:t>
            </w:r>
          </w:p>
        </w:tc>
        <w:tc>
          <w:tcPr>
            <w:tcW w:w="300" w:type="dxa"/>
            <w:vAlign w:val="bottom"/>
          </w:tcPr>
          <w:p>
            <w:pPr>
              <w:spacing w:after="0"/>
              <w:rPr>
                <w:sz w:val="20"/>
                <w:szCs w:val="20"/>
                <w:color w:val="auto"/>
              </w:rPr>
            </w:pPr>
          </w:p>
        </w:tc>
        <w:tc>
          <w:tcPr>
            <w:tcW w:w="2020" w:type="dxa"/>
            <w:vAlign w:val="bottom"/>
          </w:tcPr>
          <w:p>
            <w:pPr>
              <w:jc w:val="right"/>
              <w:ind w:right="39"/>
              <w:spacing w:after="0"/>
              <w:rPr>
                <w:sz w:val="20"/>
                <w:szCs w:val="20"/>
                <w:color w:val="auto"/>
              </w:rPr>
            </w:pPr>
            <w:r>
              <w:rPr>
                <w:rFonts w:ascii="Arial" w:cs="Arial" w:eastAsia="Arial" w:hAnsi="Arial"/>
                <w:sz w:val="16"/>
                <w:szCs w:val="16"/>
                <w:color w:val="auto"/>
              </w:rPr>
              <w:t>31,660</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26,980</w:t>
            </w:r>
          </w:p>
        </w:tc>
      </w:tr>
    </w:tbl>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2015, we are under examination by certain tax authorities for the 2000 to 2013 tax years. The material jurisdictions where we are subject to examination include, among others, the United States, France, Germany, Italy, Brazil, and the United Kingdom. No material changes have occurred to previously disclosed assessments. We believe we have appropriately accrued for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expected outcome of all tax matters and do not currently anticipate that the ultimate resolution of these examinations will have a material adverse effect on our financial condition, future results of operations, or liquidity.</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recorded within the next twelve months. However, at this time, an estimate of the range of reasonably possible adjustments to the balance of unrecognized tax benefits cannot be made.</w:t>
      </w:r>
    </w:p>
    <w:p>
      <w:pPr>
        <w:spacing w:after="0" w:line="3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2015</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2014</w:t>
            </w:r>
          </w:p>
        </w:tc>
      </w:tr>
      <w:tr>
        <w:trPr>
          <w:trHeight w:val="33"/>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4"/>
          </w:tcPr>
          <w:p>
            <w:pPr>
              <w:spacing w:after="0"/>
              <w:rPr>
                <w:sz w:val="2"/>
                <w:szCs w:val="2"/>
                <w:color w:val="auto"/>
              </w:rPr>
            </w:pPr>
          </w:p>
        </w:tc>
      </w:tr>
      <w:tr>
        <w:trPr>
          <w:trHeight w:val="217"/>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gridSpan w:val="4"/>
          </w:tcPr>
          <w:p>
            <w:pPr>
              <w:jc w:val="right"/>
              <w:ind w:right="1519"/>
              <w:spacing w:after="0"/>
              <w:rPr>
                <w:sz w:val="20"/>
                <w:szCs w:val="20"/>
                <w:color w:val="auto"/>
              </w:rPr>
            </w:pPr>
            <w:r>
              <w:rPr>
                <w:rFonts w:ascii="Arial" w:cs="Arial" w:eastAsia="Arial" w:hAnsi="Arial"/>
                <w:sz w:val="16"/>
                <w:szCs w:val="16"/>
                <w:b w:val="1"/>
                <w:bCs w:val="1"/>
                <w:color w:val="auto"/>
              </w:rPr>
              <w:t>(in thousands)</w:t>
            </w:r>
          </w:p>
        </w:tc>
      </w:tr>
      <w:tr>
        <w:trPr>
          <w:trHeight w:val="303"/>
        </w:trPr>
        <w:tc>
          <w:tcPr>
            <w:tcW w:w="720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660,000</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(158,519)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(91,469)</w:t>
            </w: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(50,399)</w:t>
            </w:r>
          </w:p>
        </w:tc>
      </w:tr>
      <w:tr>
        <w:trPr>
          <w:trHeight w:val="270"/>
        </w:trPr>
        <w:tc>
          <w:tcPr>
            <w:tcW w:w="7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238,395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518,132</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Net available for additional standby LOCs under sub-facility</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253,770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449,601</w:t>
            </w: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lines of credit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106,855</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(31,610)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(28,636)</w:t>
            </w: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Short-term borrowings</w:t>
            </w:r>
            <w:r>
              <w:rPr>
                <w:rFonts w:ascii="Arial" w:cs="Arial" w:eastAsia="Arial" w:hAnsi="Arial"/>
                <w:sz w:val="21"/>
                <w:szCs w:val="21"/>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(4,282)</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58,177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73,937</w:t>
            </w:r>
          </w:p>
        </w:tc>
      </w:tr>
      <w:tr>
        <w:trPr>
          <w:trHeight w:val="73"/>
        </w:trPr>
        <w:tc>
          <w:tcPr>
            <w:tcW w:w="72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51"/>
        </w:trPr>
        <w:tc>
          <w:tcPr>
            <w:tcW w:w="7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80,745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116,306</w:t>
            </w:r>
          </w:p>
        </w:tc>
      </w:tr>
    </w:tbl>
    <w:p>
      <w:pPr>
        <w:spacing w:after="0" w:line="19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Refer to Note 6 for details regarding our secured credit facilities.</w:t>
      </w:r>
    </w:p>
    <w:p>
      <w:pPr>
        <w:spacing w:after="0" w:line="74" w:lineRule="exact"/>
        <w:rPr>
          <w:rFonts w:ascii="Arial" w:cs="Arial" w:eastAsia="Arial" w:hAnsi="Arial"/>
          <w:sz w:val="22"/>
          <w:szCs w:val="22"/>
          <w:color w:val="auto"/>
          <w:vertAlign w:val="superscript"/>
        </w:rPr>
      </w:pPr>
    </w:p>
    <w:p>
      <w:pPr>
        <w:ind w:left="340" w:hanging="332"/>
        <w:spacing w:after="0" w:line="185"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Short-term borrowings are included in "Other current liabilities" on the Consolidated Balance Sheets.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1) the customer promptly notifies us in writing of the claim and 2)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liability is recorded and charged to operating expense when we determine that a loss is probable and the amount can be reasonably estimated. Additionally, we disclose contingencies for which a material loss is reasonably possible, but not probable.</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2010 and 2011, Transdata Incorporated (Transdata) filed lawsuits against four of our customers, CenterPoint Energy (CenterPoint), Tri-County Electric Cooperative, Inc. (Tri-County), San Diego Gas &amp; Electric Company (San Diego), and Texas-New Mexico Power Company (TNMP), as well as several other utilities, alleging infringement of three patents owned by Transdata related to the use of an antenna in a meter. Pursuant to our contractual obligations with our customers, we agreed, subject to certain exceptions, to indemnify and defend them in these lawsuits. The complaints seek unspecified damages as well as injunctive relief. CenterPoint, Tri-County, San Diego, and TNMP have denied all of the substantive allegations and filed counterclaims seeking a declaratory judgment that the patents are invalid and not infringed. In December 2011, the Judicial Panel on Multi-District Litigation consolidated all of these cases in the Western District of Oklahoma for pretrial proceedings. On April 17, 2011, the Oklahoma court stayed the litigation pending the resolution of re-examination proceedings in the United States Patent and Trademark Office (U.S. PTO). The U.S. PTO issued re-examination certificates confirming the patentability of the original claims and allowing certain new claims added by Transdata. The parties conducted a claim construction hearing on February 5, 2013 on one claim term -- "electric meter circuitry." After initially adopting the defendants' proposed construction of the term, the Court granted Transdata's motion for reconsideration by order of June 25, 2013 and has adopted Transdata's proposed construction. On October 1, 2013, the Court issued an order construing other claim terms. Fact discovery closed on June 29, 2014. Following expert reports and depositions, both sides filed various summary judgment motions. On August 28, 2015, the Court issued orders on the motions. Among other things, the Court granted Transdata’s motion for summary judgment that certain prior art did not invalidate the claims, denied CenterPoint’s and SDG&amp;E’s motion for summary judgment that they did not infringe certain asserted claims, and granted defendants’ motion for summary judgment on the issue of willfulness. Defendants have moved for reconsideration of the first two orders. Transdata has moved to have the cases remanded to their originating districts for trial. Defendants are opposing the motion on the basis that the motions for reconsideration should be decided first and/or certain issues should be certified for immediate appeal. The U.S. PTO also instituted additional re-examinations in May 2014 on all three patents but issued Notices of Intent to Issue Re-examination Certificates confirming the patentability of the challenged claims. Petitions for inter partes review, which is a procedure conducted by the Patent Trial and Appeal Board (the PTAB) of the U.S. PTO in which a party can challenge the validity of a patent, were also filed by General Electric (GE), but the PTAB found the petitions were untimely because, under the PTAB's analysis, GE was in privity with a defendant in the pending litigation (and thus was required to file within one year of the beginning of the litigation). No trials are scheduled. In addition, Transdata filed a complaint in the Eastern District of Texas on September 13, 2015 asserting that Itron infringes the three patents in the litigation above. The complaint seeks unspecified damages and injunctive relief. We have not yet responded to the complaint, and there is currently no schedule for the case. We do not believe these matters will have a material adverse effect on our business or financial condition, although an unfavorable outcome could have a material adverse effect on our results of operations for the period in which such a loss is recognized.</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and its subsidiaries are parties to various employment-related proceedings in jurisdictions where they do business. None of the proceedings are individually material to Itron, and we believe that we have made adequate provision such that the ultimate disposition of the proceedings will not materially affect Itron's business or financial condition.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45,146</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New product warranties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1,760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2,278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4,992</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changes/adjustments to warranties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3,686</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Claims activity</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(7,147)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(5,605)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(14,711)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(12,113)</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(1,357)</w:t>
            </w: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54,744</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40,354</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54,744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40,354</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warranty</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40,060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22,283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40,060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22,283</w:t>
            </w:r>
          </w:p>
        </w:tc>
      </w:tr>
      <w:tr>
        <w:trPr>
          <w:trHeight w:val="244"/>
        </w:trPr>
        <w:tc>
          <w:tcPr>
            <w:tcW w:w="4240" w:type="dxa"/>
            <w:vAlign w:val="bottom"/>
          </w:tcPr>
          <w:p>
            <w:pPr>
              <w:ind w:left="380"/>
              <w:spacing w:after="0"/>
              <w:rPr>
                <w:sz w:val="20"/>
                <w:szCs w:val="20"/>
                <w:color w:val="auto"/>
              </w:rPr>
            </w:pPr>
            <w:r>
              <w:rPr>
                <w:rFonts w:ascii="Arial" w:cs="Arial" w:eastAsia="Arial" w:hAnsi="Arial"/>
                <w:sz w:val="16"/>
                <w:szCs w:val="16"/>
                <w:color w:val="auto"/>
              </w:rPr>
              <w:t>Long-term warranty</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14,684</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18,071</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14,684</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18,071</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Total warranty expense is classified within cost of revenues and consists of new product warranties issued, costs related to extended warranty contracts, and other changes and adjustments to warranties. Warranty expense for the three and nine months ended September 30 was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gridSpan w:val="3"/>
          </w:tcPr>
          <w:p>
            <w:pPr>
              <w:ind w:left="840"/>
              <w:spacing w:after="0"/>
              <w:rPr>
                <w:sz w:val="20"/>
                <w:szCs w:val="20"/>
                <w:color w:val="auto"/>
              </w:rPr>
            </w:pPr>
            <w:r>
              <w:rPr>
                <w:rFonts w:ascii="Arial" w:cs="Arial" w:eastAsia="Arial" w:hAnsi="Arial"/>
                <w:sz w:val="16"/>
                <w:szCs w:val="16"/>
                <w:b w:val="1"/>
                <w:bCs w:val="1"/>
                <w:color w:val="auto"/>
                <w:w w:val="94"/>
              </w:rPr>
              <w:t>(in thousands)</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warranty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4,123</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4,910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34,855</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8,678</w:t>
            </w:r>
          </w:p>
        </w:tc>
      </w:tr>
      <w:tr>
        <w:trPr>
          <w:trHeight w:val="33"/>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Warranty expense increased during the nine months ended September 30, 2015 compared with 2014 primarily due to special warranty provisions. During the second quarter of 2015, we concluded it was necessary to issue a product replacement notification to customers of our Water segment who had purchased certain communication modules manufactured between July 2013 and December 2014. We determined that a component of the modules was failing prematurely. The charge recorded for this matter during the nine months ended September 30, 2015 was $28.2 million.</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Unearned Revenue Related to 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33,528</w:t>
            </w:r>
          </w:p>
        </w:tc>
        <w:tc>
          <w:tcPr>
            <w:tcW w:w="0" w:type="dxa"/>
            <w:vAlign w:val="bottom"/>
          </w:tcPr>
          <w:p>
            <w:pPr>
              <w:spacing w:after="0"/>
              <w:rPr>
                <w:sz w:val="1"/>
                <w:szCs w:val="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Unearned revenue for new extended warranties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987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2,837</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 recognized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34,007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34,191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34,007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34,191</w:t>
            </w:r>
          </w:p>
        </w:tc>
        <w:tc>
          <w:tcPr>
            <w:tcW w:w="0" w:type="dxa"/>
            <w:vAlign w:val="bottom"/>
          </w:tcPr>
          <w:p>
            <w:pPr>
              <w:spacing w:after="0"/>
              <w:rPr>
                <w:sz w:val="1"/>
                <w:szCs w:val="1"/>
                <w:color w:val="auto"/>
              </w:rPr>
            </w:pPr>
          </w:p>
        </w:tc>
      </w:tr>
      <w:tr>
        <w:trPr>
          <w:trHeight w:val="220"/>
        </w:trPr>
        <w:tc>
          <w:tcPr>
            <w:tcW w:w="4240" w:type="dxa"/>
            <w:vAlign w:val="bottom"/>
          </w:tcPr>
          <w:p>
            <w:pPr>
              <w:ind w:left="40"/>
              <w:spacing w:after="0"/>
              <w:rPr>
                <w:sz w:val="20"/>
                <w:szCs w:val="20"/>
                <w:color w:val="auto"/>
              </w:rPr>
            </w:pPr>
            <w:r>
              <w:rPr>
                <w:rFonts w:ascii="Arial" w:cs="Arial" w:eastAsia="Arial" w:hAnsi="Arial"/>
                <w:sz w:val="16"/>
                <w:szCs w:val="16"/>
                <w:color w:val="auto"/>
              </w:rPr>
              <w:t>Less: current portion of unearned revenue for extended</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40" w:type="dxa"/>
            <w:vAlign w:val="bottom"/>
          </w:tcPr>
          <w:p>
            <w:pPr>
              <w:ind w:left="200"/>
              <w:spacing w:after="0"/>
              <w:rPr>
                <w:sz w:val="20"/>
                <w:szCs w:val="20"/>
                <w:color w:val="auto"/>
              </w:rPr>
            </w:pPr>
            <w:r>
              <w:rPr>
                <w:rFonts w:ascii="Arial" w:cs="Arial" w:eastAsia="Arial" w:hAnsi="Arial"/>
                <w:sz w:val="16"/>
                <w:szCs w:val="16"/>
                <w:color w:val="auto"/>
              </w:rPr>
              <w:t>warranty</w:t>
            </w:r>
          </w:p>
        </w:tc>
        <w:tc>
          <w:tcPr>
            <w:tcW w:w="10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3,416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2,592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3,416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2,592</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2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Long-term unearned revenue for extended warranty within</w:t>
            </w:r>
          </w:p>
        </w:tc>
        <w:tc>
          <w:tcPr>
            <w:tcW w:w="1080" w:type="dxa"/>
            <w:vAlign w:val="bottom"/>
            <w:vMerge w:val="restart"/>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30,591</w:t>
            </w:r>
          </w:p>
        </w:tc>
        <w:tc>
          <w:tcPr>
            <w:tcW w:w="1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31,599</w:t>
            </w:r>
          </w:p>
        </w:tc>
        <w:tc>
          <w:tcPr>
            <w:tcW w:w="12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30,591</w:t>
            </w:r>
          </w:p>
        </w:tc>
        <w:tc>
          <w:tcPr>
            <w:tcW w:w="12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31,599</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other long-term obligations</w:t>
            </w: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 insured for a substantial portion of the cost of our U.S. employee group health insurance. We purchase insurance from a third party, which provides individual and aggregate stop-loss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gridSpan w:val="3"/>
          </w:tcPr>
          <w:p>
            <w:pPr>
              <w:ind w:left="840"/>
              <w:spacing w:after="0"/>
              <w:rPr>
                <w:sz w:val="20"/>
                <w:szCs w:val="20"/>
                <w:color w:val="auto"/>
              </w:rPr>
            </w:pPr>
            <w:r>
              <w:rPr>
                <w:rFonts w:ascii="Arial" w:cs="Arial" w:eastAsia="Arial" w:hAnsi="Arial"/>
                <w:sz w:val="16"/>
                <w:szCs w:val="16"/>
                <w:b w:val="1"/>
                <w:bCs w:val="1"/>
                <w:color w:val="auto"/>
                <w:w w:val="94"/>
              </w:rPr>
              <w:t>(in thousands)</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5,803</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5,694</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18,704</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16,670</w:t>
            </w:r>
          </w:p>
        </w:tc>
      </w:tr>
      <w:tr>
        <w:trPr>
          <w:trHeight w:val="33"/>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IBNR accrual, which is included in wages and benefits payable,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ind w:right="399"/>
              <w:spacing w:after="0"/>
              <w:rPr>
                <w:sz w:val="20"/>
                <w:szCs w:val="20"/>
                <w:color w:val="auto"/>
              </w:rPr>
            </w:pPr>
            <w:r>
              <w:rPr>
                <w:rFonts w:ascii="Arial" w:cs="Arial" w:eastAsia="Arial" w:hAnsi="Arial"/>
                <w:sz w:val="16"/>
                <w:szCs w:val="16"/>
                <w:b w:val="1"/>
                <w:bCs w:val="1"/>
                <w:color w:val="auto"/>
              </w:rPr>
              <w:t>September 30, 2015</w:t>
            </w: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2,115</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1,924</w:t>
            </w:r>
          </w:p>
        </w:tc>
      </w:tr>
      <w:tr>
        <w:trPr>
          <w:trHeight w:val="33"/>
        </w:trPr>
        <w:tc>
          <w:tcPr>
            <w:tcW w:w="6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Projects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2014, our management approved restructuring projects (2014 Projects) to restructure our Electricity business and related general and administrative activities, along with certain Gas and Water activities, to improve operational efficiencies and reduce expenses. The 2014 Projects include consolidation of certain facilities and reduction of our global workforce. The improved structure will position us to meet our long-term profitability goals by better aligning global operations with markets where we can serve our customers profitably.</w:t>
      </w:r>
    </w:p>
    <w:p>
      <w:pPr>
        <w:spacing w:after="0" w:line="1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We began implementing these projects in the fourth quarter of 2014, and we expect to substantially complete these projects by the end of 2016. During the nine months ended September 30, 2015, the total expected restructuring costs decreased by approximately $16.3 million. This includes $9.7 million in restructuring expense release, recognized in the nine months ended September 30, 2015, resulting from employees, originally identified to be terminated, voluntarily resigning or filling vacant positions in different departments or locations, as well as the result of employee negotiations and the need to keep additional employees to meet revised forecasted demand on certain projects. In addition, we are expecting lower future legal costs associated with the termination of employees in certain locations. The favorable change in the translation impact of foreign exchange rates also lowered the expected remaining costs to be recognized. We also recognized a loss of $630,000 on the sale of a non-core business during the third quarter of 2015 as part of our restructuring activities. This loss is included in the </w:t>
      </w:r>
      <w:r>
        <w:rPr>
          <w:rFonts w:ascii="Arial" w:cs="Arial" w:eastAsia="Arial" w:hAnsi="Arial"/>
          <w:sz w:val="16"/>
          <w:szCs w:val="16"/>
          <w:i w:val="1"/>
          <w:iCs w:val="1"/>
          <w:color w:val="auto"/>
        </w:rPr>
        <w:t>Asset impairment &amp; net loss on sale or disposal</w:t>
      </w:r>
      <w:r>
        <w:rPr>
          <w:rFonts w:ascii="Arial" w:cs="Arial" w:eastAsia="Arial" w:hAnsi="Arial"/>
          <w:sz w:val="16"/>
          <w:szCs w:val="16"/>
          <w:color w:val="auto"/>
        </w:rPr>
        <w:t xml:space="preserve"> line in the table below. Certain aspects of the projects are subject to a variety of labor and employment laws, rules, and regulations, which could result in a delay in completing the projects at some locations.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during the nine months ended September 30, 2015, and the remaining expected restructuring costs as of September 30, 2015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Costs Recognized During</w:t>
            </w:r>
          </w:p>
        </w:tc>
        <w:tc>
          <w:tcPr>
            <w:tcW w:w="120" w:type="dxa"/>
            <w:vAlign w:val="bottom"/>
          </w:tcPr>
          <w:p>
            <w:pPr>
              <w:spacing w:after="0"/>
              <w:rPr>
                <w:sz w:val="17"/>
                <w:szCs w:val="17"/>
                <w:color w:val="auto"/>
              </w:rPr>
            </w:pPr>
          </w:p>
        </w:tc>
        <w:tc>
          <w:tcPr>
            <w:tcW w:w="192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Remaining Costs to be</w:t>
            </w:r>
          </w:p>
        </w:tc>
      </w:t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Total Expected Costs at</w:t>
            </w:r>
          </w:p>
        </w:tc>
        <w:tc>
          <w:tcPr>
            <w:tcW w:w="100" w:type="dxa"/>
            <w:vAlign w:val="bottom"/>
          </w:tcPr>
          <w:p>
            <w:pPr>
              <w:spacing w:after="0"/>
              <w:rPr>
                <w:sz w:val="17"/>
                <w:szCs w:val="17"/>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7"/>
                <w:szCs w:val="17"/>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the Nine Months Ended</w:t>
            </w:r>
          </w:p>
        </w:tc>
        <w:tc>
          <w:tcPr>
            <w:tcW w:w="120" w:type="dxa"/>
            <w:vAlign w:val="bottom"/>
          </w:tcPr>
          <w:p>
            <w:pPr>
              <w:spacing w:after="0"/>
              <w:rPr>
                <w:sz w:val="17"/>
                <w:szCs w:val="17"/>
                <w:color w:val="auto"/>
              </w:rPr>
            </w:pPr>
          </w:p>
        </w:tc>
        <w:tc>
          <w:tcPr>
            <w:tcW w:w="192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Recognized at September</w:t>
            </w:r>
          </w:p>
        </w:tc>
      </w:tr>
      <w:tr>
        <w:trPr>
          <w:trHeight w:val="210"/>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2015</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September 30, 2015</w:t>
            </w:r>
          </w:p>
        </w:tc>
        <w:tc>
          <w:tcPr>
            <w:tcW w:w="120" w:type="dxa"/>
            <w:vAlign w:val="bottom"/>
          </w:tcPr>
          <w:p>
            <w:pPr>
              <w:spacing w:after="0"/>
              <w:rPr>
                <w:sz w:val="18"/>
                <w:szCs w:val="18"/>
                <w:color w:val="auto"/>
              </w:rPr>
            </w:pPr>
          </w:p>
        </w:tc>
        <w:tc>
          <w:tcPr>
            <w:tcW w:w="192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30, 2015</w:t>
            </w:r>
          </w:p>
        </w:tc>
      </w:tr>
      <w:tr>
        <w:trPr>
          <w:trHeight w:val="33"/>
        </w:trPr>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5"/>
          </w:tcPr>
          <w:p>
            <w:pPr>
              <w:ind w:left="14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2960" w:type="dxa"/>
            <w:vAlign w:val="bottom"/>
          </w:tcPr>
          <w:p>
            <w:pPr>
              <w:ind w:left="40"/>
              <w:spacing w:after="0"/>
              <w:rPr>
                <w:sz w:val="20"/>
                <w:szCs w:val="20"/>
                <w:color w:val="auto"/>
              </w:rPr>
            </w:pPr>
            <w:r>
              <w:rPr>
                <w:rFonts w:ascii="Arial" w:cs="Arial" w:eastAsia="Arial" w:hAnsi="Arial"/>
                <w:sz w:val="16"/>
                <w:szCs w:val="16"/>
                <w:color w:val="auto"/>
              </w:rPr>
              <w:t>Asset impairments &amp; net loss on sale or</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06"/>
        </w:trPr>
        <w:tc>
          <w:tcPr>
            <w:tcW w:w="2960" w:type="dxa"/>
            <w:vAlign w:val="bottom"/>
          </w:tcPr>
          <w:p>
            <w:pPr>
              <w:ind w:left="200"/>
              <w:spacing w:after="0"/>
              <w:rPr>
                <w:sz w:val="20"/>
                <w:szCs w:val="20"/>
                <w:color w:val="auto"/>
              </w:rPr>
            </w:pPr>
            <w:r>
              <w:rPr>
                <w:rFonts w:ascii="Arial" w:cs="Arial" w:eastAsia="Arial" w:hAnsi="Arial"/>
                <w:sz w:val="16"/>
                <w:szCs w:val="16"/>
                <w:color w:val="auto"/>
              </w:rPr>
              <w:t>disposal</w:t>
            </w:r>
          </w:p>
        </w:tc>
        <w:tc>
          <w:tcPr>
            <w:tcW w:w="160" w:type="dxa"/>
            <w:vAlign w:val="bottom"/>
          </w:tcPr>
          <w:p>
            <w:pPr>
              <w:spacing w:after="0"/>
              <w:rPr>
                <w:sz w:val="17"/>
                <w:szCs w:val="17"/>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9,347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7,952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1,395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4,282</w:t>
            </w:r>
          </w:p>
        </w:tc>
      </w:tr>
      <w:tr>
        <w:trPr>
          <w:trHeight w:val="284"/>
        </w:trPr>
        <w:tc>
          <w:tcPr>
            <w:tcW w:w="29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50,396</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55,800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(9,686)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4,282</w:t>
            </w:r>
          </w:p>
        </w:tc>
      </w:tr>
      <w:tr>
        <w:trPr>
          <w:trHeight w:val="257"/>
        </w:trPr>
        <w:tc>
          <w:tcPr>
            <w:tcW w:w="2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i w:val="1"/>
                <w:iCs w:val="1"/>
                <w:color w:val="auto"/>
              </w:rPr>
              <w:t>Segments:</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Electricity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4,054</w:t>
            </w:r>
          </w:p>
        </w:tc>
      </w:tr>
      <w:tr>
        <w:trPr>
          <w:trHeight w:val="237"/>
        </w:trPr>
        <w:tc>
          <w:tcPr>
            <w:tcW w:w="2960" w:type="dxa"/>
            <w:vAlign w:val="bottom"/>
          </w:tcPr>
          <w:p>
            <w:pPr>
              <w:ind w:left="200"/>
              <w:spacing w:after="0"/>
              <w:rPr>
                <w:sz w:val="20"/>
                <w:szCs w:val="20"/>
                <w:color w:val="auto"/>
              </w:rPr>
            </w:pPr>
            <w:r>
              <w:rPr>
                <w:rFonts w:ascii="Arial" w:cs="Arial" w:eastAsia="Arial" w:hAnsi="Arial"/>
                <w:sz w:val="16"/>
                <w:szCs w:val="16"/>
                <w:color w:val="auto"/>
              </w:rPr>
              <w:t>Gas</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10,981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12,185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99</w:t>
            </w: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Water</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r>
      <w:tr>
        <w:trPr>
          <w:trHeight w:val="237"/>
        </w:trPr>
        <w:tc>
          <w:tcPr>
            <w:tcW w:w="2960" w:type="dxa"/>
            <w:vAlign w:val="bottom"/>
          </w:tcPr>
          <w:p>
            <w:pPr>
              <w:ind w:left="200"/>
              <w:spacing w:after="0"/>
              <w:rPr>
                <w:sz w:val="20"/>
                <w:szCs w:val="20"/>
                <w:color w:val="auto"/>
              </w:rPr>
            </w:pPr>
            <w:r>
              <w:rPr>
                <w:rFonts w:ascii="Arial" w:cs="Arial" w:eastAsia="Arial" w:hAnsi="Arial"/>
                <w:sz w:val="16"/>
                <w:szCs w:val="16"/>
                <w:color w:val="auto"/>
              </w:rPr>
              <w:t>Corporate unallocated</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11,766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12,849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107</w:t>
            </w:r>
          </w:p>
        </w:tc>
      </w:tr>
      <w:tr>
        <w:trPr>
          <w:trHeight w:val="33"/>
        </w:trPr>
        <w:tc>
          <w:tcPr>
            <w:tcW w:w="2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50,396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4,282</w:t>
            </w: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within the restructuring related balance sheet accounts during the nine months ended September 30, 2015:</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Asset Impairments &amp;</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Accrued Employee</w:t>
            </w: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Net Loss on Sale or</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Severance</w:t>
            </w: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Disposal</w:t>
            </w:r>
          </w:p>
        </w:tc>
        <w:tc>
          <w:tcPr>
            <w:tcW w:w="10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Accrued Costs</w:t>
            </w:r>
          </w:p>
        </w:tc>
        <w:tc>
          <w:tcPr>
            <w:tcW w:w="38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5"/>
          </w:tcPr>
          <w:p>
            <w:pPr>
              <w:ind w:left="11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62,859</w:t>
            </w: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Costs charged to (released from) expense</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(13,465)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2,384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(9,686)</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(12,025)</w:t>
            </w: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Non-cash items</w:t>
            </w:r>
          </w:p>
        </w:tc>
        <w:tc>
          <w:tcPr>
            <w:tcW w:w="16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(1,395)</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Effect of change in exchange rates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(4,804)</w:t>
            </w:r>
          </w:p>
        </w:tc>
      </w:tr>
      <w:tr>
        <w:trPr>
          <w:trHeight w:val="244"/>
        </w:trPr>
        <w:tc>
          <w:tcPr>
            <w:tcW w:w="4240" w:type="dxa"/>
            <w:vAlign w:val="bottom"/>
          </w:tcPr>
          <w:p>
            <w:pPr>
              <w:ind w:left="40"/>
              <w:spacing w:after="0"/>
              <w:rPr>
                <w:sz w:val="20"/>
                <w:szCs w:val="20"/>
                <w:color w:val="auto"/>
              </w:rPr>
            </w:pPr>
            <w:r>
              <w:rPr>
                <w:rFonts w:ascii="Arial" w:cs="Arial" w:eastAsia="Arial" w:hAnsi="Arial"/>
                <w:sz w:val="16"/>
                <w:szCs w:val="16"/>
                <w:color w:val="auto"/>
              </w:rPr>
              <w:t>Ending balance, September 30, 2015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31,855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3,094</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34,949</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In addition, our restructuring activities related to the closure of certain facilities resulted in approximately $1.1 million of inventory impairment in 2015. This inventory impairment was recorded in cost of revenues in the Consolidated Statement of Operations.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current portions of the restructuring related liability balances were $23.3 million and $49.1 million as of September 30, 2015 and December 31, 2014. The current portion of the liability is classified within "Other current liabilities" on the Consolidated Balance Sheets. The long-term portions of the restructuring related liability balances were $11.7 million and $13.8 million as of September 30, 2015 and December 31, 2014. The long-term portion of the restructuring liability is classified within "Other long-term obligations" on the Consolidated Balance Sheets, and includes facility exit costs and severance accruals.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Projects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2013, our management approved projects (the 2013 Projects) to restructure our operations to improve profitability and increase efficiencies. We began implementing these projects in the third quarter of 2013, and we expect to substantially complete project activities by the third quarter of 2016 and begin recognizing full savings in 2017. While project activities are expected to continue through September 2016, no further costs are expected to be recognized.</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2013 Projects resulted in approximately $26.2 million of restructuring expense, which was recognized from the third quarter of 2013 through the fourth quarter of 2014.</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September 30, 2015 and December 31, 2014.</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7, 2014, Itron's Board of Directors (the Board) authorized a 12-month repurchase program of up to $50 million in shares of our common stock, to begin on March 8, 2014, upon the expiration of the previous stock repurchase program. From March 8, 2014 through December 31, 2014, we repurchased 910,990 shares of our common stock, totaling $36.7 million. From January 1, 2015 through February 2015, we repurchased 335,251 shares of our common stock which fully utilized the remaining $13.3 million authorized under the program.</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19, 2015, the Board authorized a new repurchase program of up to $50 million of our common stock over a 12-month period, beginning February 19, 2015. From February 19, 2015 through September 30, 2015, we repurchased 655,178 shares of our common stock, totaling $22.0 million, and $28.0 million remained under the current program for future purchases.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OCI is reflected as a net increase (decrease) to Itron, Inc. shareholders’ equity and is not reflected in our results of operations. The before-tax amount, income tax (provision) benefit, and net-of-tax amount related to each component of other comprehensive income (loss) during the reporting periods are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8"/>
                <w:szCs w:val="18"/>
                <w:color w:val="auto"/>
              </w:rPr>
            </w:pPr>
          </w:p>
        </w:tc>
        <w:tc>
          <w:tcPr>
            <w:tcW w:w="28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9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(17,025)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(61,208)</w:t>
            </w:r>
          </w:p>
        </w:tc>
        <w:tc>
          <w:tcPr>
            <w:tcW w:w="0" w:type="dxa"/>
            <w:vAlign w:val="bottom"/>
          </w:tcPr>
          <w:p>
            <w:pPr>
              <w:spacing w:after="0"/>
              <w:rPr>
                <w:sz w:val="1"/>
                <w:szCs w:val="1"/>
                <w:color w:val="auto"/>
              </w:rPr>
            </w:pPr>
          </w:p>
        </w:tc>
      </w:tr>
      <w:tr>
        <w:trPr>
          <w:trHeight w:val="220"/>
        </w:trPr>
        <w:tc>
          <w:tcPr>
            <w:tcW w:w="4700" w:type="dxa"/>
            <w:vAlign w:val="bottom"/>
          </w:tcPr>
          <w:p>
            <w:pPr>
              <w:ind w:left="200"/>
              <w:spacing w:after="0"/>
              <w:rPr>
                <w:sz w:val="20"/>
                <w:szCs w:val="20"/>
                <w:color w:val="auto"/>
              </w:rPr>
            </w:pPr>
            <w:r>
              <w:rPr>
                <w:rFonts w:ascii="Arial" w:cs="Arial" w:eastAsia="Arial" w:hAnsi="Arial"/>
                <w:sz w:val="16"/>
                <w:szCs w:val="16"/>
                <w:color w:val="auto"/>
                <w:w w:val="93"/>
              </w:rPr>
              <w:t>Foreign currency translation adjustment reclassified into net income</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360"/>
              <w:spacing w:after="0"/>
              <w:rPr>
                <w:sz w:val="20"/>
                <w:szCs w:val="20"/>
                <w:color w:val="auto"/>
              </w:rPr>
            </w:pPr>
            <w:r>
              <w:rPr>
                <w:rFonts w:ascii="Arial" w:cs="Arial" w:eastAsia="Arial" w:hAnsi="Arial"/>
                <w:sz w:val="16"/>
                <w:szCs w:val="16"/>
                <w:color w:val="auto"/>
              </w:rPr>
              <w:t>on disposal</w:t>
            </w:r>
          </w:p>
        </w:tc>
        <w:tc>
          <w:tcPr>
            <w:tcW w:w="980" w:type="dxa"/>
            <w:vAlign w:val="bottom"/>
          </w:tcPr>
          <w:p>
            <w:pPr>
              <w:spacing w:after="0"/>
              <w:rPr>
                <w:sz w:val="17"/>
                <w:szCs w:val="17"/>
                <w:color w:val="auto"/>
              </w:rPr>
            </w:pP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962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9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Net hedging loss reclassified into net income</w:t>
            </w:r>
          </w:p>
        </w:tc>
        <w:tc>
          <w:tcPr>
            <w:tcW w:w="980" w:type="dxa"/>
            <w:vAlign w:val="bottom"/>
          </w:tcPr>
          <w:p>
            <w:pPr>
              <w:spacing w:after="0"/>
              <w:rPr>
                <w:sz w:val="20"/>
                <w:szCs w:val="20"/>
                <w:color w:val="auto"/>
              </w:rPr>
            </w:pP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1,275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877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(15,070)</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(49,032)</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(61,650)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(60,040)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20"/>
        </w:trPr>
        <w:tc>
          <w:tcPr>
            <w:tcW w:w="4700" w:type="dxa"/>
            <w:vAlign w:val="bottom"/>
          </w:tcPr>
          <w:p>
            <w:pPr>
              <w:ind w:left="200"/>
              <w:spacing w:after="0"/>
              <w:rPr>
                <w:sz w:val="20"/>
                <w:szCs w:val="20"/>
                <w:color w:val="auto"/>
              </w:rPr>
            </w:pPr>
            <w:r>
              <w:rPr>
                <w:rFonts w:ascii="Arial" w:cs="Arial" w:eastAsia="Arial" w:hAnsi="Arial"/>
                <w:sz w:val="16"/>
                <w:szCs w:val="16"/>
                <w:color w:val="auto"/>
                <w:w w:val="93"/>
              </w:rPr>
              <w:t>Foreign currency translation adjustment reclassified into net income</w:t>
            </w:r>
          </w:p>
        </w:tc>
        <w:tc>
          <w:tcPr>
            <w:tcW w:w="980" w:type="dxa"/>
            <w:vAlign w:val="bottom"/>
          </w:tcPr>
          <w:p>
            <w:pPr>
              <w:spacing w:after="0"/>
              <w:rPr>
                <w:sz w:val="19"/>
                <w:szCs w:val="19"/>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700" w:type="dxa"/>
            <w:vAlign w:val="bottom"/>
          </w:tcPr>
          <w:p>
            <w:pPr>
              <w:ind w:left="360"/>
              <w:spacing w:after="0"/>
              <w:rPr>
                <w:sz w:val="20"/>
                <w:szCs w:val="20"/>
                <w:color w:val="auto"/>
              </w:rPr>
            </w:pPr>
            <w:r>
              <w:rPr>
                <w:rFonts w:ascii="Arial" w:cs="Arial" w:eastAsia="Arial" w:hAnsi="Arial"/>
                <w:sz w:val="16"/>
                <w:szCs w:val="16"/>
                <w:color w:val="auto"/>
              </w:rPr>
              <w:t>on disposal</w:t>
            </w:r>
          </w:p>
        </w:tc>
        <w:tc>
          <w:tcPr>
            <w:tcW w:w="9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9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Net hedging loss reclassified into net income</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w w:val="95"/>
              </w:rPr>
              <w:t>Total other comprehensive income (loss) tax (provision) benefit</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(16,700)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(60,760)</w:t>
            </w:r>
          </w:p>
        </w:tc>
        <w:tc>
          <w:tcPr>
            <w:tcW w:w="0" w:type="dxa"/>
            <w:vAlign w:val="bottom"/>
          </w:tcPr>
          <w:p>
            <w:pPr>
              <w:spacing w:after="0"/>
              <w:rPr>
                <w:sz w:val="1"/>
                <w:szCs w:val="1"/>
                <w:color w:val="auto"/>
              </w:rPr>
            </w:pPr>
          </w:p>
        </w:tc>
      </w:tr>
      <w:tr>
        <w:trPr>
          <w:trHeight w:val="220"/>
        </w:trPr>
        <w:tc>
          <w:tcPr>
            <w:tcW w:w="4700" w:type="dxa"/>
            <w:vAlign w:val="bottom"/>
          </w:tcPr>
          <w:p>
            <w:pPr>
              <w:ind w:left="200"/>
              <w:spacing w:after="0"/>
              <w:rPr>
                <w:sz w:val="20"/>
                <w:szCs w:val="20"/>
                <w:color w:val="auto"/>
              </w:rPr>
            </w:pPr>
            <w:r>
              <w:rPr>
                <w:rFonts w:ascii="Arial" w:cs="Arial" w:eastAsia="Arial" w:hAnsi="Arial"/>
                <w:sz w:val="16"/>
                <w:szCs w:val="16"/>
                <w:color w:val="auto"/>
                <w:w w:val="93"/>
              </w:rPr>
              <w:t>Foreign currency translation adjustment reclassified into net income</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360"/>
              <w:spacing w:after="0"/>
              <w:rPr>
                <w:sz w:val="20"/>
                <w:szCs w:val="20"/>
                <w:color w:val="auto"/>
              </w:rPr>
            </w:pPr>
            <w:r>
              <w:rPr>
                <w:rFonts w:ascii="Arial" w:cs="Arial" w:eastAsia="Arial" w:hAnsi="Arial"/>
                <w:sz w:val="16"/>
                <w:szCs w:val="16"/>
                <w:color w:val="auto"/>
              </w:rPr>
              <w:t>on disposal</w:t>
            </w:r>
          </w:p>
        </w:tc>
        <w:tc>
          <w:tcPr>
            <w:tcW w:w="980" w:type="dxa"/>
            <w:vAlign w:val="bottom"/>
          </w:tcPr>
          <w:p>
            <w:pPr>
              <w:spacing w:after="0"/>
              <w:rPr>
                <w:sz w:val="17"/>
                <w:szCs w:val="17"/>
                <w:color w:val="auto"/>
              </w:rPr>
            </w:pP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962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9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Net hedging loss reclassified into net income</w:t>
            </w:r>
          </w:p>
        </w:tc>
        <w:tc>
          <w:tcPr>
            <w:tcW w:w="980" w:type="dxa"/>
            <w:vAlign w:val="bottom"/>
          </w:tcPr>
          <w:p>
            <w:pPr>
              <w:spacing w:after="0"/>
              <w:rPr>
                <w:sz w:val="20"/>
                <w:szCs w:val="20"/>
                <w:color w:val="auto"/>
              </w:rPr>
            </w:pP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866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(14,801)</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(48,893)</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(61,029)</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(60,003)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accumulated other comprehensive income (loss) (AOCI), net of tax,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(Loss) on</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Pension Plan</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Translation</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(Loss) on Derivative</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Nonderivative</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Benefit Liability</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Instruments</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(21,722)</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(60,760)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(60,477)</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(60,760)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(60,003)</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September 30,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(81,725)</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(136,514)</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(63,934)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(64,616)</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3,587</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(62,972)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1,863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(61,029)</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September 30,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(149,506)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(197,543)</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11"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811"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Details about the AOCI components reclassified to the Consolidated Statements of Operations during the reporting periods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9"/>
          </w:tcPr>
          <w:p>
            <w:pPr>
              <w:jc w:val="center"/>
              <w:spacing w:after="0"/>
              <w:rPr>
                <w:sz w:val="20"/>
                <w:szCs w:val="20"/>
                <w:color w:val="auto"/>
              </w:rPr>
            </w:pPr>
            <w:r>
              <w:rPr>
                <w:rFonts w:ascii="Arial" w:cs="Arial" w:eastAsia="Arial" w:hAnsi="Arial"/>
                <w:sz w:val="16"/>
                <w:szCs w:val="16"/>
                <w:b w:val="1"/>
                <w:bCs w:val="1"/>
                <w:color w:val="auto"/>
                <w:w w:val="92"/>
              </w:rPr>
              <w:t>Amount Reclassified from AOCI</w:t>
            </w:r>
            <w:r>
              <w:rPr>
                <w:rFonts w:ascii="Arial" w:cs="Arial" w:eastAsia="Arial" w:hAnsi="Arial"/>
                <w:sz w:val="21"/>
                <w:szCs w:val="21"/>
                <w:b w:val="1"/>
                <w:bCs w:val="1"/>
                <w:color w:val="auto"/>
                <w:w w:val="92"/>
                <w:vertAlign w:val="superscript"/>
              </w:rPr>
              <w:t>(1)</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900" w:type="dxa"/>
            <w:vAlign w:val="bottom"/>
            <w:gridSpan w:val="5"/>
          </w:tcPr>
          <w:p>
            <w:pPr>
              <w:jc w:val="right"/>
              <w:ind w:right="279"/>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8"/>
                <w:szCs w:val="18"/>
                <w:color w:val="auto"/>
              </w:rPr>
            </w:pPr>
          </w:p>
        </w:tc>
        <w:tc>
          <w:tcPr>
            <w:tcW w:w="2840" w:type="dxa"/>
            <w:vAlign w:val="bottom"/>
          </w:tcPr>
          <w:p>
            <w:pPr>
              <w:ind w:left="80"/>
              <w:spacing w:after="0"/>
              <w:rPr>
                <w:sz w:val="20"/>
                <w:szCs w:val="20"/>
                <w:color w:val="auto"/>
              </w:rPr>
            </w:pPr>
            <w:r>
              <w:rPr>
                <w:rFonts w:ascii="Arial" w:cs="Arial" w:eastAsia="Arial" w:hAnsi="Arial"/>
                <w:sz w:val="16"/>
                <w:szCs w:val="16"/>
                <w:b w:val="1"/>
                <w:bCs w:val="1"/>
                <w:color w:val="auto"/>
                <w:w w:val="93"/>
              </w:rPr>
              <w:t>Affected Line Item in the Consolidated</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6"/>
          </w:tcPr>
          <w:p>
            <w:pPr>
              <w:ind w:left="38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900" w:type="dxa"/>
            <w:vAlign w:val="bottom"/>
            <w:gridSpan w:val="5"/>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2840" w:type="dxa"/>
            <w:vAlign w:val="bottom"/>
          </w:tcPr>
          <w:p>
            <w:pPr>
              <w:ind w:left="540"/>
              <w:spacing w:after="0"/>
              <w:rPr>
                <w:sz w:val="20"/>
                <w:szCs w:val="20"/>
                <w:color w:val="auto"/>
              </w:rPr>
            </w:pPr>
            <w:r>
              <w:rPr>
                <w:rFonts w:ascii="Arial" w:cs="Arial" w:eastAsia="Arial" w:hAnsi="Arial"/>
                <w:sz w:val="16"/>
                <w:szCs w:val="16"/>
                <w:b w:val="1"/>
                <w:bCs w:val="1"/>
                <w:color w:val="auto"/>
              </w:rPr>
              <w:t>Statements of Operations</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6"/>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Amortization of defined benefit pension items</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02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Prior-service costs</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3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9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83"/>
        </w:trPr>
        <w:tc>
          <w:tcPr>
            <w:tcW w:w="402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vMerge w:val="continue"/>
            <w:shd w:val="clear" w:color="auto" w:fill="CCEEFF"/>
          </w:tcPr>
          <w:p>
            <w:pPr>
              <w:spacing w:after="0"/>
              <w:rPr>
                <w:sz w:val="7"/>
                <w:szCs w:val="7"/>
                <w:color w:val="auto"/>
              </w:rPr>
            </w:pPr>
          </w:p>
        </w:tc>
        <w:tc>
          <w:tcPr>
            <w:tcW w:w="780" w:type="dxa"/>
            <w:vAlign w:val="bottom"/>
            <w:tcBorders>
              <w:bottom w:val="single" w:sz="8" w:color="CCEEFF"/>
            </w:tcBorders>
            <w:vMerge w:val="continue"/>
            <w:shd w:val="clear" w:color="auto" w:fill="CCEEFF"/>
          </w:tcPr>
          <w:p>
            <w:pPr>
              <w:spacing w:after="0"/>
              <w:rPr>
                <w:sz w:val="7"/>
                <w:szCs w:val="7"/>
                <w:color w:val="auto"/>
              </w:rPr>
            </w:pPr>
          </w:p>
        </w:tc>
        <w:tc>
          <w:tcPr>
            <w:tcW w:w="380" w:type="dxa"/>
            <w:vAlign w:val="bottom"/>
            <w:tcBorders>
              <w:bottom w:val="single" w:sz="8" w:color="CCEEFF"/>
            </w:tcBorders>
            <w:gridSpan w:val="3"/>
            <w:vMerge w:val="continue"/>
            <w:shd w:val="clear" w:color="auto" w:fill="CCEEFF"/>
          </w:tcPr>
          <w:p>
            <w:pPr>
              <w:spacing w:after="0"/>
              <w:rPr>
                <w:sz w:val="7"/>
                <w:szCs w:val="7"/>
                <w:color w:val="auto"/>
              </w:rPr>
            </w:pPr>
          </w:p>
        </w:tc>
        <w:tc>
          <w:tcPr>
            <w:tcW w:w="8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vMerge w:val="continue"/>
            <w:shd w:val="clear" w:color="auto" w:fill="CCEEFF"/>
          </w:tcPr>
          <w:p>
            <w:pPr>
              <w:spacing w:after="0"/>
              <w:rPr>
                <w:sz w:val="7"/>
                <w:szCs w:val="7"/>
                <w:color w:val="auto"/>
              </w:rPr>
            </w:pPr>
          </w:p>
        </w:tc>
        <w:tc>
          <w:tcPr>
            <w:tcW w:w="7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vMerge w:val="continue"/>
            <w:shd w:val="clear" w:color="auto" w:fill="CCEEFF"/>
          </w:tcPr>
          <w:p>
            <w:pPr>
              <w:spacing w:after="0"/>
              <w:rPr>
                <w:sz w:val="7"/>
                <w:szCs w:val="7"/>
                <w:color w:val="auto"/>
              </w:rPr>
            </w:pPr>
          </w:p>
        </w:tc>
        <w:tc>
          <w:tcPr>
            <w:tcW w:w="7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84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020" w:type="dxa"/>
            <w:vAlign w:val="bottom"/>
            <w:vMerge w:val="restart"/>
          </w:tcPr>
          <w:p>
            <w:pPr>
              <w:ind w:left="200"/>
              <w:spacing w:after="0"/>
              <w:rPr>
                <w:sz w:val="20"/>
                <w:szCs w:val="20"/>
                <w:color w:val="auto"/>
              </w:rPr>
            </w:pPr>
            <w:r>
              <w:rPr>
                <w:rFonts w:ascii="Arial" w:cs="Arial" w:eastAsia="Arial" w:hAnsi="Arial"/>
                <w:sz w:val="16"/>
                <w:szCs w:val="16"/>
                <w:color w:val="auto"/>
              </w:rPr>
              <w:t>Actuarial losses</w:t>
            </w: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(488)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(1,470)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(363)</w:t>
            </w:r>
          </w:p>
        </w:tc>
        <w:tc>
          <w:tcPr>
            <w:tcW w:w="2960" w:type="dxa"/>
            <w:vAlign w:val="bottom"/>
            <w:gridSpan w:val="2"/>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0"/>
        </w:trPr>
        <w:tc>
          <w:tcPr>
            <w:tcW w:w="40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02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Settlement and Other</w:t>
            </w: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9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03"/>
        </w:trPr>
        <w:tc>
          <w:tcPr>
            <w:tcW w:w="4020" w:type="dxa"/>
            <w:vAlign w:val="bottom"/>
            <w:tcBorders>
              <w:bottom w:val="single" w:sz="8" w:color="CCEEFF"/>
            </w:tcBorders>
            <w:vMerge w:val="continue"/>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84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4020" w:type="dxa"/>
            <w:vAlign w:val="bottom"/>
          </w:tcPr>
          <w:p>
            <w:pPr>
              <w:ind w:left="360"/>
              <w:spacing w:after="0"/>
              <w:rPr>
                <w:sz w:val="20"/>
                <w:szCs w:val="20"/>
                <w:color w:val="auto"/>
              </w:rPr>
            </w:pPr>
            <w:r>
              <w:rPr>
                <w:rFonts w:ascii="Arial" w:cs="Arial" w:eastAsia="Arial" w:hAnsi="Arial"/>
                <w:sz w:val="16"/>
                <w:szCs w:val="16"/>
                <w:color w:val="auto"/>
              </w:rPr>
              <w:t>Total, before tax</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(877)</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(1,888)</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Tax benefit (provision)</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0" w:type="dxa"/>
            <w:vAlign w:val="bottom"/>
          </w:tcPr>
          <w:p>
            <w:pPr>
              <w:spacing w:after="0"/>
              <w:rPr>
                <w:sz w:val="1"/>
                <w:szCs w:val="1"/>
                <w:color w:val="auto"/>
              </w:rPr>
            </w:pPr>
          </w:p>
        </w:tc>
      </w:tr>
      <w:tr>
        <w:trPr>
          <w:trHeight w:val="217"/>
        </w:trPr>
        <w:tc>
          <w:tcPr>
            <w:tcW w:w="4020" w:type="dxa"/>
            <w:vAlign w:val="bottom"/>
          </w:tcPr>
          <w:p>
            <w:pPr>
              <w:ind w:left="360"/>
              <w:spacing w:after="0"/>
              <w:rPr>
                <w:sz w:val="20"/>
                <w:szCs w:val="20"/>
                <w:color w:val="auto"/>
              </w:rPr>
            </w:pPr>
            <w:r>
              <w:rPr>
                <w:rFonts w:ascii="Arial" w:cs="Arial" w:eastAsia="Arial" w:hAnsi="Arial"/>
                <w:sz w:val="16"/>
                <w:szCs w:val="16"/>
                <w:color w:val="auto"/>
              </w:rPr>
              <w:t>Total, net of tax</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(866)</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(1,864)</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reclassifications for the period, net of tax</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(866)</w:t>
            </w: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Amounts in parenthesis indicate debits to the Consolidated Statements of Operations.</w:t>
      </w:r>
    </w:p>
    <w:p>
      <w:pPr>
        <w:spacing w:after="0" w:line="74" w:lineRule="exact"/>
        <w:rPr>
          <w:rFonts w:ascii="Arial" w:cs="Arial" w:eastAsia="Arial" w:hAnsi="Arial"/>
          <w:sz w:val="22"/>
          <w:szCs w:val="22"/>
          <w:color w:val="auto"/>
          <w:vertAlign w:val="superscript"/>
        </w:rPr>
      </w:pPr>
    </w:p>
    <w:p>
      <w:pPr>
        <w:ind w:left="340" w:hanging="332"/>
        <w:spacing w:after="0" w:line="185" w:lineRule="auto"/>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These AOCI components are included in the computation of net periodic pension cost. Refer to Note 8 for additional details.</w:t>
      </w:r>
    </w:p>
    <w:p>
      <w:pPr>
        <w:spacing w:after="0" w:line="16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reclassified $962,000 of accumulated currency translation loss into net income upon sale of an insignificant business in Europe. This reclassification was included in restructuring in the Consolidated Statements of Operations. There was no tax impact as a result of this transaction.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Refer to Note 7 for additional details related to derivative activities that resulted in reclassification of AOCI to the Consolidated Statements of Operations.</w:t>
      </w:r>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fair values at September 30, 2015 and December 31, 2014 do not reflect subsequent changes in the economy, interest rates, and other variables that may affect the determination of fair value. The following table presents the fair values of our financial instruments as of the balance sheet dates: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5"/>
          </w:tcPr>
          <w:p>
            <w:pPr>
              <w:ind w:left="700"/>
              <w:spacing w:after="0"/>
              <w:rPr>
                <w:sz w:val="20"/>
                <w:szCs w:val="20"/>
                <w:color w:val="auto"/>
              </w:rPr>
            </w:pPr>
            <w:r>
              <w:rPr>
                <w:rFonts w:ascii="Arial" w:cs="Arial" w:eastAsia="Arial" w:hAnsi="Arial"/>
                <w:sz w:val="16"/>
                <w:szCs w:val="16"/>
                <w:b w:val="1"/>
                <w:bCs w:val="1"/>
                <w:color w:val="auto"/>
              </w:rPr>
              <w:t>September 30, 2015</w:t>
            </w:r>
          </w:p>
        </w:tc>
        <w:tc>
          <w:tcPr>
            <w:tcW w:w="440" w:type="dxa"/>
            <w:vAlign w:val="bottom"/>
          </w:tcPr>
          <w:p>
            <w:pPr>
              <w:spacing w:after="0"/>
              <w:rPr>
                <w:sz w:val="18"/>
                <w:szCs w:val="18"/>
                <w:color w:val="auto"/>
              </w:rPr>
            </w:pPr>
          </w:p>
        </w:tc>
        <w:tc>
          <w:tcPr>
            <w:tcW w:w="28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December 31, 2014</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5"/>
              </w:rPr>
              <w:t>Fair</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Fair</w:t>
            </w:r>
          </w:p>
        </w:tc>
      </w:t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Value</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109,458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109,458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112,371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112,371</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107</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 swaps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70"/>
        </w:trPr>
        <w:tc>
          <w:tcPr>
            <w:tcW w:w="4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4"/>
        </w:trPr>
        <w:tc>
          <w:tcPr>
            <w:tcW w:w="4700" w:type="dxa"/>
            <w:vAlign w:val="bottom"/>
          </w:tcPr>
          <w:p>
            <w:pPr>
              <w:ind w:left="380"/>
              <w:spacing w:after="0"/>
              <w:rPr>
                <w:sz w:val="20"/>
                <w:szCs w:val="20"/>
                <w:color w:val="auto"/>
              </w:rPr>
            </w:pPr>
            <w:r>
              <w:rPr>
                <w:rFonts w:ascii="Arial" w:cs="Arial" w:eastAsia="Arial" w:hAnsi="Arial"/>
                <w:sz w:val="16"/>
                <w:szCs w:val="16"/>
                <w:color w:val="auto"/>
              </w:rPr>
              <w:t>Credit facility</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USD denominated term loan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222,188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222,177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231,645</w:t>
            </w:r>
          </w:p>
        </w:tc>
      </w:tr>
      <w:tr>
        <w:trPr>
          <w:trHeight w:val="237"/>
        </w:trPr>
        <w:tc>
          <w:tcPr>
            <w:tcW w:w="4700" w:type="dxa"/>
            <w:vAlign w:val="bottom"/>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158,519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158,523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91,469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91,124</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 swaps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1,317</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236</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amount approximates fair value (Level 1).</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Credit facility - term loan and multicurrency revolving line of credit: </w:t>
      </w:r>
      <w:r>
        <w:rPr>
          <w:rFonts w:ascii="Arial" w:cs="Arial" w:eastAsia="Arial" w:hAnsi="Arial"/>
          <w:sz w:val="18"/>
          <w:szCs w:val="18"/>
          <w:color w:val="auto"/>
        </w:rPr>
        <w:t>The term loan and revolver are not traded publicly. The fair values, which are valued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a hypothetical market participant, are calculated using a discounted cash flow model with Level 2 inputs, including estimates of incremental borrowing rates for debt with similar terms, maturities, and credit profiles. Due to the proximity between entering into the 2015 credit facility and the balance sheet date, the carrying amounts approximate fair value for the term loan and multicurrency revolving line of credit. Refer to Note 6 for a further discussion of our debt.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Level</w:t>
      </w:r>
      <w:r>
        <w:rPr>
          <w:rFonts w:ascii="Arial" w:cs="Arial" w:eastAsia="Arial" w:hAnsi="Arial"/>
          <w:sz w:val="18"/>
          <w:szCs w:val="18"/>
          <w:i w:val="1"/>
          <w:iCs w:val="1"/>
          <w:color w:val="auto"/>
        </w:rPr>
        <w:t xml:space="preserve"> </w:t>
      </w:r>
      <w:r>
        <w:rPr>
          <w:rFonts w:ascii="Arial" w:cs="Arial" w:eastAsia="Arial" w:hAnsi="Arial"/>
          <w:sz w:val="18"/>
          <w:szCs w:val="18"/>
          <w:color w:val="auto"/>
        </w:rPr>
        <w:t>2 inputs.</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three GAAP measures of segment performance: revenue, gross profit (margin), and operating income (margin). Our operating segments have distinct products, and, therefore, intersegment revenues are minimal. Certain operating expenses are allocated to the operating segments based upon internally established allocation methodologies. Corporate operating expenses, interest income, interest expense, other income (expense), and income tax provision are not allocated to the segments, nor included in the measure of segment profit or loss. In addition, we allocate only certain production assets and intangible assets to our operating segments. We do not manage the performance of the segments on a balance sheet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ectPr>
          <w:pgSz w:w="11900" w:h="16838" w:orient="portrait"/>
          <w:cols w:equalWidth="0" w:num="1">
            <w:col w:w="11420"/>
          </w:cols>
          <w:pgMar w:left="240" w:top="125" w:right="239" w:bottom="1440" w:gutter="0" w:footer="0" w:header="0"/>
        </w:sect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Electricity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Standard electricity (electromechanical and electronic) meters; advanced electricity meters and communication modules; smart electricity meters; smart electricity communication modules; prepayment systems, including smart key, keypad, and smart card communication technologies; advanced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80" w:space="640"/>
            <w:col w:w="10000"/>
          </w:cols>
          <w:pgMar w:left="240" w:top="125" w:right="23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Gas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Standard gas meters; advanced gas meters and communication modules; smart gas meters; smart gas communication modules; prepayment systems, including smart key, keypad, and smart card communication technologies; advanced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Water</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Standard water and heat meters; advanced and smart water meters and communication modules; smart heat meters; advanced systems including handheld, mobile, and fixed network collection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32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30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33"/>
        </w:trPr>
        <w:tc>
          <w:tcPr>
            <w:tcW w:w="3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2014</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2014</w:t>
            </w:r>
          </w:p>
        </w:tc>
      </w:tr>
      <w:tr>
        <w:trPr>
          <w:trHeight w:val="33"/>
        </w:trPr>
        <w:tc>
          <w:tcPr>
            <w:tcW w:w="3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7"/>
        </w:trPr>
        <w:tc>
          <w:tcPr>
            <w:tcW w:w="326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1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47"/>
        </w:trPr>
        <w:tc>
          <w:tcPr>
            <w:tcW w:w="3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206,389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203,441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603,651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567,414</w:t>
            </w:r>
          </w:p>
        </w:tc>
      </w:tr>
      <w:tr>
        <w:trPr>
          <w:trHeight w:val="237"/>
        </w:trPr>
        <w:tc>
          <w:tcPr>
            <w:tcW w:w="3260" w:type="dxa"/>
            <w:vAlign w:val="bottom"/>
          </w:tcPr>
          <w:p>
            <w:pPr>
              <w:ind w:left="380"/>
              <w:spacing w:after="0"/>
              <w:rPr>
                <w:sz w:val="20"/>
                <w:szCs w:val="20"/>
                <w:color w:val="auto"/>
              </w:rPr>
            </w:pPr>
            <w:r>
              <w:rPr>
                <w:rFonts w:ascii="Arial" w:cs="Arial" w:eastAsia="Arial" w:hAnsi="Arial"/>
                <w:sz w:val="16"/>
                <w:szCs w:val="16"/>
                <w:color w:val="auto"/>
              </w:rPr>
              <w:t>Gas</w:t>
            </w:r>
          </w:p>
        </w:tc>
        <w:tc>
          <w:tcPr>
            <w:tcW w:w="1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136,588</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149,276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401,063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449,707</w:t>
            </w:r>
          </w:p>
        </w:tc>
      </w:tr>
      <w:tr>
        <w:trPr>
          <w:trHeight w:val="33"/>
        </w:trPr>
        <w:tc>
          <w:tcPr>
            <w:tcW w:w="3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126,115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143,737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382,728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443,481</w:t>
            </w:r>
          </w:p>
        </w:tc>
      </w:tr>
      <w:tr>
        <w:trPr>
          <w:trHeight w:val="217"/>
        </w:trPr>
        <w:tc>
          <w:tcPr>
            <w:tcW w:w="326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200" w:type="dxa"/>
            <w:vAlign w:val="bottom"/>
            <w:tcBorders>
              <w:top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469,092</w:t>
            </w:r>
          </w:p>
        </w:tc>
        <w:tc>
          <w:tcPr>
            <w:tcW w:w="100" w:type="dxa"/>
            <w:vAlign w:val="bottom"/>
          </w:tcPr>
          <w:p>
            <w:pPr>
              <w:spacing w:after="0"/>
              <w:rPr>
                <w:sz w:val="18"/>
                <w:szCs w:val="18"/>
                <w:color w:val="auto"/>
              </w:rPr>
            </w:pPr>
          </w:p>
        </w:tc>
        <w:tc>
          <w:tcPr>
            <w:tcW w:w="1220" w:type="dxa"/>
            <w:vAlign w:val="bottom"/>
            <w:tcBorders>
              <w:top w:val="single" w:sz="8" w:color="auto"/>
            </w:tcBorders>
          </w:tcPr>
          <w:p>
            <w:pPr>
              <w:jc w:val="right"/>
              <w:ind w:right="10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496,454</w:t>
            </w:r>
          </w:p>
        </w:tc>
        <w:tc>
          <w:tcPr>
            <w:tcW w:w="100" w:type="dxa"/>
            <w:vAlign w:val="bottom"/>
          </w:tcPr>
          <w:p>
            <w:pPr>
              <w:spacing w:after="0"/>
              <w:rPr>
                <w:sz w:val="18"/>
                <w:szCs w:val="18"/>
                <w:color w:val="auto"/>
              </w:rPr>
            </w:pP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1,387,442</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1,460,602</w:t>
            </w:r>
          </w:p>
        </w:tc>
      </w:tr>
      <w:tr>
        <w:trPr>
          <w:trHeight w:val="73"/>
        </w:trPr>
        <w:tc>
          <w:tcPr>
            <w:tcW w:w="3260" w:type="dxa"/>
            <w:vAlign w:val="bottom"/>
            <w:tcBorders>
              <w:bottom w:val="single" w:sz="8" w:color="CCEEFF"/>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251"/>
        </w:trPr>
        <w:tc>
          <w:tcPr>
            <w:tcW w:w="3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4"/>
        </w:trPr>
        <w:tc>
          <w:tcPr>
            <w:tcW w:w="3260" w:type="dxa"/>
            <w:vAlign w:val="bottom"/>
          </w:tcPr>
          <w:p>
            <w:pPr>
              <w:ind w:left="40"/>
              <w:spacing w:after="0"/>
              <w:rPr>
                <w:sz w:val="20"/>
                <w:szCs w:val="20"/>
                <w:color w:val="auto"/>
              </w:rPr>
            </w:pPr>
            <w:r>
              <w:rPr>
                <w:rFonts w:ascii="Arial" w:cs="Arial" w:eastAsia="Arial" w:hAnsi="Arial"/>
                <w:sz w:val="16"/>
                <w:szCs w:val="16"/>
                <w:b w:val="1"/>
                <w:bCs w:val="1"/>
                <w:color w:val="auto"/>
              </w:rPr>
              <w:t>Gross profit</w:t>
            </w:r>
          </w:p>
        </w:tc>
        <w:tc>
          <w:tcPr>
            <w:tcW w:w="1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
        </w:trPr>
        <w:tc>
          <w:tcPr>
            <w:tcW w:w="3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56,859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45,959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164,601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141,675</w:t>
            </w:r>
          </w:p>
        </w:tc>
      </w:tr>
      <w:tr>
        <w:trPr>
          <w:trHeight w:val="237"/>
        </w:trPr>
        <w:tc>
          <w:tcPr>
            <w:tcW w:w="3260" w:type="dxa"/>
            <w:vAlign w:val="bottom"/>
          </w:tcPr>
          <w:p>
            <w:pPr>
              <w:ind w:left="380"/>
              <w:spacing w:after="0"/>
              <w:rPr>
                <w:sz w:val="20"/>
                <w:szCs w:val="20"/>
                <w:color w:val="auto"/>
              </w:rPr>
            </w:pPr>
            <w:r>
              <w:rPr>
                <w:rFonts w:ascii="Arial" w:cs="Arial" w:eastAsia="Arial" w:hAnsi="Arial"/>
                <w:sz w:val="16"/>
                <w:szCs w:val="16"/>
                <w:color w:val="auto"/>
              </w:rPr>
              <w:t>Gas</w:t>
            </w:r>
          </w:p>
        </w:tc>
        <w:tc>
          <w:tcPr>
            <w:tcW w:w="1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45,916</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53,492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133,541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168,609</w:t>
            </w:r>
          </w:p>
        </w:tc>
      </w:tr>
      <w:tr>
        <w:trPr>
          <w:trHeight w:val="33"/>
        </w:trPr>
        <w:tc>
          <w:tcPr>
            <w:tcW w:w="3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44,191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51,311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105,594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158,054</w:t>
            </w:r>
          </w:p>
        </w:tc>
      </w:tr>
      <w:tr>
        <w:trPr>
          <w:trHeight w:val="217"/>
        </w:trPr>
        <w:tc>
          <w:tcPr>
            <w:tcW w:w="326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200" w:type="dxa"/>
            <w:vAlign w:val="bottom"/>
            <w:tcBorders>
              <w:top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146,966</w:t>
            </w:r>
          </w:p>
        </w:tc>
        <w:tc>
          <w:tcPr>
            <w:tcW w:w="100" w:type="dxa"/>
            <w:vAlign w:val="bottom"/>
          </w:tcPr>
          <w:p>
            <w:pPr>
              <w:spacing w:after="0"/>
              <w:rPr>
                <w:sz w:val="18"/>
                <w:szCs w:val="18"/>
                <w:color w:val="auto"/>
              </w:rPr>
            </w:pPr>
          </w:p>
        </w:tc>
        <w:tc>
          <w:tcPr>
            <w:tcW w:w="1220" w:type="dxa"/>
            <w:vAlign w:val="bottom"/>
            <w:tcBorders>
              <w:top w:val="single" w:sz="8" w:color="auto"/>
            </w:tcBorders>
          </w:tcPr>
          <w:p>
            <w:pPr>
              <w:jc w:val="right"/>
              <w:ind w:right="10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150,762</w:t>
            </w:r>
          </w:p>
        </w:tc>
        <w:tc>
          <w:tcPr>
            <w:tcW w:w="100" w:type="dxa"/>
            <w:vAlign w:val="bottom"/>
          </w:tcPr>
          <w:p>
            <w:pPr>
              <w:spacing w:after="0"/>
              <w:rPr>
                <w:sz w:val="18"/>
                <w:szCs w:val="18"/>
                <w:color w:val="auto"/>
              </w:rPr>
            </w:pP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403,736</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468,338</w:t>
            </w:r>
          </w:p>
        </w:tc>
      </w:tr>
      <w:tr>
        <w:trPr>
          <w:trHeight w:val="73"/>
        </w:trPr>
        <w:tc>
          <w:tcPr>
            <w:tcW w:w="3260" w:type="dxa"/>
            <w:vAlign w:val="bottom"/>
            <w:tcBorders>
              <w:bottom w:val="single" w:sz="8" w:color="CCEEFF"/>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251"/>
        </w:trPr>
        <w:tc>
          <w:tcPr>
            <w:tcW w:w="3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4"/>
        </w:trPr>
        <w:tc>
          <w:tcPr>
            <w:tcW w:w="326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1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
        </w:trPr>
        <w:tc>
          <w:tcPr>
            <w:tcW w:w="3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10,575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(35,412)</w:t>
            </w:r>
          </w:p>
        </w:tc>
      </w:tr>
      <w:tr>
        <w:trPr>
          <w:trHeight w:val="237"/>
        </w:trPr>
        <w:tc>
          <w:tcPr>
            <w:tcW w:w="3260" w:type="dxa"/>
            <w:vAlign w:val="bottom"/>
          </w:tcPr>
          <w:p>
            <w:pPr>
              <w:ind w:left="380"/>
              <w:spacing w:after="0"/>
              <w:rPr>
                <w:sz w:val="20"/>
                <w:szCs w:val="20"/>
                <w:color w:val="auto"/>
              </w:rPr>
            </w:pPr>
            <w:r>
              <w:rPr>
                <w:rFonts w:ascii="Arial" w:cs="Arial" w:eastAsia="Arial" w:hAnsi="Arial"/>
                <w:sz w:val="16"/>
                <w:szCs w:val="16"/>
                <w:color w:val="auto"/>
              </w:rPr>
              <w:t>Gas</w:t>
            </w:r>
          </w:p>
        </w:tc>
        <w:tc>
          <w:tcPr>
            <w:tcW w:w="1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15,741</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23,836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44,075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73,889</w:t>
            </w:r>
          </w:p>
        </w:tc>
      </w:tr>
      <w:tr>
        <w:trPr>
          <w:trHeight w:val="33"/>
        </w:trPr>
        <w:tc>
          <w:tcPr>
            <w:tcW w:w="3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14,290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19,157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60,319</w:t>
            </w:r>
          </w:p>
        </w:tc>
      </w:tr>
      <w:tr>
        <w:trPr>
          <w:trHeight w:val="237"/>
        </w:trPr>
        <w:tc>
          <w:tcPr>
            <w:tcW w:w="326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1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(13,398)</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(15,339)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(35,030)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(45,872)</w:t>
            </w:r>
          </w:p>
        </w:tc>
      </w:tr>
      <w:tr>
        <w:trPr>
          <w:trHeight w:val="33"/>
        </w:trPr>
        <w:tc>
          <w:tcPr>
            <w:tcW w:w="32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3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1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27,208</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16,458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36,796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52,924</w:t>
            </w:r>
          </w:p>
        </w:tc>
      </w:tr>
      <w:tr>
        <w:trPr>
          <w:trHeight w:val="237"/>
        </w:trPr>
        <w:tc>
          <w:tcPr>
            <w:tcW w:w="326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(3,739)</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(4,421)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(11,899)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(13,966)</w:t>
            </w:r>
          </w:p>
        </w:tc>
      </w:tr>
      <w:tr>
        <w:trPr>
          <w:trHeight w:val="33"/>
        </w:trPr>
        <w:tc>
          <w:tcPr>
            <w:tcW w:w="32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5"/>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23,469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12,037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38,958</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of 2015, we concluded it was necessary to issue a product replacement notification to customers of our Water segment who had purchased certain communication modules manufactured between July 2013 and December 2014. We determined that a component of the modules was failing prematurely. This resulted in a decrease to gross profit of $1.5 million and $28.2 million for the three and nine months ended September 30, 2015. After adjusting for the tax impact, this charge resulted in a decrease to basic and diluted earnings per share of $0.02 and $0.45 for the three and nine months ended September 30, 2015.</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three and nine months ended September 30, 2015, our Electricity segment recognized reimbursements of $3.4 million and $8.0 million (classified as an acquisition-related cost recovery within general and administrative expense). These reimbursements were received from certain former SmartSynch, Inc. (SmartSynch) shareholders related to the settlement of litigation, arising from the SmartSynch acquisition, which we paid in February 2015.</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September 30, 2015, one customer represented 11% of total Electricity segment revenues. For the three months ended September 30, 2015, no single customer represented more than 10% of the total Company, Gas, or Water operating segment revenues. For the three months ended September 30, 2014, no single customer represented more than 10% of total Company or the Electricity, Gas, or Water operating segment revenues. For the nine months ended September 30, 2015 and September 30, 2014, no single customer represented more than 10% of total Company or the Electricity, Gas, or Water operating segment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3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6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33"/>
        </w:trPr>
        <w:tc>
          <w:tcPr>
            <w:tcW w:w="33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2014</w:t>
            </w:r>
          </w:p>
        </w:tc>
      </w:tr>
      <w:tr>
        <w:trPr>
          <w:trHeight w:val="33"/>
        </w:trPr>
        <w:tc>
          <w:tcPr>
            <w:tcW w:w="33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257,901</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237,684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742,927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652,390</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Europe, Middle East, and Africa</w:t>
            </w:r>
          </w:p>
        </w:tc>
        <w:tc>
          <w:tcPr>
            <w:tcW w:w="1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166,231</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201,673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509,322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641,434</w:t>
            </w:r>
          </w:p>
        </w:tc>
      </w:tr>
      <w:tr>
        <w:trPr>
          <w:trHeight w:val="33"/>
        </w:trPr>
        <w:tc>
          <w:tcPr>
            <w:tcW w:w="3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44,960</w:t>
            </w:r>
          </w:p>
        </w:tc>
        <w:tc>
          <w:tcPr>
            <w:tcW w:w="14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57,097</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135,193</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166,778</w:t>
            </w:r>
          </w:p>
        </w:tc>
      </w:tr>
      <w:tr>
        <w:trPr>
          <w:trHeight w:val="217"/>
        </w:trPr>
        <w:tc>
          <w:tcPr>
            <w:tcW w:w="33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469,092</w:t>
            </w:r>
          </w:p>
        </w:tc>
        <w:tc>
          <w:tcPr>
            <w:tcW w:w="140" w:type="dxa"/>
            <w:vAlign w:val="bottom"/>
          </w:tcPr>
          <w:p>
            <w:pPr>
              <w:spacing w:after="0"/>
              <w:rPr>
                <w:sz w:val="18"/>
                <w:szCs w:val="18"/>
                <w:color w:val="auto"/>
              </w:rPr>
            </w:pPr>
          </w:p>
        </w:tc>
        <w:tc>
          <w:tcPr>
            <w:tcW w:w="1240" w:type="dxa"/>
            <w:vAlign w:val="bottom"/>
          </w:tcPr>
          <w:p>
            <w:pPr>
              <w:jc w:val="right"/>
              <w:ind w:right="10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496,454</w:t>
            </w:r>
          </w:p>
        </w:tc>
        <w:tc>
          <w:tcPr>
            <w:tcW w:w="12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1,387,442</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1,460,602</w:t>
            </w:r>
          </w:p>
        </w:tc>
      </w:tr>
      <w:tr>
        <w:trPr>
          <w:trHeight w:val="33"/>
        </w:trPr>
        <w:tc>
          <w:tcPr>
            <w:tcW w:w="33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Other region includes our operations in Latin America and Asia Pacific.</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3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6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33"/>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2014</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2014</w:t>
            </w:r>
          </w:p>
        </w:tc>
      </w:tr>
      <w:tr>
        <w:trPr>
          <w:trHeight w:val="33"/>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126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8,875</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11,596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36,754</w:t>
            </w: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auto"/>
              </w:rPr>
              <w:t>Gas</w:t>
            </w:r>
          </w:p>
        </w:tc>
        <w:tc>
          <w:tcPr>
            <w:tcW w:w="1260" w:type="dxa"/>
            <w:vAlign w:val="bottom"/>
          </w:tcPr>
          <w:p>
            <w:pPr>
              <w:spacing w:after="0"/>
              <w:rPr>
                <w:sz w:val="19"/>
                <w:szCs w:val="19"/>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5,502</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6,486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16,045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19,590</w:t>
            </w:r>
          </w:p>
        </w:tc>
      </w:tr>
      <w:tr>
        <w:trPr>
          <w:trHeight w:val="47"/>
        </w:trPr>
        <w:tc>
          <w:tcPr>
            <w:tcW w:w="3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Water</w:t>
            </w: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5,282</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6,466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18,679</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Corporate Unallocated</w:t>
            </w:r>
          </w:p>
        </w:tc>
        <w:tc>
          <w:tcPr>
            <w:tcW w:w="12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210</w:t>
            </w:r>
          </w:p>
        </w:tc>
      </w:tr>
      <w:tr>
        <w:trPr>
          <w:trHeight w:val="33"/>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126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19,754</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24,627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75,233</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Subsequent to September 30, 2015, we repurchased 88,266 shares of our common stock under the stock repurchase program authorized by the Board of Directors on February 19, 2015. The average price paid per share was $34.04.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2014, filed with the Securities and Exchange Commission (SEC) on February 20, 2015.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at the SEC’s Headquarters at 100 F Street, NE, Washington, DC 20549, or by calling 1-800-SEC-0330.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222222"/>
        </w:rPr>
        <w:t xml:space="preserve">This document contains forward-looking statements concerning our operations, financial performance, revenues, earnings growth, liquidity,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failure to meet performance or delivery milestones in customer contracts, 3) changes in estimated liabilities for product warranties and/or litigation, 4) changes in foreign currency exchange rates and interest rates, 5) rescheduling or cancellations of current customer orders and commitments, 6) our dependence on customers' acceptance of new products and their performance, 7) competition, 8) changes in domestic and international laws and regulations, 9) international business risks, 10) our own and our customers' or suppliers' access to and cost of capital, 11) future business combinations, and 12) other factors. You should not solely rely on these forward-looking statements as they are only valid as of the date of this Quarterly Report on Form 10-Q. We do not have any obligation to publicly update or revise any forward-looking statement in this document. </w:t>
      </w:r>
      <w:r>
        <w:rPr>
          <w:rFonts w:ascii="Arial" w:cs="Arial" w:eastAsia="Arial" w:hAnsi="Arial"/>
          <w:sz w:val="16"/>
          <w:szCs w:val="16"/>
          <w:i w:val="1"/>
          <w:iCs w:val="1"/>
          <w:color w:val="000000"/>
        </w:rPr>
        <w:t>For a more complete description of these and other risks, refer to Item 1A: “Risk Factors” included in our</w:t>
      </w:r>
      <w:r>
        <w:rPr>
          <w:rFonts w:ascii="Arial" w:cs="Arial" w:eastAsia="Arial" w:hAnsi="Arial"/>
          <w:sz w:val="16"/>
          <w:szCs w:val="16"/>
          <w:i w:val="1"/>
          <w:iCs w:val="1"/>
          <w:color w:val="222222"/>
        </w:rPr>
        <w:t xml:space="preserve"> </w:t>
      </w:r>
      <w:r>
        <w:rPr>
          <w:rFonts w:ascii="Arial" w:cs="Arial" w:eastAsia="Arial" w:hAnsi="Arial"/>
          <w:sz w:val="16"/>
          <w:szCs w:val="16"/>
          <w:i w:val="1"/>
          <w:iCs w:val="1"/>
          <w:color w:val="000000"/>
        </w:rPr>
        <w:t>Annual Report on Form 10-K for the fiscal year ended December 31, 2014, which was filed with the SEC on February 20,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technology company, offering end-to-end smart metering solutions to electric, natural gas, and water utilities around the world. Our smart metering solutions, meter data management software, and knowledge application solutions bring additional value to a utility’s metering and grid systems. Our professional services help our customers project-manage, operate, and maintain their systems. 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three measures of segment performance under U.S. generally accepted accounting principles (GAAP): revenue, gross profit (margin), and operating income (margin). In addition, we measure segment performance using non-GAAP operating income. Intersegment revenues are minimal. Certain operating expenses are allocated to the operating segments based upon internally established allocation methodologies. Interest income, interest expense, other income (expense), income tax provision, and certain corporate operating expenses are neither allocated to the segments nor included in the measures of segment performance. See pages 54-56 for information about our non-GAAP measures and reconciliations to the most comparable GAAP measures.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22222"/>
        </w:rPr>
        <w:t xml:space="preserve">For the </w:t>
      </w:r>
      <w:r>
        <w:rPr>
          <w:rFonts w:ascii="Arial" w:cs="Arial" w:eastAsia="Arial" w:hAnsi="Arial"/>
          <w:sz w:val="18"/>
          <w:szCs w:val="18"/>
          <w:color w:val="000000"/>
        </w:rPr>
        <w:t>three and nine</w:t>
      </w:r>
      <w:r>
        <w:rPr>
          <w:rFonts w:ascii="Arial" w:cs="Arial" w:eastAsia="Arial" w:hAnsi="Arial"/>
          <w:sz w:val="18"/>
          <w:szCs w:val="18"/>
          <w:color w:val="222222"/>
        </w:rPr>
        <w:t xml:space="preserve"> months ended </w:t>
      </w:r>
      <w:r>
        <w:rPr>
          <w:rFonts w:ascii="Arial" w:cs="Arial" w:eastAsia="Arial" w:hAnsi="Arial"/>
          <w:sz w:val="18"/>
          <w:szCs w:val="18"/>
          <w:color w:val="000000"/>
        </w:rPr>
        <w:t>September 30, 2015</w:t>
      </w:r>
      <w:r>
        <w:rPr>
          <w:rFonts w:ascii="Arial" w:cs="Arial" w:eastAsia="Arial" w:hAnsi="Arial"/>
          <w:sz w:val="18"/>
          <w:szCs w:val="18"/>
          <w:color w:val="222222"/>
        </w:rPr>
        <w:t xml:space="preserve">, our revenues were unfavorably impacted by changes in foreign currency rates, while our cost of revenues and our operating expenses were favorably impacted. A more detailed analysis of revenue, gross profit, and operating expense fluctuations is provided in </w:t>
      </w:r>
      <w:r>
        <w:rPr>
          <w:rFonts w:ascii="Arial" w:cs="Arial" w:eastAsia="Arial" w:hAnsi="Arial"/>
          <w:sz w:val="18"/>
          <w:szCs w:val="18"/>
          <w:i w:val="1"/>
          <w:iCs w:val="1"/>
          <w:color w:val="222222"/>
        </w:rPr>
        <w:t>Operating Segment Results</w:t>
      </w:r>
      <w:r>
        <w:rPr>
          <w:rFonts w:ascii="Arial" w:cs="Arial" w:eastAsia="Arial" w:hAnsi="Arial"/>
          <w:sz w:val="18"/>
          <w:szCs w:val="18"/>
          <w:color w:val="222222"/>
        </w:rPr>
        <w:t>. Period-over-period changes referred to below, on a constant currency basis, represent differences between 2015 results and 2014 results, exclusive of changes in foreign currency rates.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22222"/>
        </w:rPr>
        <w:t xml:space="preserve">Revenues for the </w:t>
      </w:r>
      <w:r>
        <w:rPr>
          <w:rFonts w:ascii="Arial" w:cs="Arial" w:eastAsia="Arial" w:hAnsi="Arial"/>
          <w:sz w:val="18"/>
          <w:szCs w:val="18"/>
          <w:color w:val="000000"/>
        </w:rPr>
        <w:t>three and nine</w:t>
      </w:r>
      <w:r>
        <w:rPr>
          <w:rFonts w:ascii="Arial" w:cs="Arial" w:eastAsia="Arial" w:hAnsi="Arial"/>
          <w:sz w:val="18"/>
          <w:szCs w:val="18"/>
          <w:color w:val="222222"/>
        </w:rPr>
        <w:t xml:space="preserve"> months ended </w:t>
      </w:r>
      <w:r>
        <w:rPr>
          <w:rFonts w:ascii="Arial" w:cs="Arial" w:eastAsia="Arial" w:hAnsi="Arial"/>
          <w:sz w:val="18"/>
          <w:szCs w:val="18"/>
          <w:color w:val="000000"/>
        </w:rPr>
        <w:t>September 30, 2015</w:t>
      </w:r>
      <w:r>
        <w:rPr>
          <w:rFonts w:ascii="Arial" w:cs="Arial" w:eastAsia="Arial" w:hAnsi="Arial"/>
          <w:sz w:val="18"/>
          <w:szCs w:val="18"/>
          <w:color w:val="222222"/>
        </w:rPr>
        <w:t xml:space="preserve"> were </w:t>
      </w:r>
      <w:r>
        <w:rPr>
          <w:rFonts w:ascii="Arial" w:cs="Arial" w:eastAsia="Arial" w:hAnsi="Arial"/>
          <w:sz w:val="18"/>
          <w:szCs w:val="18"/>
          <w:color w:val="000000"/>
        </w:rPr>
        <w:t>$469 million</w:t>
      </w:r>
      <w:r>
        <w:rPr>
          <w:rFonts w:ascii="Arial" w:cs="Arial" w:eastAsia="Arial" w:hAnsi="Arial"/>
          <w:sz w:val="18"/>
          <w:szCs w:val="18"/>
          <w:color w:val="222222"/>
        </w:rPr>
        <w:t xml:space="preserve"> and $1.4 billion compared with </w:t>
      </w:r>
      <w:r>
        <w:rPr>
          <w:rFonts w:ascii="Arial" w:cs="Arial" w:eastAsia="Arial" w:hAnsi="Arial"/>
          <w:sz w:val="18"/>
          <w:szCs w:val="18"/>
          <w:color w:val="000000"/>
        </w:rPr>
        <w:t>$496 million</w:t>
      </w:r>
      <w:r>
        <w:rPr>
          <w:rFonts w:ascii="Arial" w:cs="Arial" w:eastAsia="Arial" w:hAnsi="Arial"/>
          <w:sz w:val="18"/>
          <w:szCs w:val="18"/>
          <w:color w:val="222222"/>
        </w:rPr>
        <w:t xml:space="preserve"> and $1.5 billion in the same periods last year. Total revenues were unfavorably impacted for the quarter and year-to-date periods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22222"/>
        </w:rPr>
        <w:t>by $46.0 million and $139.9 million due to changes in foreign exchange rates. On a constant currency basis, revenues increased $18.6 million for the three month period and $66.7 million for the nine month period.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22222"/>
        </w:rPr>
        <w:t xml:space="preserve">Gross margin for the </w:t>
      </w:r>
      <w:r>
        <w:rPr>
          <w:rFonts w:ascii="Arial" w:cs="Arial" w:eastAsia="Arial" w:hAnsi="Arial"/>
          <w:sz w:val="18"/>
          <w:szCs w:val="18"/>
          <w:color w:val="000000"/>
        </w:rPr>
        <w:t>three and nine</w:t>
      </w:r>
      <w:r>
        <w:rPr>
          <w:rFonts w:ascii="Arial" w:cs="Arial" w:eastAsia="Arial" w:hAnsi="Arial"/>
          <w:sz w:val="18"/>
          <w:szCs w:val="18"/>
          <w:color w:val="222222"/>
        </w:rPr>
        <w:t xml:space="preserve"> months ended </w:t>
      </w:r>
      <w:r>
        <w:rPr>
          <w:rFonts w:ascii="Arial" w:cs="Arial" w:eastAsia="Arial" w:hAnsi="Arial"/>
          <w:sz w:val="18"/>
          <w:szCs w:val="18"/>
          <w:color w:val="000000"/>
        </w:rPr>
        <w:t>September 30, 2015</w:t>
      </w:r>
      <w:r>
        <w:rPr>
          <w:rFonts w:ascii="Arial" w:cs="Arial" w:eastAsia="Arial" w:hAnsi="Arial"/>
          <w:sz w:val="18"/>
          <w:szCs w:val="18"/>
          <w:color w:val="222222"/>
        </w:rPr>
        <w:t xml:space="preserve"> was </w:t>
      </w:r>
      <w:r>
        <w:rPr>
          <w:rFonts w:ascii="Arial" w:cs="Arial" w:eastAsia="Arial" w:hAnsi="Arial"/>
          <w:sz w:val="18"/>
          <w:szCs w:val="18"/>
          <w:color w:val="000000"/>
        </w:rPr>
        <w:t>31.3%</w:t>
      </w:r>
      <w:r>
        <w:rPr>
          <w:rFonts w:ascii="Arial" w:cs="Arial" w:eastAsia="Arial" w:hAnsi="Arial"/>
          <w:sz w:val="18"/>
          <w:szCs w:val="18"/>
          <w:color w:val="222222"/>
        </w:rPr>
        <w:t xml:space="preserve"> and 29.1%, compared with </w:t>
      </w:r>
      <w:r>
        <w:rPr>
          <w:rFonts w:ascii="Arial" w:cs="Arial" w:eastAsia="Arial" w:hAnsi="Arial"/>
          <w:sz w:val="18"/>
          <w:szCs w:val="18"/>
          <w:color w:val="000000"/>
        </w:rPr>
        <w:t>30.4%</w:t>
      </w:r>
      <w:r>
        <w:rPr>
          <w:rFonts w:ascii="Arial" w:cs="Arial" w:eastAsia="Arial" w:hAnsi="Arial"/>
          <w:sz w:val="18"/>
          <w:szCs w:val="18"/>
          <w:color w:val="222222"/>
        </w:rPr>
        <w:t xml:space="preserve"> and 32.1% for the same periods in 2014. During the nine-month period in 2015, gross margin was negatively impacted by increased warranty charges of $26.2 million. The charge in the year-to-date period relates primarily to </w:t>
      </w:r>
      <w:r>
        <w:rPr>
          <w:rFonts w:ascii="Arial" w:cs="Arial" w:eastAsia="Arial" w:hAnsi="Arial"/>
          <w:sz w:val="18"/>
          <w:szCs w:val="18"/>
          <w:color w:val="000000"/>
        </w:rPr>
        <w:t>a product replacement notification sent to customers of our Water business who purchased certain communication modules</w:t>
      </w:r>
      <w:r>
        <w:rPr>
          <w:rFonts w:ascii="Arial" w:cs="Arial" w:eastAsia="Arial" w:hAnsi="Arial"/>
          <w:sz w:val="18"/>
          <w:szCs w:val="18"/>
          <w:color w:val="222222"/>
        </w:rPr>
        <w:t xml:space="preserve"> </w:t>
      </w:r>
      <w:r>
        <w:rPr>
          <w:rFonts w:ascii="Arial" w:cs="Arial" w:eastAsia="Arial" w:hAnsi="Arial"/>
          <w:sz w:val="18"/>
          <w:szCs w:val="18"/>
          <w:color w:val="000000"/>
        </w:rPr>
        <w:t>manufactured between July 2013 and December 2014 that were failing prematurely.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22222"/>
        </w:rPr>
        <w:t xml:space="preserve">Operating expenses for the </w:t>
      </w:r>
      <w:r>
        <w:rPr>
          <w:rFonts w:ascii="Arial" w:cs="Arial" w:eastAsia="Arial" w:hAnsi="Arial"/>
          <w:sz w:val="17"/>
          <w:szCs w:val="17"/>
          <w:color w:val="000000"/>
        </w:rPr>
        <w:t>three and nine</w:t>
      </w:r>
      <w:r>
        <w:rPr>
          <w:rFonts w:ascii="Arial" w:cs="Arial" w:eastAsia="Arial" w:hAnsi="Arial"/>
          <w:sz w:val="17"/>
          <w:szCs w:val="17"/>
          <w:color w:val="222222"/>
        </w:rPr>
        <w:t xml:space="preserve"> months ended </w:t>
      </w:r>
      <w:r>
        <w:rPr>
          <w:rFonts w:ascii="Arial" w:cs="Arial" w:eastAsia="Arial" w:hAnsi="Arial"/>
          <w:sz w:val="17"/>
          <w:szCs w:val="17"/>
          <w:color w:val="000000"/>
        </w:rPr>
        <w:t>September 30, 2015</w:t>
      </w:r>
      <w:r>
        <w:rPr>
          <w:rFonts w:ascii="Arial" w:cs="Arial" w:eastAsia="Arial" w:hAnsi="Arial"/>
          <w:sz w:val="17"/>
          <w:szCs w:val="17"/>
          <w:color w:val="222222"/>
        </w:rPr>
        <w:t xml:space="preserve"> were lower by $14.5 million and $48.5 million compared with the same periods in 2014. For the third quarter and year-to-date period of 2015, total operating expenses were favorably impacted by $11.7 million and $39.2 million due to changes in foreign exchange rates. Apart from the foreign exchange impact, operating expense categories were lower by $2.9 million for the three months ended September 30, 2015 as compared with 2014, primarily driven by sales and marketing and general and administrative expenses, as well as lower intangible asset amortization expense. Apart from the foreign exchange impact, operating expense categories were lower by $9.3 million for the nine months ended September 30, 2015 as compared with the same period in 2014, with higher restructuring expense release and lower intangible asset amortization expense, partially offset by $3.9 million in increased product development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222222"/>
        </w:rPr>
        <w:t xml:space="preserve">Total backlog was $1.2 billion and twelve-month backlog was $727 million at </w:t>
      </w:r>
      <w:r>
        <w:rPr>
          <w:rFonts w:ascii="Arial" w:cs="Arial" w:eastAsia="Arial" w:hAnsi="Arial"/>
          <w:sz w:val="18"/>
          <w:szCs w:val="18"/>
          <w:color w:val="000000"/>
        </w:rPr>
        <w:t>September 30, 2015</w:t>
      </w:r>
      <w:r>
        <w:rPr>
          <w:rFonts w:ascii="Arial" w:cs="Arial" w:eastAsia="Arial" w:hAnsi="Arial"/>
          <w:sz w:val="18"/>
          <w:szCs w:val="18"/>
          <w:color w:val="222222"/>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26, 2015, we completed our acquisition of 100% of Temetra Limited (Temetra) in a stock purchase. Temetra is a technology company located in Ireland and focused on meter data management and meter data collection in the water industry with a software-as-a-service business model. The acquisition strengthens our data analytics capabilities and provides us with additional cloud-based technology options for our water utility customers. The preliminary purchase price of Temetra was $9.3 million (net of $1.4 million of cash and cash equivalents acquired). Refer to Item 1: “Financial Statements, Note 5: Goodwill” for additional information about this acquisition.</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November 2014, our management approved restructuring projects (2014 Projects) for our Electricity business and related general and administrative activities, along with certain Gas and Water activities, to improve operational efficiencies and reduce expenses. The 2014 Projects include consolidation of certain facilities and reduction of our global workforce. We began implementing these projects in the fourth quarter of 2014, and we expect to substantially complete these projects by the end of 2016. During the nine months ended September 30, 2015, the total expected restructuring costs decreased by approximately $16.3 million. This includes $9.7 million in restructuring expense release, recognized in the nine months ended September 30, 2015, resulting from employees, originally identified to be terminated, voluntarily resigning or filling vacant positions in different departments or locations, as well as the result of employee negotiations and the need to keep additional employees to meet revised forecasted demand on certain projects. In addition, we are expecting lower future legal costs associated with the termination of employees in certain locations. The favorable change in the translation impact of foreign exchange rates also lowered the expected remaining costs to be recognized. We also recognized a loss of $630,000 on the sale of a non-core business during the third quarter of 2015 as part of our restructuring activities. This loss on disposal is classified as restructuring in the Consolidated Statement of Operations. Certain aspects of the projects are subject to a variety of labor and employment laws, rules, and regulations, which could result in a delay in completing the projects at some locations.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GAAP and Non-GAAP Highlights and Unit Shipments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4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760" w:type="dxa"/>
            <w:vAlign w:val="bottom"/>
            <w:gridSpan w:val="4"/>
          </w:tcPr>
          <w:p>
            <w:pPr>
              <w:ind w:left="540"/>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20"/>
                <w:szCs w:val="20"/>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280" w:type="dxa"/>
            <w:vAlign w:val="bottom"/>
            <w:gridSpan w:val="2"/>
          </w:tcPr>
          <w:p>
            <w:pPr>
              <w:ind w:left="200"/>
              <w:spacing w:after="0"/>
              <w:rPr>
                <w:sz w:val="20"/>
                <w:szCs w:val="20"/>
                <w:color w:val="auto"/>
              </w:rPr>
            </w:pPr>
            <w:r>
              <w:rPr>
                <w:rFonts w:ascii="Arial" w:cs="Arial" w:eastAsia="Arial" w:hAnsi="Arial"/>
                <w:sz w:val="16"/>
                <w:szCs w:val="16"/>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20"/>
                <w:szCs w:val="20"/>
                <w:color w:val="auto"/>
              </w:rPr>
            </w:pPr>
          </w:p>
        </w:tc>
        <w:tc>
          <w:tcPr>
            <w:tcW w:w="1100" w:type="dxa"/>
            <w:vAlign w:val="bottom"/>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180" w:type="dxa"/>
            <w:vAlign w:val="bottom"/>
          </w:tcPr>
          <w:p>
            <w:pPr>
              <w:ind w:left="2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gridSpan w:val="4"/>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(in thousands, except margin and per share data)</w:t>
            </w: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3240" w:type="dxa"/>
            <w:vAlign w:val="bottom"/>
            <w:gridSpan w:val="6"/>
          </w:tcPr>
          <w:p>
            <w:pPr>
              <w:ind w:left="40"/>
              <w:spacing w:after="0"/>
              <w:rPr>
                <w:sz w:val="20"/>
                <w:szCs w:val="20"/>
                <w:color w:val="auto"/>
              </w:rPr>
            </w:pPr>
            <w:r>
              <w:rPr>
                <w:rFonts w:ascii="Arial" w:cs="Arial" w:eastAsia="Arial" w:hAnsi="Arial"/>
                <w:sz w:val="16"/>
                <w:szCs w:val="16"/>
                <w:b w:val="1"/>
                <w:bCs w:val="1"/>
                <w:color w:val="auto"/>
              </w:rPr>
              <w:t>GAAP</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61"/>
        </w:trPr>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50"/>
        </w:trPr>
        <w:tc>
          <w:tcPr>
            <w:tcW w:w="32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469,092</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496,454</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1,387,442</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1,460,602</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(5)%</w:t>
            </w:r>
          </w:p>
        </w:tc>
      </w:tr>
      <w:tr>
        <w:trPr>
          <w:trHeight w:val="237"/>
        </w:trPr>
        <w:tc>
          <w:tcPr>
            <w:tcW w:w="3240" w:type="dxa"/>
            <w:vAlign w:val="bottom"/>
            <w:gridSpan w:val="6"/>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146,966</w:t>
            </w:r>
          </w:p>
        </w:tc>
        <w:tc>
          <w:tcPr>
            <w:tcW w:w="340" w:type="dxa"/>
            <w:vAlign w:val="bottom"/>
          </w:tcPr>
          <w:p>
            <w:pPr>
              <w:spacing w:after="0"/>
              <w:rPr>
                <w:sz w:val="20"/>
                <w:szCs w:val="20"/>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150,762</w:t>
            </w:r>
          </w:p>
        </w:tc>
        <w:tc>
          <w:tcPr>
            <w:tcW w:w="118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403,736</w:t>
            </w:r>
          </w:p>
        </w:tc>
        <w:tc>
          <w:tcPr>
            <w:tcW w:w="420" w:type="dxa"/>
            <w:vAlign w:val="bottom"/>
          </w:tcPr>
          <w:p>
            <w:pPr>
              <w:spacing w:after="0"/>
              <w:rPr>
                <w:sz w:val="20"/>
                <w:szCs w:val="20"/>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468,338</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(14)%</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119,758</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134,304</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366,940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415,414</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(12)%</w:t>
            </w:r>
          </w:p>
        </w:tc>
      </w:tr>
      <w:tr>
        <w:trPr>
          <w:trHeight w:val="237"/>
        </w:trPr>
        <w:tc>
          <w:tcPr>
            <w:tcW w:w="3240" w:type="dxa"/>
            <w:vAlign w:val="bottom"/>
            <w:gridSpan w:val="6"/>
          </w:tcPr>
          <w:p>
            <w:pPr>
              <w:ind w:left="4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27,208</w:t>
            </w:r>
          </w:p>
        </w:tc>
        <w:tc>
          <w:tcPr>
            <w:tcW w:w="340" w:type="dxa"/>
            <w:vAlign w:val="bottom"/>
          </w:tcPr>
          <w:p>
            <w:pPr>
              <w:spacing w:after="0"/>
              <w:rPr>
                <w:sz w:val="20"/>
                <w:szCs w:val="20"/>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16,458</w:t>
            </w:r>
          </w:p>
        </w:tc>
        <w:tc>
          <w:tcPr>
            <w:tcW w:w="1180" w:type="dxa"/>
            <w:vAlign w:val="bottom"/>
          </w:tcPr>
          <w:p>
            <w:pPr>
              <w:jc w:val="center"/>
              <w:spacing w:after="0"/>
              <w:rPr>
                <w:sz w:val="20"/>
                <w:szCs w:val="20"/>
                <w:color w:val="auto"/>
              </w:rPr>
            </w:pPr>
            <w:r>
              <w:rPr>
                <w:rFonts w:ascii="Arial" w:cs="Arial" w:eastAsia="Arial" w:hAnsi="Arial"/>
                <w:sz w:val="16"/>
                <w:szCs w:val="16"/>
                <w:color w:val="auto"/>
                <w:w w:val="87"/>
              </w:rPr>
              <w:t>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36,796</w:t>
            </w:r>
          </w:p>
        </w:tc>
        <w:tc>
          <w:tcPr>
            <w:tcW w:w="420" w:type="dxa"/>
            <w:vAlign w:val="bottom"/>
          </w:tcPr>
          <w:p>
            <w:pPr>
              <w:spacing w:after="0"/>
              <w:rPr>
                <w:sz w:val="20"/>
                <w:szCs w:val="20"/>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52,924</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(30)%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(3,739)</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(4,421)</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(11,899)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(13,966)</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(15)%</w:t>
            </w:r>
          </w:p>
        </w:tc>
      </w:tr>
      <w:tr>
        <w:trPr>
          <w:trHeight w:val="237"/>
        </w:trPr>
        <w:tc>
          <w:tcPr>
            <w:tcW w:w="3240" w:type="dxa"/>
            <w:vAlign w:val="bottom"/>
            <w:gridSpan w:val="6"/>
          </w:tcPr>
          <w:p>
            <w:pPr>
              <w:ind w:left="40"/>
              <w:spacing w:after="0"/>
              <w:rPr>
                <w:sz w:val="20"/>
                <w:szCs w:val="20"/>
                <w:color w:val="auto"/>
              </w:rPr>
            </w:pPr>
            <w:r>
              <w:rPr>
                <w:rFonts w:ascii="Arial" w:cs="Arial" w:eastAsia="Arial" w:hAnsi="Arial"/>
                <w:sz w:val="16"/>
                <w:szCs w:val="16"/>
                <w:color w:val="auto"/>
              </w:rPr>
              <w:t>Income tax provision</w:t>
            </w:r>
          </w:p>
        </w:tc>
        <w:tc>
          <w:tcPr>
            <w:tcW w:w="2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(10,144)</w:t>
            </w:r>
          </w:p>
        </w:tc>
        <w:tc>
          <w:tcPr>
            <w:tcW w:w="34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(4,484)</w:t>
            </w:r>
          </w:p>
        </w:tc>
        <w:tc>
          <w:tcPr>
            <w:tcW w:w="1180" w:type="dxa"/>
            <w:vAlign w:val="bottom"/>
          </w:tcPr>
          <w:p>
            <w:pPr>
              <w:jc w:val="center"/>
              <w:spacing w:after="0"/>
              <w:rPr>
                <w:sz w:val="20"/>
                <w:szCs w:val="20"/>
                <w:color w:val="auto"/>
              </w:rPr>
            </w:pPr>
            <w:r>
              <w:rPr>
                <w:rFonts w:ascii="Arial" w:cs="Arial" w:eastAsia="Arial" w:hAnsi="Arial"/>
                <w:sz w:val="16"/>
                <w:szCs w:val="16"/>
                <w:color w:val="auto"/>
                <w:w w:val="87"/>
              </w:rPr>
              <w:t>126%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(19,673)</w:t>
            </w:r>
          </w:p>
        </w:tc>
        <w:tc>
          <w:tcPr>
            <w:tcW w:w="420" w:type="dxa"/>
            <w:vAlign w:val="bottom"/>
          </w:tcPr>
          <w:p>
            <w:pPr>
              <w:spacing w:after="0"/>
              <w:rPr>
                <w:sz w:val="20"/>
                <w:szCs w:val="20"/>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(11,679)</w:t>
            </w:r>
          </w:p>
        </w:tc>
        <w:tc>
          <w:tcPr>
            <w:tcW w:w="1180" w:type="dxa"/>
            <w:vAlign w:val="bottom"/>
          </w:tcPr>
          <w:p>
            <w:pPr>
              <w:jc w:val="center"/>
              <w:spacing w:after="0"/>
              <w:rPr>
                <w:sz w:val="20"/>
                <w:szCs w:val="20"/>
                <w:color w:val="auto"/>
              </w:rPr>
            </w:pPr>
            <w:r>
              <w:rPr>
                <w:rFonts w:ascii="Arial" w:cs="Arial" w:eastAsia="Arial" w:hAnsi="Arial"/>
                <w:sz w:val="16"/>
                <w:szCs w:val="16"/>
                <w:color w:val="auto"/>
                <w:w w:val="87"/>
              </w:rPr>
              <w:t>68%</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Net income attributable to Itron, Inc.</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12,695</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7,308</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3,407</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26,313</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(87)%</w:t>
            </w: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189"/>
        </w:trPr>
        <w:tc>
          <w:tcPr>
            <w:tcW w:w="3240" w:type="dxa"/>
            <w:vAlign w:val="bottom"/>
            <w:gridSpan w:val="6"/>
            <w:shd w:val="clear" w:color="auto" w:fill="CCEEFF"/>
          </w:tcPr>
          <w:p>
            <w:pPr>
              <w:ind w:left="40"/>
              <w:spacing w:after="0" w:line="189" w:lineRule="exact"/>
              <w:rPr>
                <w:sz w:val="20"/>
                <w:szCs w:val="20"/>
                <w:color w:val="auto"/>
              </w:rPr>
            </w:pPr>
            <w:r>
              <w:rPr>
                <w:rFonts w:ascii="Arial" w:cs="Arial" w:eastAsia="Arial" w:hAnsi="Arial"/>
                <w:sz w:val="16"/>
                <w:szCs w:val="16"/>
                <w:b w:val="1"/>
                <w:bCs w:val="1"/>
                <w:color w:val="auto"/>
              </w:rPr>
              <w:t>Non-GAAP</w:t>
            </w:r>
            <w:r>
              <w:rPr>
                <w:rFonts w:ascii="Arial" w:cs="Arial" w:eastAsia="Arial" w:hAnsi="Arial"/>
                <w:sz w:val="21"/>
                <w:szCs w:val="21"/>
                <w:b w:val="1"/>
                <w:bCs w:val="1"/>
                <w:color w:val="auto"/>
                <w:vertAlign w:val="superscript"/>
              </w:rPr>
              <w:t>(1)</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r>
      <w:tr>
        <w:trPr>
          <w:trHeight w:val="237"/>
        </w:trPr>
        <w:tc>
          <w:tcPr>
            <w:tcW w:w="3240" w:type="dxa"/>
            <w:vAlign w:val="bottom"/>
            <w:gridSpan w:val="6"/>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115,165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123,112</w:t>
            </w:r>
          </w:p>
        </w:tc>
        <w:tc>
          <w:tcPr>
            <w:tcW w:w="118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358,450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382,757</w:t>
            </w:r>
          </w:p>
        </w:tc>
        <w:tc>
          <w:tcPr>
            <w:tcW w:w="1180" w:type="dxa"/>
            <w:vAlign w:val="bottom"/>
          </w:tcPr>
          <w:p>
            <w:pPr>
              <w:jc w:val="center"/>
              <w:spacing w:after="0"/>
              <w:rPr>
                <w:sz w:val="20"/>
                <w:szCs w:val="20"/>
                <w:color w:val="auto"/>
              </w:rPr>
            </w:pPr>
            <w:r>
              <w:rPr>
                <w:rFonts w:ascii="Arial" w:cs="Arial" w:eastAsia="Arial" w:hAnsi="Arial"/>
                <w:sz w:val="16"/>
                <w:szCs w:val="16"/>
                <w:color w:val="auto"/>
                <w:w w:val="94"/>
              </w:rPr>
              <w:t>(6)%</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31,801</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27,650</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45,286</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85,581</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(47)%</w:t>
            </w:r>
          </w:p>
        </w:tc>
      </w:tr>
      <w:tr>
        <w:trPr>
          <w:trHeight w:val="237"/>
        </w:trPr>
        <w:tc>
          <w:tcPr>
            <w:tcW w:w="3240" w:type="dxa"/>
            <w:vAlign w:val="bottom"/>
            <w:gridSpan w:val="6"/>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16,597</w:t>
            </w:r>
          </w:p>
        </w:tc>
        <w:tc>
          <w:tcPr>
            <w:tcW w:w="340" w:type="dxa"/>
            <w:vAlign w:val="bottom"/>
          </w:tcPr>
          <w:p>
            <w:pPr>
              <w:spacing w:after="0"/>
              <w:rPr>
                <w:sz w:val="20"/>
                <w:szCs w:val="20"/>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15,409</w:t>
            </w:r>
          </w:p>
        </w:tc>
        <w:tc>
          <w:tcPr>
            <w:tcW w:w="1180" w:type="dxa"/>
            <w:vAlign w:val="bottom"/>
          </w:tcPr>
          <w:p>
            <w:pPr>
              <w:jc w:val="center"/>
              <w:spacing w:after="0"/>
              <w:rPr>
                <w:sz w:val="20"/>
                <w:szCs w:val="20"/>
                <w:color w:val="auto"/>
              </w:rPr>
            </w:pPr>
            <w:r>
              <w:rPr>
                <w:rFonts w:ascii="Arial" w:cs="Arial" w:eastAsia="Arial" w:hAnsi="Arial"/>
                <w:sz w:val="16"/>
                <w:szCs w:val="16"/>
                <w:color w:val="auto"/>
                <w:w w:val="86"/>
              </w:rPr>
              <w:t>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9,747</w:t>
            </w:r>
          </w:p>
        </w:tc>
        <w:tc>
          <w:tcPr>
            <w:tcW w:w="420" w:type="dxa"/>
            <w:vAlign w:val="bottom"/>
          </w:tcPr>
          <w:p>
            <w:pPr>
              <w:spacing w:after="0"/>
              <w:rPr>
                <w:sz w:val="20"/>
                <w:szCs w:val="20"/>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49,059</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(80)%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189"/>
        </w:trPr>
        <w:tc>
          <w:tcPr>
            <w:tcW w:w="3240" w:type="dxa"/>
            <w:vAlign w:val="bottom"/>
            <w:gridSpan w:val="6"/>
          </w:tcPr>
          <w:p>
            <w:pPr>
              <w:ind w:left="40"/>
              <w:spacing w:after="0"/>
              <w:rPr>
                <w:sz w:val="20"/>
                <w:szCs w:val="20"/>
                <w:color w:val="auto"/>
              </w:rPr>
            </w:pPr>
            <w:r>
              <w:rPr>
                <w:rFonts w:ascii="Arial" w:cs="Arial" w:eastAsia="Arial" w:hAnsi="Arial"/>
                <w:sz w:val="16"/>
                <w:szCs w:val="16"/>
                <w:b w:val="1"/>
                <w:bCs w:val="1"/>
                <w:color w:val="auto"/>
              </w:rPr>
              <w:t>GAAP Margins and Earnings Per Share</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50"/>
        </w:trPr>
        <w:tc>
          <w:tcPr>
            <w:tcW w:w="32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30.4%</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32.1%</w:t>
            </w: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3240" w:type="dxa"/>
            <w:vAlign w:val="bottom"/>
            <w:gridSpan w:val="6"/>
          </w:tcPr>
          <w:p>
            <w:pPr>
              <w:ind w:left="40"/>
              <w:spacing w:after="0"/>
              <w:rPr>
                <w:sz w:val="20"/>
                <w:szCs w:val="20"/>
                <w:color w:val="auto"/>
              </w:rPr>
            </w:pPr>
            <w:r>
              <w:rPr>
                <w:rFonts w:ascii="Arial" w:cs="Arial" w:eastAsia="Arial" w:hAnsi="Arial"/>
                <w:sz w:val="16"/>
                <w:szCs w:val="16"/>
                <w:color w:val="auto"/>
              </w:rPr>
              <w:t>Operating margin</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w:t>
            </w:r>
          </w:p>
        </w:tc>
        <w:tc>
          <w:tcPr>
            <w:tcW w:w="34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3.3%</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w:t>
            </w:r>
          </w:p>
        </w:tc>
        <w:tc>
          <w:tcPr>
            <w:tcW w:w="420" w:type="dxa"/>
            <w:vAlign w:val="bottom"/>
          </w:tcPr>
          <w:p>
            <w:pPr>
              <w:spacing w:after="0"/>
              <w:rPr>
                <w:sz w:val="20"/>
                <w:szCs w:val="20"/>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3.6%</w:t>
            </w:r>
          </w:p>
        </w:tc>
        <w:tc>
          <w:tcPr>
            <w:tcW w:w="118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Basic EPS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0.33</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0.19</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0.09</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0.67</w:t>
            </w: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3240" w:type="dxa"/>
            <w:vAlign w:val="bottom"/>
            <w:gridSpan w:val="6"/>
          </w:tcPr>
          <w:p>
            <w:pPr>
              <w:ind w:left="40"/>
              <w:spacing w:after="0"/>
              <w:rPr>
                <w:sz w:val="20"/>
                <w:szCs w:val="20"/>
                <w:color w:val="auto"/>
              </w:rPr>
            </w:pPr>
            <w:r>
              <w:rPr>
                <w:rFonts w:ascii="Arial" w:cs="Arial" w:eastAsia="Arial" w:hAnsi="Arial"/>
                <w:sz w:val="16"/>
                <w:szCs w:val="16"/>
                <w:color w:val="auto"/>
              </w:rPr>
              <w:t>Diluted EPS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0.33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0.19</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0.09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0.67</w:t>
            </w:r>
          </w:p>
        </w:tc>
        <w:tc>
          <w:tcPr>
            <w:tcW w:w="118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189"/>
        </w:trPr>
        <w:tc>
          <w:tcPr>
            <w:tcW w:w="3240" w:type="dxa"/>
            <w:vAlign w:val="bottom"/>
            <w:gridSpan w:val="6"/>
          </w:tcPr>
          <w:p>
            <w:pPr>
              <w:ind w:left="40"/>
              <w:spacing w:after="0" w:line="189" w:lineRule="exact"/>
              <w:rPr>
                <w:sz w:val="20"/>
                <w:szCs w:val="20"/>
                <w:color w:val="auto"/>
              </w:rPr>
            </w:pPr>
            <w:r>
              <w:rPr>
                <w:rFonts w:ascii="Arial" w:cs="Arial" w:eastAsia="Arial" w:hAnsi="Arial"/>
                <w:sz w:val="16"/>
                <w:szCs w:val="16"/>
                <w:b w:val="1"/>
                <w:bCs w:val="1"/>
                <w:color w:val="auto"/>
              </w:rPr>
              <w:t>Non-GAAP Earnings Per Share</w:t>
            </w:r>
            <w:r>
              <w:rPr>
                <w:rFonts w:ascii="Arial" w:cs="Arial" w:eastAsia="Arial" w:hAnsi="Arial"/>
                <w:sz w:val="21"/>
                <w:szCs w:val="21"/>
                <w:b w:val="1"/>
                <w:bCs w:val="1"/>
                <w:color w:val="auto"/>
                <w:vertAlign w:val="superscript"/>
              </w:rPr>
              <w:t>(1)</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37"/>
        </w:trPr>
        <w:tc>
          <w:tcPr>
            <w:tcW w:w="324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Diluted EPS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0.43</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0.39</w:t>
            </w: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0.25</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1.24</w:t>
            </w:r>
          </w:p>
        </w:tc>
        <w:tc>
          <w:tcPr>
            <w:tcW w:w="1180" w:type="dxa"/>
            <w:vAlign w:val="bottom"/>
            <w:shd w:val="clear" w:color="auto" w:fill="CCEEFF"/>
          </w:tcPr>
          <w:p>
            <w:pPr>
              <w:spacing w:after="0"/>
              <w:rPr>
                <w:sz w:val="20"/>
                <w:szCs w:val="20"/>
                <w:color w:val="auto"/>
              </w:rPr>
            </w:pPr>
          </w:p>
        </w:tc>
      </w:tr>
      <w:tr>
        <w:trPr>
          <w:trHeight w:val="33"/>
        </w:trPr>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ind w:left="180" w:right="20" w:hanging="172"/>
        <w:spacing w:after="0" w:line="229" w:lineRule="auto"/>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These measures exclude certain expenses that we do not believe are indicative of our core operating results. See pages 54-56 for information about these non-GAAP measures and reconciliations to the most comparable GAAP measures.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1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2014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2014</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6"/>
                <w:szCs w:val="16"/>
                <w:color w:val="auto"/>
              </w:rPr>
              <w:t>Revenues by Region</w:t>
            </w: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47"/>
        </w:trPr>
        <w:tc>
          <w:tcPr>
            <w:tcW w:w="3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United States and Canada (North America)</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257,901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237,684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742,927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652,390</w:t>
            </w:r>
          </w:p>
        </w:tc>
      </w:tr>
      <w:tr>
        <w:trPr>
          <w:trHeight w:val="237"/>
        </w:trPr>
        <w:tc>
          <w:tcPr>
            <w:tcW w:w="3780" w:type="dxa"/>
            <w:vAlign w:val="bottom"/>
          </w:tcPr>
          <w:p>
            <w:pPr>
              <w:ind w:left="380"/>
              <w:spacing w:after="0"/>
              <w:rPr>
                <w:sz w:val="20"/>
                <w:szCs w:val="20"/>
                <w:color w:val="auto"/>
              </w:rPr>
            </w:pPr>
            <w:r>
              <w:rPr>
                <w:rFonts w:ascii="Arial" w:cs="Arial" w:eastAsia="Arial" w:hAnsi="Arial"/>
                <w:sz w:val="16"/>
                <w:szCs w:val="16"/>
                <w:color w:val="auto"/>
              </w:rPr>
              <w:t>Europe, Middle East, and Africa (EMEA)</w:t>
            </w:r>
          </w:p>
        </w:tc>
        <w:tc>
          <w:tcPr>
            <w:tcW w:w="11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166,231</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201,673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509,322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641,434</w:t>
            </w:r>
          </w:p>
        </w:tc>
      </w:tr>
      <w:tr>
        <w:trPr>
          <w:trHeight w:val="33"/>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44,960</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57,097</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135,193</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166,778</w:t>
            </w:r>
          </w:p>
        </w:tc>
      </w:tr>
      <w:tr>
        <w:trPr>
          <w:trHeight w:val="217"/>
        </w:trPr>
        <w:tc>
          <w:tcPr>
            <w:tcW w:w="378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469,092</w:t>
            </w:r>
          </w:p>
        </w:tc>
        <w:tc>
          <w:tcPr>
            <w:tcW w:w="120" w:type="dxa"/>
            <w:vAlign w:val="bottom"/>
          </w:tcPr>
          <w:p>
            <w:pPr>
              <w:spacing w:after="0"/>
              <w:rPr>
                <w:sz w:val="18"/>
                <w:szCs w:val="18"/>
                <w:color w:val="auto"/>
              </w:rPr>
            </w:pP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496,454</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1,387,442</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1,460,602</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Other region includes our operations in Latin America and Asia Pacific.</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September 30, 2015, revenues in the EMEA region and our Other region were adversely impacted by $31.1 million and $11.8 million, respectively, due to changes in foreign exchange rates. For the nine months ended September 30, 2015, revenues in the EMEA region and our Other region were adversely impacted by $105.2 million and $28.6 million, respectively, due to changes in foreign exchange rates.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three categories:</w:t>
      </w:r>
    </w:p>
    <w:p>
      <w:pPr>
        <w:spacing w:after="0" w:line="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Advanced metering – one-way communication of meter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Smart metering – two-way communication including remote meter configuration and upgrade (consisting primarily of our OpenWay® technology)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addition, advanced and smart meter communication modules can be sold separately from the meter.</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is driven significantly by sales of meters and communication modules. A summary of our meter and communication module shipments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540" w:type="dxa"/>
            <w:vAlign w:val="bottom"/>
            <w:gridSpan w:val="6"/>
          </w:tcPr>
          <w:p>
            <w:pPr>
              <w:ind w:left="660"/>
              <w:spacing w:after="0"/>
              <w:rPr>
                <w:sz w:val="20"/>
                <w:szCs w:val="20"/>
                <w:color w:val="auto"/>
              </w:rPr>
            </w:pPr>
            <w:r>
              <w:rPr>
                <w:rFonts w:ascii="Arial" w:cs="Arial" w:eastAsia="Arial" w:hAnsi="Arial"/>
                <w:sz w:val="16"/>
                <w:szCs w:val="16"/>
                <w:b w:val="1"/>
                <w:bCs w:val="1"/>
                <w:color w:val="auto"/>
              </w:rPr>
              <w:t>Three Months Ended September 30,</w:t>
            </w:r>
          </w:p>
        </w:tc>
        <w:tc>
          <w:tcPr>
            <w:tcW w:w="310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33"/>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1"/>
        </w:trPr>
        <w:tc>
          <w:tcPr>
            <w:tcW w:w="5000" w:type="dxa"/>
            <w:vAlign w:val="bottom"/>
            <w:gridSpan w:val="2"/>
          </w:tcPr>
          <w:p>
            <w:pPr>
              <w:ind w:left="4540"/>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jc w:val="right"/>
              <w:ind w:right="6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800" w:type="dxa"/>
            <w:vAlign w:val="bottom"/>
          </w:tcPr>
          <w:p>
            <w:pPr>
              <w:jc w:val="right"/>
              <w:ind w:right="659"/>
              <w:spacing w:after="0"/>
              <w:rPr>
                <w:sz w:val="20"/>
                <w:szCs w:val="20"/>
                <w:color w:val="auto"/>
              </w:rPr>
            </w:pPr>
            <w:r>
              <w:rPr>
                <w:rFonts w:ascii="Arial" w:cs="Arial" w:eastAsia="Arial" w:hAnsi="Arial"/>
                <w:sz w:val="16"/>
                <w:szCs w:val="16"/>
                <w:b w:val="1"/>
                <w:bCs w:val="1"/>
                <w:color w:val="auto"/>
              </w:rPr>
              <w:t>2014</w:t>
            </w:r>
          </w:p>
        </w:tc>
      </w:tr>
      <w:tr>
        <w:trPr>
          <w:trHeight w:val="33"/>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3"/>
          </w:tcPr>
          <w:p>
            <w:pPr>
              <w:ind w:left="1180"/>
              <w:spacing w:after="0"/>
              <w:rPr>
                <w:sz w:val="20"/>
                <w:szCs w:val="20"/>
                <w:color w:val="auto"/>
              </w:rPr>
            </w:pPr>
            <w:r>
              <w:rPr>
                <w:rFonts w:ascii="Arial" w:cs="Arial" w:eastAsia="Arial" w:hAnsi="Arial"/>
                <w:sz w:val="16"/>
                <w:szCs w:val="16"/>
                <w:b w:val="1"/>
                <w:bCs w:val="1"/>
                <w:color w:val="auto"/>
                <w:w w:val="90"/>
              </w:rPr>
              <w:t>(units in thousands)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70"/>
        </w:trPr>
        <w:tc>
          <w:tcPr>
            <w:tcW w:w="5000" w:type="dxa"/>
            <w:vAlign w:val="bottom"/>
            <w:gridSpan w:val="2"/>
          </w:tcPr>
          <w:p>
            <w:pPr>
              <w:ind w:left="40"/>
              <w:spacing w:after="0"/>
              <w:rPr>
                <w:sz w:val="20"/>
                <w:szCs w:val="20"/>
                <w:color w:val="auto"/>
              </w:rPr>
            </w:pPr>
            <w:r>
              <w:rPr>
                <w:rFonts w:ascii="Arial" w:cs="Arial" w:eastAsia="Arial" w:hAnsi="Arial"/>
                <w:sz w:val="16"/>
                <w:szCs w:val="16"/>
                <w:color w:val="auto"/>
              </w:rPr>
              <w:t>Meters</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33"/>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4,100</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4,800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13,540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14,130</w:t>
            </w:r>
          </w:p>
        </w:tc>
      </w:tr>
      <w:tr>
        <w:trPr>
          <w:trHeight w:val="237"/>
        </w:trPr>
        <w:tc>
          <w:tcPr>
            <w:tcW w:w="5000" w:type="dxa"/>
            <w:vAlign w:val="bottom"/>
            <w:gridSpan w:val="2"/>
          </w:tcPr>
          <w:p>
            <w:pPr>
              <w:ind w:left="380"/>
              <w:spacing w:after="0"/>
              <w:rPr>
                <w:sz w:val="20"/>
                <w:szCs w:val="20"/>
                <w:color w:val="auto"/>
              </w:rPr>
            </w:pPr>
            <w:r>
              <w:rPr>
                <w:rFonts w:ascii="Arial" w:cs="Arial" w:eastAsia="Arial" w:hAnsi="Arial"/>
                <w:sz w:val="16"/>
                <w:szCs w:val="16"/>
                <w:color w:val="auto"/>
              </w:rPr>
              <w:t>Advanced and smart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1,930</w:t>
            </w:r>
          </w:p>
        </w:tc>
        <w:tc>
          <w:tcPr>
            <w:tcW w:w="120" w:type="dxa"/>
            <w:vAlign w:val="bottom"/>
          </w:tcPr>
          <w:p>
            <w:pPr>
              <w:spacing w:after="0"/>
              <w:rPr>
                <w:sz w:val="20"/>
                <w:szCs w:val="20"/>
                <w:color w:val="auto"/>
              </w:rPr>
            </w:pPr>
          </w:p>
        </w:tc>
        <w:tc>
          <w:tcPr>
            <w:tcW w:w="1840" w:type="dxa"/>
            <w:vAlign w:val="bottom"/>
          </w:tcPr>
          <w:p>
            <w:pPr>
              <w:jc w:val="right"/>
              <w:ind w:right="59"/>
              <w:spacing w:after="0"/>
              <w:rPr>
                <w:sz w:val="20"/>
                <w:szCs w:val="20"/>
                <w:color w:val="auto"/>
              </w:rPr>
            </w:pPr>
            <w:r>
              <w:rPr>
                <w:rFonts w:ascii="Arial" w:cs="Arial" w:eastAsia="Arial" w:hAnsi="Arial"/>
                <w:sz w:val="16"/>
                <w:szCs w:val="16"/>
                <w:color w:val="auto"/>
              </w:rPr>
              <w:t>1,400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5,330</w:t>
            </w:r>
          </w:p>
        </w:tc>
        <w:tc>
          <w:tcPr>
            <w:tcW w:w="1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4,280</w:t>
            </w:r>
          </w:p>
        </w:tc>
      </w:tr>
      <w:tr>
        <w:trPr>
          <w:trHeight w:val="33"/>
        </w:trPr>
        <w:tc>
          <w:tcPr>
            <w:tcW w:w="37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0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6,030</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6,200</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18,870</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18,410</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3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Stand-alone communication modules</w:t>
            </w: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50"/>
        </w:trPr>
        <w:tc>
          <w:tcPr>
            <w:tcW w:w="5000" w:type="dxa"/>
            <w:vAlign w:val="bottom"/>
            <w:gridSpan w:val="2"/>
          </w:tcPr>
          <w:p>
            <w:pPr>
              <w:ind w:left="720"/>
              <w:spacing w:after="0"/>
              <w:rPr>
                <w:sz w:val="20"/>
                <w:szCs w:val="20"/>
                <w:color w:val="auto"/>
              </w:rPr>
            </w:pPr>
            <w:r>
              <w:rPr>
                <w:rFonts w:ascii="Arial" w:cs="Arial" w:eastAsia="Arial" w:hAnsi="Arial"/>
                <w:sz w:val="16"/>
                <w:szCs w:val="16"/>
                <w:color w:val="auto"/>
              </w:rPr>
              <w:t>Advanced and smart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21"/>
                <w:szCs w:val="21"/>
                <w:color w:val="auto"/>
              </w:rPr>
            </w:pPr>
          </w:p>
        </w:tc>
        <w:tc>
          <w:tcPr>
            <w:tcW w:w="1840" w:type="dxa"/>
            <w:vAlign w:val="bottom"/>
          </w:tcPr>
          <w:p>
            <w:pPr>
              <w:jc w:val="right"/>
              <w:ind w:right="59"/>
              <w:spacing w:after="0"/>
              <w:rPr>
                <w:sz w:val="20"/>
                <w:szCs w:val="20"/>
                <w:color w:val="auto"/>
              </w:rPr>
            </w:pPr>
            <w:r>
              <w:rPr>
                <w:rFonts w:ascii="Arial" w:cs="Arial" w:eastAsia="Arial" w:hAnsi="Arial"/>
                <w:sz w:val="16"/>
                <w:szCs w:val="16"/>
                <w:color w:val="auto"/>
              </w:rPr>
              <w:t>1,480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4,250</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4,410</w:t>
            </w:r>
          </w:p>
        </w:tc>
      </w:tr>
      <w:tr>
        <w:trPr>
          <w:trHeight w:val="20"/>
        </w:trPr>
        <w:tc>
          <w:tcPr>
            <w:tcW w:w="37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22222"/>
        </w:rPr>
        <w:t xml:space="preserve">Revenues decreased </w:t>
      </w:r>
      <w:r>
        <w:rPr>
          <w:rFonts w:ascii="Arial" w:cs="Arial" w:eastAsia="Arial" w:hAnsi="Arial"/>
          <w:sz w:val="18"/>
          <w:szCs w:val="18"/>
          <w:color w:val="000000"/>
        </w:rPr>
        <w:t>$27.4 million</w:t>
      </w:r>
      <w:r>
        <w:rPr>
          <w:rFonts w:ascii="Arial" w:cs="Arial" w:eastAsia="Arial" w:hAnsi="Arial"/>
          <w:sz w:val="18"/>
          <w:szCs w:val="18"/>
          <w:color w:val="222222"/>
        </w:rPr>
        <w:t xml:space="preserve"> and $73.2 million, or 6% and 5%, for the </w:t>
      </w:r>
      <w:r>
        <w:rPr>
          <w:rFonts w:ascii="Arial" w:cs="Arial" w:eastAsia="Arial" w:hAnsi="Arial"/>
          <w:sz w:val="18"/>
          <w:szCs w:val="18"/>
          <w:color w:val="000000"/>
        </w:rPr>
        <w:t>three and nine</w:t>
      </w:r>
      <w:r>
        <w:rPr>
          <w:rFonts w:ascii="Arial" w:cs="Arial" w:eastAsia="Arial" w:hAnsi="Arial"/>
          <w:sz w:val="18"/>
          <w:szCs w:val="18"/>
          <w:color w:val="222222"/>
        </w:rPr>
        <w:t xml:space="preserve"> months ended </w:t>
      </w:r>
      <w:r>
        <w:rPr>
          <w:rFonts w:ascii="Arial" w:cs="Arial" w:eastAsia="Arial" w:hAnsi="Arial"/>
          <w:sz w:val="18"/>
          <w:szCs w:val="18"/>
          <w:color w:val="000000"/>
        </w:rPr>
        <w:t>September 30, 2015</w:t>
      </w:r>
      <w:r>
        <w:rPr>
          <w:rFonts w:ascii="Arial" w:cs="Arial" w:eastAsia="Arial" w:hAnsi="Arial"/>
          <w:sz w:val="18"/>
          <w:szCs w:val="18"/>
          <w:color w:val="222222"/>
        </w:rPr>
        <w:t xml:space="preserve">, compared with the same periods in 2014. Total revenue for the </w:t>
      </w:r>
      <w:r>
        <w:rPr>
          <w:rFonts w:ascii="Arial" w:cs="Arial" w:eastAsia="Arial" w:hAnsi="Arial"/>
          <w:sz w:val="18"/>
          <w:szCs w:val="18"/>
          <w:color w:val="000000"/>
        </w:rPr>
        <w:t>three and nine</w:t>
      </w:r>
      <w:r>
        <w:rPr>
          <w:rFonts w:ascii="Arial" w:cs="Arial" w:eastAsia="Arial" w:hAnsi="Arial"/>
          <w:sz w:val="18"/>
          <w:szCs w:val="18"/>
          <w:color w:val="222222"/>
        </w:rPr>
        <w:t xml:space="preserve"> months ended </w:t>
      </w:r>
      <w:r>
        <w:rPr>
          <w:rFonts w:ascii="Arial" w:cs="Arial" w:eastAsia="Arial" w:hAnsi="Arial"/>
          <w:sz w:val="18"/>
          <w:szCs w:val="18"/>
          <w:color w:val="000000"/>
        </w:rPr>
        <w:t>September 30, 2015</w:t>
      </w:r>
      <w:r>
        <w:rPr>
          <w:rFonts w:ascii="Arial" w:cs="Arial" w:eastAsia="Arial" w:hAnsi="Arial"/>
          <w:sz w:val="18"/>
          <w:szCs w:val="18"/>
          <w:color w:val="222222"/>
        </w:rPr>
        <w:t xml:space="preserve"> was unfavorably impacted by $46.0 million and $139.9 million due to changes in foreign exchange rates. On a constant currency basis, for the three month periods, revenues increased in the Electricity and Water segments by $17.7 million and $1.4 million. Gas segment revenues were effectively flat. For the nine month periods, on a constant currency basis, Electricity segment revenues increased by $77.9 million, and Gas and Water segment revenues decreased by $9.4 million and $1.8 million. A more detailed analysis of revenue fluctuations is provided in </w:t>
      </w:r>
      <w:r>
        <w:rPr>
          <w:rFonts w:ascii="Arial" w:cs="Arial" w:eastAsia="Arial" w:hAnsi="Arial"/>
          <w:sz w:val="18"/>
          <w:szCs w:val="18"/>
          <w:i w:val="1"/>
          <w:iCs w:val="1"/>
          <w:color w:val="222222"/>
        </w:rPr>
        <w:t>Operating Segment Results</w:t>
      </w:r>
      <w:r>
        <w:rPr>
          <w:rFonts w:ascii="Arial" w:cs="Arial" w:eastAsia="Arial" w:hAnsi="Arial"/>
          <w:sz w:val="18"/>
          <w:szCs w:val="18"/>
          <w:color w:val="222222"/>
        </w:rPr>
        <w:t>.</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No single customer accounted for more than 10% of total Company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nine </w:t>
      </w:r>
      <w:r>
        <w:rPr>
          <w:rFonts w:ascii="Arial" w:cs="Arial" w:eastAsia="Arial" w:hAnsi="Arial"/>
          <w:sz w:val="18"/>
          <w:szCs w:val="18"/>
          <w:color w:val="222222"/>
        </w:rPr>
        <w:t>months ended</w:t>
      </w:r>
      <w:r>
        <w:rPr>
          <w:rFonts w:ascii="Arial" w:cs="Arial" w:eastAsia="Arial" w:hAnsi="Arial"/>
          <w:sz w:val="18"/>
          <w:szCs w:val="18"/>
          <w:color w:val="auto"/>
        </w:rPr>
        <w:t xml:space="preserve"> September 30, 2015 and 2014. Our 10 largest customers accounted for 24% and 23% of total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nine </w:t>
      </w:r>
      <w:r>
        <w:rPr>
          <w:rFonts w:ascii="Arial" w:cs="Arial" w:eastAsia="Arial" w:hAnsi="Arial"/>
          <w:sz w:val="18"/>
          <w:szCs w:val="18"/>
          <w:color w:val="222222"/>
        </w:rPr>
        <w:t>months ended</w:t>
      </w:r>
      <w:r>
        <w:rPr>
          <w:rFonts w:ascii="Arial" w:cs="Arial" w:eastAsia="Arial" w:hAnsi="Arial"/>
          <w:sz w:val="18"/>
          <w:szCs w:val="18"/>
          <w:color w:val="auto"/>
        </w:rPr>
        <w:t xml:space="preserve"> September 30, 2015 and 19% and 18% of total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nine </w:t>
      </w:r>
      <w:r>
        <w:rPr>
          <w:rFonts w:ascii="Arial" w:cs="Arial" w:eastAsia="Arial" w:hAnsi="Arial"/>
          <w:sz w:val="18"/>
          <w:szCs w:val="18"/>
          <w:color w:val="222222"/>
        </w:rPr>
        <w:t>months ended</w:t>
      </w:r>
      <w:r>
        <w:rPr>
          <w:rFonts w:ascii="Arial" w:cs="Arial" w:eastAsia="Arial" w:hAnsi="Arial"/>
          <w:sz w:val="18"/>
          <w:szCs w:val="18"/>
          <w:color w:val="auto"/>
        </w:rPr>
        <w:t xml:space="preserve"> September 30, 2014.</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22222"/>
        </w:rPr>
        <w:t xml:space="preserve">Gross margin for the </w:t>
      </w:r>
      <w:r>
        <w:rPr>
          <w:rFonts w:ascii="Arial" w:cs="Arial" w:eastAsia="Arial" w:hAnsi="Arial"/>
          <w:sz w:val="18"/>
          <w:szCs w:val="18"/>
          <w:color w:val="000000"/>
        </w:rPr>
        <w:t>third</w:t>
      </w:r>
      <w:r>
        <w:rPr>
          <w:rFonts w:ascii="Arial" w:cs="Arial" w:eastAsia="Arial" w:hAnsi="Arial"/>
          <w:sz w:val="18"/>
          <w:szCs w:val="18"/>
          <w:color w:val="222222"/>
        </w:rPr>
        <w:t xml:space="preserve"> quarter of 2015 was 31.3%, compared with 30.4% for the same period in 2014. For the nine months ended </w:t>
      </w:r>
      <w:r>
        <w:rPr>
          <w:rFonts w:ascii="Arial" w:cs="Arial" w:eastAsia="Arial" w:hAnsi="Arial"/>
          <w:sz w:val="18"/>
          <w:szCs w:val="18"/>
          <w:color w:val="000000"/>
        </w:rPr>
        <w:t>September 30, 2015</w:t>
      </w:r>
      <w:r>
        <w:rPr>
          <w:rFonts w:ascii="Arial" w:cs="Arial" w:eastAsia="Arial" w:hAnsi="Arial"/>
          <w:sz w:val="18"/>
          <w:szCs w:val="18"/>
          <w:color w:val="222222"/>
        </w:rPr>
        <w:t xml:space="preserve">, gross margin was 29.1%, compared with 32.1% in the same period in 2014. The improvement in the third quarter 2015 gross margin was primarily driven by a net charge of $11.4 million related to an OpenWay project that was recorded in the third quarter of 2014. The reduction in gross margin for the first nine months of 2015 was the result of declines in the gross margin for the Gas and Water segments. A more detailed analysis of these fluctuations is provided in </w:t>
      </w:r>
      <w:r>
        <w:rPr>
          <w:rFonts w:ascii="Arial" w:cs="Arial" w:eastAsia="Arial" w:hAnsi="Arial"/>
          <w:sz w:val="18"/>
          <w:szCs w:val="18"/>
          <w:i w:val="1"/>
          <w:iCs w:val="1"/>
          <w:color w:val="222222"/>
        </w:rPr>
        <w:t>Operating Segment Results</w:t>
      </w:r>
      <w:r>
        <w:rPr>
          <w:rFonts w:ascii="Arial" w:cs="Arial" w:eastAsia="Arial" w:hAnsi="Arial"/>
          <w:sz w:val="18"/>
          <w:szCs w:val="18"/>
          <w:color w:val="222222"/>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20" w:type="dxa"/>
            <w:vAlign w:val="bottom"/>
            <w:gridSpan w:val="7"/>
          </w:tcPr>
          <w:p>
            <w:pPr>
              <w:ind w:left="32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320" w:type="dxa"/>
            <w:vAlign w:val="bottom"/>
            <w:gridSpan w:val="6"/>
          </w:tcPr>
          <w:p>
            <w:pPr>
              <w:ind w:left="320"/>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9"/>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 Change</w:t>
            </w: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379"/>
              <w:spacing w:after="0"/>
              <w:rPr>
                <w:sz w:val="20"/>
                <w:szCs w:val="20"/>
                <w:color w:val="auto"/>
              </w:rPr>
            </w:pPr>
            <w:r>
              <w:rPr>
                <w:rFonts w:ascii="Arial" w:cs="Arial" w:eastAsia="Arial" w:hAnsi="Arial"/>
                <w:sz w:val="16"/>
                <w:szCs w:val="16"/>
                <w:b w:val="1"/>
                <w:bCs w:val="1"/>
                <w:color w:val="auto"/>
                <w:w w:val="84"/>
              </w:rPr>
              <w:t>2014</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4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39,217</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44,484</w:t>
            </w:r>
          </w:p>
        </w:tc>
        <w:tc>
          <w:tcPr>
            <w:tcW w:w="10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123,302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138,212</w:t>
            </w:r>
          </w:p>
        </w:tc>
        <w:tc>
          <w:tcPr>
            <w:tcW w:w="10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(11)%</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41,559</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42,303</w:t>
            </w:r>
          </w:p>
        </w:tc>
        <w:tc>
          <w:tcPr>
            <w:tcW w:w="1000" w:type="dxa"/>
            <w:vAlign w:val="bottom"/>
            <w:gridSpan w:val="2"/>
          </w:tcPr>
          <w:p>
            <w:pPr>
              <w:jc w:val="center"/>
              <w:ind w:left="39"/>
              <w:spacing w:after="0"/>
              <w:rPr>
                <w:sz w:val="20"/>
                <w:szCs w:val="20"/>
                <w:color w:val="auto"/>
              </w:rPr>
            </w:pPr>
            <w:r>
              <w:rPr>
                <w:rFonts w:ascii="Arial" w:cs="Arial" w:eastAsia="Arial" w:hAnsi="Arial"/>
                <w:sz w:val="16"/>
                <w:szCs w:val="16"/>
                <w:color w:val="auto"/>
                <w:w w:val="94"/>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126,399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130,711</w:t>
            </w: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w:t>
            </w:r>
          </w:p>
        </w:tc>
      </w:tr>
      <w:tr>
        <w:trPr>
          <w:trHeight w:val="33"/>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31,118</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36,542</w:t>
            </w:r>
          </w:p>
        </w:tc>
        <w:tc>
          <w:tcPr>
            <w:tcW w:w="10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103,195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114,629</w:t>
            </w:r>
          </w:p>
        </w:tc>
        <w:tc>
          <w:tcPr>
            <w:tcW w:w="10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(10)%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7,869</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10,917</w:t>
            </w:r>
          </w:p>
        </w:tc>
        <w:tc>
          <w:tcPr>
            <w:tcW w:w="100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23,730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33,096</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(28)%</w:t>
            </w:r>
          </w:p>
        </w:tc>
      </w:tr>
      <w:tr>
        <w:trPr>
          <w:trHeight w:val="33"/>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(2,211)</w:t>
            </w:r>
          </w:p>
        </w:tc>
        <w:tc>
          <w:tcPr>
            <w:tcW w:w="10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338%</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3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977</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33"/>
        </w:trPr>
        <w:tc>
          <w:tcPr>
            <w:tcW w:w="4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119,758</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134,304</w:t>
            </w:r>
          </w:p>
        </w:tc>
        <w:tc>
          <w:tcPr>
            <w:tcW w:w="10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366,940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415,414</w:t>
            </w:r>
          </w:p>
        </w:tc>
        <w:tc>
          <w:tcPr>
            <w:tcW w:w="10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(12)%</w:t>
            </w:r>
          </w:p>
        </w:tc>
      </w:tr>
      <w:tr>
        <w:trPr>
          <w:trHeight w:val="20"/>
        </w:trPr>
        <w:tc>
          <w:tcPr>
            <w:tcW w:w="4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Operating expenses decreased $14.5 million for the three months ended September 30, 2015 as compared with the same period in 2014. This decrease were primarily the result of a favorable foreign exchange impact of $11.7 million, as well as a $3.4 million reimbursement of litigation settlement costs, which is classified as acquisition-related costs within general and administrative expense. During the third quarter of 2015, apart from the favorable foreign exchange impact and litigation reimbursement, increases in product development and general and administrative expenses of $3.0 million due to higher employee costs and professional services, were partially offset by decreases in sales and marketing and amortization expenses of $2.5 million. For the nine months</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ended September 30, 2015, operating expenses decreased $48.5 million. This decrease was primarily driven by a favorable foreign exchange impact of $39.2 million and reimbursements of litigation settlements costs of $8.0 million. </w:t>
      </w:r>
      <w:r>
        <w:rPr>
          <w:rFonts w:ascii="Arial" w:cs="Arial" w:eastAsia="Arial" w:hAnsi="Arial"/>
          <w:sz w:val="18"/>
          <w:szCs w:val="18"/>
          <w:color w:val="222222"/>
        </w:rPr>
        <w:t>A more detailed analysis of operating expenses fluctuations is provided in</w:t>
      </w:r>
      <w:r>
        <w:rPr>
          <w:rFonts w:ascii="Arial" w:cs="Arial" w:eastAsia="Arial" w:hAnsi="Arial"/>
          <w:sz w:val="18"/>
          <w:szCs w:val="18"/>
          <w:color w:val="auto"/>
        </w:rPr>
        <w:t xml:space="preserve"> </w:t>
      </w:r>
      <w:r>
        <w:rPr>
          <w:rFonts w:ascii="Arial" w:cs="Arial" w:eastAsia="Arial" w:hAnsi="Arial"/>
          <w:sz w:val="18"/>
          <w:szCs w:val="18"/>
          <w:i w:val="1"/>
          <w:iCs w:val="1"/>
          <w:color w:val="222222"/>
        </w:rPr>
        <w:t>Operating Segment Results</w:t>
      </w:r>
      <w:r>
        <w:rPr>
          <w:rFonts w:ascii="Arial" w:cs="Arial" w:eastAsia="Arial" w:hAnsi="Arial"/>
          <w:sz w:val="18"/>
          <w:szCs w:val="18"/>
          <w:color w:val="222222"/>
        </w:rPr>
        <w:t>.</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non-GAAP purposes, total company and segment operating expenses exclude intangible asset amortization, restructuring, and goodwill impairment expenses, as well as acquisition-related costs (classified within general and administrative). Total non-GAAP operating expenses, as a percentage of revenues, were 25% and 26% for the three and nine months ended September 30, 2015 and 2014. The reduced non-GAAP operating expenses in 2015 was primarily the result of fluctuations in foreign exchange rates.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20" w:type="dxa"/>
            <w:vAlign w:val="bottom"/>
            <w:gridSpan w:val="7"/>
          </w:tcPr>
          <w:p>
            <w:pPr>
              <w:ind w:left="32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320" w:type="dxa"/>
            <w:vAlign w:val="bottom"/>
            <w:gridSpan w:val="6"/>
          </w:tcPr>
          <w:p>
            <w:pPr>
              <w:ind w:left="320"/>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9"/>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379"/>
              <w:spacing w:after="0"/>
              <w:rPr>
                <w:sz w:val="20"/>
                <w:szCs w:val="20"/>
                <w:color w:val="auto"/>
              </w:rPr>
            </w:pPr>
            <w:r>
              <w:rPr>
                <w:rFonts w:ascii="Arial" w:cs="Arial" w:eastAsia="Arial" w:hAnsi="Arial"/>
                <w:sz w:val="16"/>
                <w:szCs w:val="16"/>
                <w:b w:val="1"/>
                <w:bCs w:val="1"/>
                <w:color w:val="auto"/>
                <w:w w:val="84"/>
              </w:rPr>
              <w:t>2014</w:t>
            </w:r>
          </w:p>
        </w:tc>
        <w:tc>
          <w:tcPr>
            <w:tcW w:w="12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4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0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41%</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(2,526)</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(2,611)</w:t>
            </w:r>
          </w:p>
        </w:tc>
        <w:tc>
          <w:tcPr>
            <w:tcW w:w="1000" w:type="dxa"/>
            <w:vAlign w:val="bottom"/>
            <w:gridSpan w:val="2"/>
          </w:tcPr>
          <w:p>
            <w:pPr>
              <w:jc w:val="center"/>
              <w:ind w:left="39"/>
              <w:spacing w:after="0"/>
              <w:rPr>
                <w:sz w:val="20"/>
                <w:szCs w:val="20"/>
                <w:color w:val="auto"/>
              </w:rPr>
            </w:pPr>
            <w:r>
              <w:rPr>
                <w:rFonts w:ascii="Arial" w:cs="Arial" w:eastAsia="Arial" w:hAnsi="Arial"/>
                <w:sz w:val="16"/>
                <w:szCs w:val="16"/>
                <w:color w:val="auto"/>
                <w:w w:val="94"/>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(7,485)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(7,625)</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(2)%</w:t>
            </w:r>
          </w:p>
        </w:tc>
      </w:tr>
      <w:tr>
        <w:trPr>
          <w:trHeight w:val="33"/>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53%</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(1,120)</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(1,569)</w:t>
            </w:r>
          </w:p>
        </w:tc>
        <w:tc>
          <w:tcPr>
            <w:tcW w:w="100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(29)%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(5,442)</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8"/>
              </w:rPr>
              <w:t>(45)%</w:t>
            </w:r>
          </w:p>
        </w:tc>
      </w:tr>
      <w:tr>
        <w:trPr>
          <w:trHeight w:val="33"/>
        </w:trPr>
        <w:tc>
          <w:tcPr>
            <w:tcW w:w="4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(3,739)</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(4,421)</w:t>
            </w:r>
          </w:p>
        </w:tc>
        <w:tc>
          <w:tcPr>
            <w:tcW w:w="10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(13,966)</w:t>
            </w: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(15)%</w:t>
            </w:r>
          </w:p>
        </w:tc>
      </w:tr>
      <w:tr>
        <w:trPr>
          <w:trHeight w:val="20"/>
        </w:trPr>
        <w:tc>
          <w:tcPr>
            <w:tcW w:w="4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is generated from our cash and cash equivalents balances and certain deposits on hand with third parties. Interest income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2015 remained consistent, while it is higher for the nine months ended September 30, 2015 as the result of higher interest rates in Brazil and Indonesia as compared with the same period in 2014.</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three and nine months ended September 30, 2015 remained consistent with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Although we had higher average total debt outstanding in 2015, interest expense decreased due to lower commitment fees on the revolver (resulting from decreased revolver capacity and lower fee percentage), as well as lower interest rates on lines of credit at certain of our international locations. Average total debt outstanding was $379.0 million and $327.3 million for the quarters ended September 30, 2015 and 2014 and $361.2 million and $348.2 million for the nine month periods ended September 30, 2015 and 2014.</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Amortization of prepaid debt fees</w:t>
      </w:r>
      <w:r>
        <w:rPr>
          <w:rFonts w:ascii="Arial" w:cs="Arial" w:eastAsia="Arial" w:hAnsi="Arial"/>
          <w:sz w:val="17"/>
          <w:szCs w:val="17"/>
          <w:color w:val="auto"/>
        </w:rPr>
        <w:t>: Amortization of prepaid debt fees for the three months ended September 30, 2015 remained consistent as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period in 2014. Amortization of prepaid debt fee for the nine months ended September 30, 2015 increased due to the 2015 credit facility entered into on June 23, 2015. Upon entering into the 2015 credit facility, a portion of our unamortized prepaid debt fees, totaling $821,000, related to the 2011 credit facility was written-off. Refer to Item 1: “Financial Statements Note 6: Debt” for additional details related to our long-term borrowings.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Other income (expense</w:t>
      </w:r>
      <w:r>
        <w:rPr>
          <w:rFonts w:ascii="Arial" w:cs="Arial" w:eastAsia="Arial" w:hAnsi="Arial"/>
          <w:sz w:val="17"/>
          <w:szCs w:val="17"/>
          <w:color w:val="auto"/>
        </w:rPr>
        <w:t>)</w:t>
      </w:r>
      <w:r>
        <w:rPr>
          <w:rFonts w:ascii="Arial" w:cs="Arial" w:eastAsia="Arial" w:hAnsi="Arial"/>
          <w:sz w:val="17"/>
          <w:szCs w:val="17"/>
          <w:i w:val="1"/>
          <w:iCs w:val="1"/>
          <w:color w:val="auto"/>
        </w:rPr>
        <w:t>, net</w:t>
      </w:r>
      <w:r>
        <w:rPr>
          <w:rFonts w:ascii="Arial" w:cs="Arial" w:eastAsia="Arial" w:hAnsi="Arial"/>
          <w:sz w:val="17"/>
          <w:szCs w:val="17"/>
          <w:color w:val="auto"/>
        </w:rPr>
        <w:t>: Other expenses, net, consist primarily of unrealized and realized foreign currency gains and losses from balances denominated</w:t>
      </w:r>
      <w:r>
        <w:rPr>
          <w:rFonts w:ascii="Arial" w:cs="Arial" w:eastAsia="Arial" w:hAnsi="Arial"/>
          <w:sz w:val="17"/>
          <w:szCs w:val="17"/>
          <w:i w:val="1"/>
          <w:iCs w:val="1"/>
          <w:color w:val="auto"/>
        </w:rPr>
        <w:t xml:space="preserve"> </w:t>
      </w:r>
      <w:r>
        <w:rPr>
          <w:rFonts w:ascii="Arial" w:cs="Arial" w:eastAsia="Arial" w:hAnsi="Arial"/>
          <w:sz w:val="17"/>
          <w:szCs w:val="17"/>
          <w:color w:val="auto"/>
        </w:rPr>
        <w:t>in currencies other than the reporting entity's functional currency and other non-operating income (expenses). As a result of currency movements in certain markets in which we do business, foreign currency losses, net of hedging, were $752,000 and $1.9 million for the three and nine months ended September 30, 2015, compared with foreign currency losses, net of hedging, of $1.0 and $3.9 million in the same periods in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three and nine months ended September 30, 2015, the income tax provisions were $10.1 million and $19.7 million compared with income tax provisions of $4.5 million and $11.7 million in the same periods in 2014. Our tax expense for the three and nine months ended September 30, 2015 differed from the federal statutory rate of 35% due to the forecasted mix of earnings in domestic and international jurisdictions and losses experienced in jurisdictions with valuation allowances on deferred tax assets. Our tax expense for the three and nine months ended September 30, 2014 differed from the federal statutory rate of 35% due to the forecasted mix of earnings in domestic and international jurisdictions, estimated benefits of foreign tax credits, the benefit of certain interest expense deductions, and an election under U.S. Internal Revenue Code Section 338 with respect to a foreign acquisition in 2007.</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Note 15: Segment Information.”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center"/>
              <w:ind w:left="697"/>
              <w:spacing w:after="0"/>
              <w:rPr>
                <w:sz w:val="20"/>
                <w:szCs w:val="20"/>
                <w:color w:val="auto"/>
              </w:rPr>
            </w:pPr>
            <w:r>
              <w:rPr>
                <w:rFonts w:ascii="Arial" w:cs="Arial" w:eastAsia="Arial" w:hAnsi="Arial"/>
                <w:sz w:val="13"/>
                <w:szCs w:val="13"/>
                <w:b w:val="1"/>
                <w:bCs w:val="1"/>
                <w:color w:val="auto"/>
                <w:w w:val="88"/>
              </w:rPr>
              <w:t>Three Months Ended September 30,</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8"/>
          </w:tcPr>
          <w:p>
            <w:pPr>
              <w:jc w:val="center"/>
              <w:ind w:right="37"/>
              <w:spacing w:after="0"/>
              <w:rPr>
                <w:sz w:val="20"/>
                <w:szCs w:val="20"/>
                <w:color w:val="auto"/>
              </w:rPr>
            </w:pPr>
            <w:r>
              <w:rPr>
                <w:rFonts w:ascii="Arial" w:cs="Arial" w:eastAsia="Arial" w:hAnsi="Arial"/>
                <w:sz w:val="13"/>
                <w:szCs w:val="13"/>
                <w:b w:val="1"/>
                <w:bCs w:val="1"/>
                <w:color w:val="auto"/>
                <w:w w:val="87"/>
              </w:rPr>
              <w:t>Nine Months Ended September 30,</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2"/>
              </w:rPr>
              <w:t>2015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center"/>
              <w:ind w:right="277"/>
              <w:spacing w:after="0"/>
              <w:rPr>
                <w:sz w:val="20"/>
                <w:szCs w:val="20"/>
                <w:color w:val="auto"/>
              </w:rPr>
            </w:pPr>
            <w:r>
              <w:rPr>
                <w:rFonts w:ascii="Arial" w:cs="Arial" w:eastAsia="Arial" w:hAnsi="Arial"/>
                <w:sz w:val="13"/>
                <w:szCs w:val="13"/>
                <w:b w:val="1"/>
                <w:bCs w:val="1"/>
                <w:color w:val="auto"/>
                <w:w w:val="89"/>
              </w:rPr>
              <w:t>2014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 Change</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2"/>
              </w:rPr>
              <w:t>2015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center"/>
              <w:ind w:right="277"/>
              <w:spacing w:after="0"/>
              <w:rPr>
                <w:sz w:val="20"/>
                <w:szCs w:val="20"/>
                <w:color w:val="auto"/>
              </w:rPr>
            </w:pPr>
            <w:r>
              <w:rPr>
                <w:rFonts w:ascii="Arial" w:cs="Arial" w:eastAsia="Arial" w:hAnsi="Arial"/>
                <w:sz w:val="13"/>
                <w:szCs w:val="13"/>
                <w:b w:val="1"/>
                <w:bCs w:val="1"/>
                <w:color w:val="auto"/>
                <w:w w:val="89"/>
              </w:rPr>
              <w:t>2014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 Change</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Segment Revenues</w:t>
            </w:r>
          </w:p>
        </w:tc>
        <w:tc>
          <w:tcPr>
            <w:tcW w:w="14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(in thousands)</w:t>
            </w: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(in thousands)</w:t>
            </w: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Electricity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206,389</w:t>
            </w:r>
          </w:p>
        </w:tc>
        <w:tc>
          <w:tcPr>
            <w:tcW w:w="560" w:type="dxa"/>
            <w:vAlign w:val="bottom"/>
            <w:gridSpan w:val="3"/>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203,441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center"/>
              <w:ind w:right="217"/>
              <w:spacing w:after="0"/>
              <w:rPr>
                <w:sz w:val="20"/>
                <w:szCs w:val="20"/>
                <w:color w:val="auto"/>
              </w:rPr>
            </w:pPr>
            <w:r>
              <w:rPr>
                <w:rFonts w:ascii="Arial" w:cs="Arial" w:eastAsia="Arial" w:hAnsi="Arial"/>
                <w:sz w:val="13"/>
                <w:szCs w:val="13"/>
                <w:color w:val="auto"/>
                <w:w w:val="95"/>
              </w:rPr>
              <w:t>1%</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603,651</w:t>
            </w:r>
          </w:p>
        </w:tc>
        <w:tc>
          <w:tcPr>
            <w:tcW w:w="540" w:type="dxa"/>
            <w:vAlign w:val="bottom"/>
            <w:gridSpan w:val="3"/>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567,414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4"/>
              </w:rPr>
              <w:t>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180" w:type="dxa"/>
            <w:vAlign w:val="bottom"/>
          </w:tcPr>
          <w:p>
            <w:pPr>
              <w:ind w:left="380"/>
              <w:spacing w:after="0"/>
              <w:rPr>
                <w:sz w:val="20"/>
                <w:szCs w:val="20"/>
                <w:color w:val="auto"/>
              </w:rPr>
            </w:pPr>
            <w:r>
              <w:rPr>
                <w:rFonts w:ascii="Arial" w:cs="Arial" w:eastAsia="Arial" w:hAnsi="Arial"/>
                <w:sz w:val="13"/>
                <w:szCs w:val="13"/>
                <w:color w:val="auto"/>
              </w:rPr>
              <w:t>Gas</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136,588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149,276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center"/>
              <w:ind w:right="217"/>
              <w:spacing w:after="0"/>
              <w:rPr>
                <w:sz w:val="20"/>
                <w:szCs w:val="20"/>
                <w:color w:val="auto"/>
              </w:rPr>
            </w:pPr>
            <w:r>
              <w:rPr>
                <w:rFonts w:ascii="Arial" w:cs="Arial" w:eastAsia="Arial" w:hAnsi="Arial"/>
                <w:sz w:val="13"/>
                <w:szCs w:val="13"/>
                <w:color w:val="auto"/>
                <w:w w:val="94"/>
              </w:rPr>
              <w:t>(8)%</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401,063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449,707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77"/>
              <w:spacing w:after="0"/>
              <w:rPr>
                <w:sz w:val="20"/>
                <w:szCs w:val="20"/>
                <w:color w:val="auto"/>
              </w:rPr>
            </w:pPr>
            <w:r>
              <w:rPr>
                <w:rFonts w:ascii="Arial" w:cs="Arial" w:eastAsia="Arial" w:hAnsi="Arial"/>
                <w:sz w:val="13"/>
                <w:szCs w:val="13"/>
                <w:color w:val="auto"/>
                <w:w w:val="86"/>
              </w:rPr>
              <w:t>(11)%</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Water</w:t>
            </w:r>
          </w:p>
        </w:tc>
        <w:tc>
          <w:tcPr>
            <w:tcW w:w="1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126,115</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143,737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217"/>
              <w:spacing w:after="0"/>
              <w:rPr>
                <w:sz w:val="20"/>
                <w:szCs w:val="20"/>
                <w:color w:val="auto"/>
              </w:rPr>
            </w:pPr>
            <w:r>
              <w:rPr>
                <w:rFonts w:ascii="Arial" w:cs="Arial" w:eastAsia="Arial" w:hAnsi="Arial"/>
                <w:sz w:val="13"/>
                <w:szCs w:val="13"/>
                <w:color w:val="auto"/>
                <w:w w:val="86"/>
              </w:rPr>
              <w:t>(12)%</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382,728</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443,481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2"/>
              </w:rPr>
              <w:t>(14)%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180" w:type="dxa"/>
            <w:vAlign w:val="bottom"/>
          </w:tcPr>
          <w:p>
            <w:pPr>
              <w:ind w:left="880"/>
              <w:spacing w:after="0"/>
              <w:rPr>
                <w:sz w:val="20"/>
                <w:szCs w:val="20"/>
                <w:color w:val="auto"/>
              </w:rPr>
            </w:pPr>
            <w:r>
              <w:rPr>
                <w:rFonts w:ascii="Arial" w:cs="Arial" w:eastAsia="Arial" w:hAnsi="Arial"/>
                <w:sz w:val="13"/>
                <w:szCs w:val="13"/>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469,092</w:t>
            </w:r>
          </w:p>
        </w:tc>
        <w:tc>
          <w:tcPr>
            <w:tcW w:w="56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496,454</w:t>
            </w: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217"/>
              <w:spacing w:after="0"/>
              <w:rPr>
                <w:sz w:val="20"/>
                <w:szCs w:val="20"/>
                <w:color w:val="auto"/>
              </w:rPr>
            </w:pPr>
            <w:r>
              <w:rPr>
                <w:rFonts w:ascii="Arial" w:cs="Arial" w:eastAsia="Arial" w:hAnsi="Arial"/>
                <w:sz w:val="13"/>
                <w:szCs w:val="13"/>
                <w:color w:val="auto"/>
                <w:w w:val="94"/>
              </w:rPr>
              <w:t>(6)%</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1,387,442</w:t>
            </w: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1,460,602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77"/>
              <w:spacing w:after="0"/>
              <w:rPr>
                <w:sz w:val="20"/>
                <w:szCs w:val="20"/>
                <w:color w:val="auto"/>
              </w:rPr>
            </w:pPr>
            <w:r>
              <w:rPr>
                <w:rFonts w:ascii="Arial" w:cs="Arial" w:eastAsia="Arial" w:hAnsi="Arial"/>
                <w:sz w:val="13"/>
                <w:szCs w:val="13"/>
                <w:color w:val="auto"/>
                <w:w w:val="94"/>
              </w:rPr>
              <w:t>(5)%</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gridSpan w:val="6"/>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3"/>
                <w:szCs w:val="13"/>
                <w:b w:val="1"/>
                <w:bCs w:val="1"/>
                <w:color w:val="auto"/>
                <w:w w:val="91"/>
              </w:rPr>
              <w:t>Three Months Ended September 30,</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3"/>
                <w:szCs w:val="13"/>
                <w:b w:val="1"/>
                <w:bCs w:val="1"/>
                <w:color w:val="auto"/>
                <w:w w:val="91"/>
              </w:rPr>
              <w:t>Nine Months Ended September 30,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3"/>
                <w:szCs w:val="13"/>
                <w:b w:val="1"/>
                <w:bCs w:val="1"/>
                <w:color w:val="auto"/>
                <w:w w:val="89"/>
              </w:rPr>
              <w:t>2015</w:t>
            </w:r>
          </w:p>
        </w:tc>
        <w:tc>
          <w:tcPr>
            <w:tcW w:w="8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2014</w:t>
            </w: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b w:val="1"/>
                <w:bCs w:val="1"/>
                <w:color w:val="auto"/>
                <w:w w:val="89"/>
              </w:rPr>
              <w:t>2015</w:t>
            </w: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2014</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center"/>
              <w:ind w:right="277"/>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420"/>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90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12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center"/>
              <w:ind w:right="277"/>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80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0" w:type="dxa"/>
            <w:vAlign w:val="bottom"/>
          </w:tcPr>
          <w:p>
            <w:pPr>
              <w:spacing w:after="0"/>
              <w:rPr>
                <w:sz w:val="1"/>
                <w:szCs w:val="1"/>
                <w:color w:val="auto"/>
              </w:rPr>
            </w:pPr>
          </w:p>
        </w:tc>
      </w:tr>
      <w:tr>
        <w:trPr>
          <w:trHeight w:val="170"/>
        </w:trPr>
        <w:tc>
          <w:tcPr>
            <w:tcW w:w="2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8"/>
              </w:rPr>
              <w:t>Profit</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77"/>
              <w:spacing w:after="0"/>
              <w:rPr>
                <w:sz w:val="20"/>
                <w:szCs w:val="20"/>
                <w:color w:val="auto"/>
              </w:rPr>
            </w:pPr>
            <w:r>
              <w:rPr>
                <w:rFonts w:ascii="Arial" w:cs="Arial" w:eastAsia="Arial" w:hAnsi="Arial"/>
                <w:sz w:val="13"/>
                <w:szCs w:val="13"/>
                <w:b w:val="1"/>
                <w:bCs w:val="1"/>
                <w:i w:val="1"/>
                <w:iCs w:val="1"/>
                <w:color w:val="auto"/>
                <w:w w:val="89"/>
              </w:rPr>
              <w:t>Margin</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17"/>
              <w:spacing w:after="0"/>
              <w:rPr>
                <w:sz w:val="20"/>
                <w:szCs w:val="20"/>
                <w:color w:val="auto"/>
              </w:rPr>
            </w:pPr>
            <w:r>
              <w:rPr>
                <w:rFonts w:ascii="Arial" w:cs="Arial" w:eastAsia="Arial" w:hAnsi="Arial"/>
                <w:sz w:val="13"/>
                <w:szCs w:val="13"/>
                <w:b w:val="1"/>
                <w:bCs w:val="1"/>
                <w:i w:val="1"/>
                <w:iCs w:val="1"/>
                <w:color w:val="auto"/>
                <w:w w:val="88"/>
              </w:rPr>
              <w:t>Profit</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9"/>
              </w:rPr>
              <w:t>Margin</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8"/>
              </w:rPr>
              <w:t>Profit</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97"/>
              <w:spacing w:after="0"/>
              <w:rPr>
                <w:sz w:val="20"/>
                <w:szCs w:val="20"/>
                <w:color w:val="auto"/>
              </w:rPr>
            </w:pPr>
            <w:r>
              <w:rPr>
                <w:rFonts w:ascii="Arial" w:cs="Arial" w:eastAsia="Arial" w:hAnsi="Arial"/>
                <w:sz w:val="13"/>
                <w:szCs w:val="13"/>
                <w:b w:val="1"/>
                <w:bCs w:val="1"/>
                <w:i w:val="1"/>
                <w:iCs w:val="1"/>
                <w:color w:val="auto"/>
                <w:w w:val="93"/>
              </w:rPr>
              <w:t>Margin</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i w:val="1"/>
                <w:iCs w:val="1"/>
                <w:color w:val="auto"/>
                <w:w w:val="88"/>
              </w:rPr>
              <w:t>Profit</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3"/>
              </w:rPr>
              <w:t>Margin</w:t>
            </w:r>
          </w:p>
        </w:tc>
        <w:tc>
          <w:tcPr>
            <w:tcW w:w="0" w:type="dxa"/>
            <w:vAlign w:val="bottom"/>
          </w:tcPr>
          <w:p>
            <w:pPr>
              <w:spacing w:after="0"/>
              <w:rPr>
                <w:sz w:val="1"/>
                <w:szCs w:val="1"/>
                <w:color w:val="auto"/>
              </w:rPr>
            </w:pPr>
          </w:p>
        </w:tc>
      </w:tr>
      <w:tr>
        <w:trPr>
          <w:trHeight w:val="214"/>
        </w:trPr>
        <w:tc>
          <w:tcPr>
            <w:tcW w:w="2180" w:type="dxa"/>
            <w:vAlign w:val="bottom"/>
            <w:vMerge w:val="restart"/>
          </w:tcPr>
          <w:p>
            <w:pPr>
              <w:ind w:left="40"/>
              <w:spacing w:after="0"/>
              <w:rPr>
                <w:sz w:val="20"/>
                <w:szCs w:val="20"/>
                <w:color w:val="auto"/>
              </w:rPr>
            </w:pPr>
            <w:r>
              <w:rPr>
                <w:rFonts w:ascii="Arial" w:cs="Arial" w:eastAsia="Arial" w:hAnsi="Arial"/>
                <w:sz w:val="13"/>
                <w:szCs w:val="13"/>
                <w:b w:val="1"/>
                <w:bCs w:val="1"/>
                <w:i w:val="1"/>
                <w:iCs w:val="1"/>
                <w:color w:val="auto"/>
              </w:rPr>
              <w:t>Segment Gross Profit and Margin</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(in thousands)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(in thousands)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21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Electricity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56,859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center"/>
              <w:ind w:right="297"/>
              <w:spacing w:after="0"/>
              <w:rPr>
                <w:sz w:val="20"/>
                <w:szCs w:val="20"/>
                <w:color w:val="auto"/>
              </w:rPr>
            </w:pPr>
            <w:r>
              <w:rPr>
                <w:rFonts w:ascii="Arial" w:cs="Arial" w:eastAsia="Arial" w:hAnsi="Arial"/>
                <w:sz w:val="13"/>
                <w:szCs w:val="13"/>
                <w:color w:val="auto"/>
                <w:w w:val="86"/>
              </w:rPr>
              <w:t>27.5%</w:t>
            </w:r>
          </w:p>
        </w:tc>
        <w:tc>
          <w:tcPr>
            <w:tcW w:w="42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45,959</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164,601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right="297"/>
              <w:spacing w:after="0"/>
              <w:rPr>
                <w:sz w:val="20"/>
                <w:szCs w:val="20"/>
                <w:color w:val="auto"/>
              </w:rPr>
            </w:pPr>
            <w:r>
              <w:rPr>
                <w:rFonts w:ascii="Arial" w:cs="Arial" w:eastAsia="Arial" w:hAnsi="Arial"/>
                <w:sz w:val="13"/>
                <w:szCs w:val="13"/>
                <w:color w:val="auto"/>
                <w:w w:val="86"/>
              </w:rPr>
              <w:t>27.3%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141,675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25.0%</w:t>
            </w:r>
          </w:p>
        </w:tc>
        <w:tc>
          <w:tcPr>
            <w:tcW w:w="0" w:type="dxa"/>
            <w:vAlign w:val="bottom"/>
          </w:tcPr>
          <w:p>
            <w:pPr>
              <w:spacing w:after="0"/>
              <w:rPr>
                <w:sz w:val="1"/>
                <w:szCs w:val="1"/>
                <w:color w:val="auto"/>
              </w:rPr>
            </w:pPr>
          </w:p>
        </w:tc>
      </w:tr>
      <w:tr>
        <w:trPr>
          <w:trHeight w:val="262"/>
        </w:trPr>
        <w:tc>
          <w:tcPr>
            <w:tcW w:w="2180" w:type="dxa"/>
            <w:vAlign w:val="bottom"/>
          </w:tcPr>
          <w:p>
            <w:pPr>
              <w:ind w:left="380"/>
              <w:spacing w:after="0"/>
              <w:rPr>
                <w:sz w:val="20"/>
                <w:szCs w:val="20"/>
                <w:color w:val="auto"/>
              </w:rPr>
            </w:pPr>
            <w:r>
              <w:rPr>
                <w:rFonts w:ascii="Arial" w:cs="Arial" w:eastAsia="Arial" w:hAnsi="Arial"/>
                <w:sz w:val="13"/>
                <w:szCs w:val="13"/>
                <w:color w:val="auto"/>
              </w:rPr>
              <w:t>Gas</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45,916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center"/>
              <w:ind w:right="297"/>
              <w:spacing w:after="0"/>
              <w:rPr>
                <w:sz w:val="20"/>
                <w:szCs w:val="20"/>
                <w:color w:val="auto"/>
              </w:rPr>
            </w:pPr>
            <w:r>
              <w:rPr>
                <w:rFonts w:ascii="Arial" w:cs="Arial" w:eastAsia="Arial" w:hAnsi="Arial"/>
                <w:sz w:val="13"/>
                <w:szCs w:val="13"/>
                <w:color w:val="auto"/>
                <w:w w:val="86"/>
              </w:rPr>
              <w:t>33.6%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53,492</w:t>
            </w:r>
          </w:p>
        </w:tc>
        <w:tc>
          <w:tcPr>
            <w:tcW w:w="14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35.8%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133,541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center"/>
              <w:ind w:right="297"/>
              <w:spacing w:after="0"/>
              <w:rPr>
                <w:sz w:val="20"/>
                <w:szCs w:val="20"/>
                <w:color w:val="auto"/>
              </w:rPr>
            </w:pPr>
            <w:r>
              <w:rPr>
                <w:rFonts w:ascii="Arial" w:cs="Arial" w:eastAsia="Arial" w:hAnsi="Arial"/>
                <w:sz w:val="13"/>
                <w:szCs w:val="13"/>
                <w:color w:val="auto"/>
                <w:w w:val="86"/>
              </w:rPr>
              <w:t>33.3%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168,609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37.5%</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Water</w:t>
            </w:r>
          </w:p>
        </w:tc>
        <w:tc>
          <w:tcPr>
            <w:tcW w:w="1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44,191</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center"/>
              <w:ind w:right="297"/>
              <w:spacing w:after="0"/>
              <w:rPr>
                <w:sz w:val="20"/>
                <w:szCs w:val="20"/>
                <w:color w:val="auto"/>
              </w:rPr>
            </w:pPr>
            <w:r>
              <w:rPr>
                <w:rFonts w:ascii="Arial" w:cs="Arial" w:eastAsia="Arial" w:hAnsi="Arial"/>
                <w:sz w:val="13"/>
                <w:szCs w:val="13"/>
                <w:color w:val="auto"/>
                <w:w w:val="86"/>
              </w:rPr>
              <w:t>35.0%</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51,311</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35.7%</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105,594</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right="297"/>
              <w:spacing w:after="0"/>
              <w:rPr>
                <w:sz w:val="20"/>
                <w:szCs w:val="20"/>
                <w:color w:val="auto"/>
              </w:rPr>
            </w:pPr>
            <w:r>
              <w:rPr>
                <w:rFonts w:ascii="Arial" w:cs="Arial" w:eastAsia="Arial" w:hAnsi="Arial"/>
                <w:sz w:val="13"/>
                <w:szCs w:val="13"/>
                <w:color w:val="auto"/>
                <w:w w:val="86"/>
              </w:rPr>
              <w:t>27.6%</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158,054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35.6%</w:t>
            </w:r>
          </w:p>
        </w:tc>
        <w:tc>
          <w:tcPr>
            <w:tcW w:w="0" w:type="dxa"/>
            <w:vAlign w:val="bottom"/>
          </w:tcPr>
          <w:p>
            <w:pPr>
              <w:spacing w:after="0"/>
              <w:rPr>
                <w:sz w:val="1"/>
                <w:szCs w:val="1"/>
                <w:color w:val="auto"/>
              </w:rPr>
            </w:pPr>
          </w:p>
        </w:tc>
      </w:tr>
      <w:tr>
        <w:trPr>
          <w:trHeight w:val="128"/>
        </w:trPr>
        <w:tc>
          <w:tcPr>
            <w:tcW w:w="2180" w:type="dxa"/>
            <w:vAlign w:val="bottom"/>
          </w:tcPr>
          <w:p>
            <w:pPr>
              <w:ind w:left="880"/>
              <w:spacing w:after="0" w:line="128" w:lineRule="exact"/>
              <w:rPr>
                <w:sz w:val="20"/>
                <w:szCs w:val="20"/>
                <w:color w:val="auto"/>
              </w:rPr>
            </w:pPr>
            <w:r>
              <w:rPr>
                <w:rFonts w:ascii="Arial" w:cs="Arial" w:eastAsia="Arial" w:hAnsi="Arial"/>
                <w:sz w:val="13"/>
                <w:szCs w:val="13"/>
                <w:color w:val="auto"/>
              </w:rPr>
              <w:t>Total gross profit and</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146,966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gridSpan w:val="2"/>
            <w:vMerge w:val="restart"/>
          </w:tcPr>
          <w:p>
            <w:pPr>
              <w:jc w:val="right"/>
              <w:ind w:right="137"/>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color w:val="auto"/>
              </w:rPr>
              <w:t>150,762</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403,736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vMerge w:val="restart"/>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ind w:right="57"/>
              <w:spacing w:after="0"/>
              <w:rPr>
                <w:sz w:val="20"/>
                <w:szCs w:val="20"/>
                <w:color w:val="auto"/>
              </w:rPr>
            </w:pPr>
            <w:r>
              <w:rPr>
                <w:rFonts w:ascii="Arial" w:cs="Arial" w:eastAsia="Arial" w:hAnsi="Arial"/>
                <w:sz w:val="13"/>
                <w:szCs w:val="13"/>
                <w:color w:val="auto"/>
              </w:rPr>
              <w:t>468,338</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880"/>
              <w:spacing w:after="0"/>
              <w:rPr>
                <w:sz w:val="20"/>
                <w:szCs w:val="20"/>
                <w:color w:val="auto"/>
              </w:rPr>
            </w:pPr>
            <w:r>
              <w:rPr>
                <w:rFonts w:ascii="Arial" w:cs="Arial" w:eastAsia="Arial" w:hAnsi="Arial"/>
                <w:sz w:val="13"/>
                <w:szCs w:val="13"/>
                <w:color w:val="auto"/>
              </w:rPr>
              <w:t>margin</w:t>
            </w:r>
          </w:p>
        </w:tc>
        <w:tc>
          <w:tcPr>
            <w:tcW w:w="14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97"/>
              <w:spacing w:after="0"/>
              <w:rPr>
                <w:sz w:val="20"/>
                <w:szCs w:val="20"/>
                <w:color w:val="auto"/>
              </w:rPr>
            </w:pPr>
            <w:r>
              <w:rPr>
                <w:rFonts w:ascii="Arial" w:cs="Arial" w:eastAsia="Arial" w:hAnsi="Arial"/>
                <w:sz w:val="13"/>
                <w:szCs w:val="13"/>
                <w:color w:val="auto"/>
                <w:w w:val="86"/>
              </w:rPr>
              <w:t>31.3%</w:t>
            </w:r>
          </w:p>
        </w:tc>
        <w:tc>
          <w:tcPr>
            <w:tcW w:w="420" w:type="dxa"/>
            <w:vAlign w:val="bottom"/>
            <w:tcBorders>
              <w:bottom w:val="single" w:sz="8" w:color="auto"/>
            </w:tcBorders>
            <w:gridSpan w:val="2"/>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30.4%</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center"/>
              <w:ind w:right="297"/>
              <w:spacing w:after="0"/>
              <w:rPr>
                <w:sz w:val="20"/>
                <w:szCs w:val="20"/>
                <w:color w:val="auto"/>
              </w:rPr>
            </w:pPr>
            <w:r>
              <w:rPr>
                <w:rFonts w:ascii="Arial" w:cs="Arial" w:eastAsia="Arial" w:hAnsi="Arial"/>
                <w:sz w:val="13"/>
                <w:szCs w:val="13"/>
                <w:color w:val="auto"/>
                <w:w w:val="86"/>
              </w:rPr>
              <w:t>29.1%</w:t>
            </w:r>
          </w:p>
        </w:tc>
        <w:tc>
          <w:tcPr>
            <w:tcW w:w="12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32.1%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gridSpan w:val="7"/>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center"/>
              <w:ind w:left="697"/>
              <w:spacing w:after="0"/>
              <w:rPr>
                <w:sz w:val="20"/>
                <w:szCs w:val="20"/>
                <w:color w:val="auto"/>
              </w:rPr>
            </w:pPr>
            <w:r>
              <w:rPr>
                <w:rFonts w:ascii="Arial" w:cs="Arial" w:eastAsia="Arial" w:hAnsi="Arial"/>
                <w:sz w:val="13"/>
                <w:szCs w:val="13"/>
                <w:b w:val="1"/>
                <w:bCs w:val="1"/>
                <w:color w:val="auto"/>
                <w:w w:val="88"/>
              </w:rPr>
              <w:t>Three Months Ended September 30,</w:t>
            </w:r>
          </w:p>
        </w:tc>
        <w:tc>
          <w:tcPr>
            <w:tcW w:w="8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jc w:val="center"/>
              <w:ind w:right="37"/>
              <w:spacing w:after="0"/>
              <w:rPr>
                <w:sz w:val="20"/>
                <w:szCs w:val="20"/>
                <w:color w:val="auto"/>
              </w:rPr>
            </w:pPr>
            <w:r>
              <w:rPr>
                <w:rFonts w:ascii="Arial" w:cs="Arial" w:eastAsia="Arial" w:hAnsi="Arial"/>
                <w:sz w:val="13"/>
                <w:szCs w:val="13"/>
                <w:b w:val="1"/>
                <w:bCs w:val="1"/>
                <w:color w:val="auto"/>
                <w:w w:val="87"/>
              </w:rPr>
              <w:t>Nine Months Ended September 30,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2"/>
              </w:rPr>
              <w:t>2015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center"/>
              <w:ind w:right="277"/>
              <w:spacing w:after="0"/>
              <w:rPr>
                <w:sz w:val="20"/>
                <w:szCs w:val="20"/>
                <w:color w:val="auto"/>
              </w:rPr>
            </w:pPr>
            <w:r>
              <w:rPr>
                <w:rFonts w:ascii="Arial" w:cs="Arial" w:eastAsia="Arial" w:hAnsi="Arial"/>
                <w:sz w:val="13"/>
                <w:szCs w:val="13"/>
                <w:b w:val="1"/>
                <w:bCs w:val="1"/>
                <w:color w:val="auto"/>
                <w:w w:val="89"/>
              </w:rPr>
              <w:t>2014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 Change</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2"/>
              </w:rPr>
              <w:t>2015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center"/>
              <w:ind w:right="277"/>
              <w:spacing w:after="0"/>
              <w:rPr>
                <w:sz w:val="20"/>
                <w:szCs w:val="20"/>
                <w:color w:val="auto"/>
              </w:rPr>
            </w:pPr>
            <w:r>
              <w:rPr>
                <w:rFonts w:ascii="Arial" w:cs="Arial" w:eastAsia="Arial" w:hAnsi="Arial"/>
                <w:sz w:val="13"/>
                <w:szCs w:val="13"/>
                <w:b w:val="1"/>
                <w:bCs w:val="1"/>
                <w:color w:val="auto"/>
                <w:w w:val="89"/>
              </w:rPr>
              <w:t>2014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 Change</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18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Segment Operating Expenses</w:t>
            </w:r>
          </w:p>
        </w:tc>
        <w:tc>
          <w:tcPr>
            <w:tcW w:w="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(in thousands)</w:t>
            </w: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(in thousands)</w:t>
            </w: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180" w:type="dxa"/>
            <w:vAlign w:val="bottom"/>
          </w:tcPr>
          <w:p>
            <w:pPr>
              <w:ind w:left="380"/>
              <w:spacing w:after="0"/>
              <w:rPr>
                <w:sz w:val="20"/>
                <w:szCs w:val="20"/>
                <w:color w:val="auto"/>
              </w:rPr>
            </w:pPr>
            <w:r>
              <w:rPr>
                <w:rFonts w:ascii="Arial" w:cs="Arial" w:eastAsia="Arial" w:hAnsi="Arial"/>
                <w:sz w:val="13"/>
                <w:szCs w:val="13"/>
                <w:color w:val="auto"/>
              </w:rPr>
              <w:t>Electricity</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46,284</w:t>
            </w:r>
          </w:p>
        </w:tc>
        <w:tc>
          <w:tcPr>
            <w:tcW w:w="560" w:type="dxa"/>
            <w:vAlign w:val="bottom"/>
            <w:gridSpan w:val="3"/>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57,155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center"/>
              <w:ind w:right="217"/>
              <w:spacing w:after="0"/>
              <w:rPr>
                <w:sz w:val="20"/>
                <w:szCs w:val="20"/>
                <w:color w:val="auto"/>
              </w:rPr>
            </w:pPr>
            <w:r>
              <w:rPr>
                <w:rFonts w:ascii="Arial" w:cs="Arial" w:eastAsia="Arial" w:hAnsi="Arial"/>
                <w:sz w:val="13"/>
                <w:szCs w:val="13"/>
                <w:color w:val="auto"/>
                <w:w w:val="86"/>
              </w:rPr>
              <w:t>(19)%</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147,726</w:t>
            </w:r>
          </w:p>
        </w:tc>
        <w:tc>
          <w:tcPr>
            <w:tcW w:w="540" w:type="dxa"/>
            <w:vAlign w:val="bottom"/>
            <w:gridSpan w:val="3"/>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177,087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color w:val="auto"/>
                <w:w w:val="92"/>
              </w:rPr>
              <w:t>(17)%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Gas</w:t>
            </w: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30,175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29,656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center"/>
              <w:ind w:right="217"/>
              <w:spacing w:after="0"/>
              <w:rPr>
                <w:sz w:val="20"/>
                <w:szCs w:val="20"/>
                <w:color w:val="auto"/>
              </w:rPr>
            </w:pPr>
            <w:r>
              <w:rPr>
                <w:rFonts w:ascii="Arial" w:cs="Arial" w:eastAsia="Arial" w:hAnsi="Arial"/>
                <w:sz w:val="13"/>
                <w:szCs w:val="13"/>
                <w:color w:val="auto"/>
                <w:w w:val="95"/>
              </w:rPr>
              <w:t>2%</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89,466</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94,720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94"/>
              </w:rPr>
              <w:t>(6)%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180" w:type="dxa"/>
            <w:vAlign w:val="bottom"/>
          </w:tcPr>
          <w:p>
            <w:pPr>
              <w:ind w:left="380"/>
              <w:spacing w:after="0"/>
              <w:rPr>
                <w:sz w:val="20"/>
                <w:szCs w:val="20"/>
                <w:color w:val="auto"/>
              </w:rPr>
            </w:pPr>
            <w:r>
              <w:rPr>
                <w:rFonts w:ascii="Arial" w:cs="Arial" w:eastAsia="Arial" w:hAnsi="Arial"/>
                <w:sz w:val="13"/>
                <w:szCs w:val="13"/>
                <w:color w:val="auto"/>
              </w:rPr>
              <w:t>Water</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29,901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32,154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center"/>
              <w:ind w:right="217"/>
              <w:spacing w:after="0"/>
              <w:rPr>
                <w:sz w:val="20"/>
                <w:szCs w:val="20"/>
                <w:color w:val="auto"/>
              </w:rPr>
            </w:pPr>
            <w:r>
              <w:rPr>
                <w:rFonts w:ascii="Arial" w:cs="Arial" w:eastAsia="Arial" w:hAnsi="Arial"/>
                <w:sz w:val="13"/>
                <w:szCs w:val="13"/>
                <w:color w:val="auto"/>
                <w:w w:val="94"/>
              </w:rPr>
              <w:t>(7)%</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94,718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97,735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77"/>
              <w:spacing w:after="0"/>
              <w:rPr>
                <w:sz w:val="20"/>
                <w:szCs w:val="20"/>
                <w:color w:val="auto"/>
              </w:rPr>
            </w:pPr>
            <w:r>
              <w:rPr>
                <w:rFonts w:ascii="Arial" w:cs="Arial" w:eastAsia="Arial" w:hAnsi="Arial"/>
                <w:sz w:val="13"/>
                <w:szCs w:val="13"/>
                <w:color w:val="auto"/>
                <w:w w:val="94"/>
              </w:rPr>
              <w:t>(3)%</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Corporate unallocated</w:t>
            </w:r>
          </w:p>
        </w:tc>
        <w:tc>
          <w:tcPr>
            <w:tcW w:w="1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13,398</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15,339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217"/>
              <w:spacing w:after="0"/>
              <w:rPr>
                <w:sz w:val="20"/>
                <w:szCs w:val="20"/>
                <w:color w:val="auto"/>
              </w:rPr>
            </w:pPr>
            <w:r>
              <w:rPr>
                <w:rFonts w:ascii="Arial" w:cs="Arial" w:eastAsia="Arial" w:hAnsi="Arial"/>
                <w:sz w:val="13"/>
                <w:szCs w:val="13"/>
                <w:color w:val="auto"/>
                <w:w w:val="86"/>
              </w:rPr>
              <w:t>(13)%</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35,030</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45,872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2"/>
              </w:rPr>
              <w:t>(24)%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180" w:type="dxa"/>
            <w:vAlign w:val="bottom"/>
          </w:tcPr>
          <w:p>
            <w:pPr>
              <w:ind w:left="720"/>
              <w:spacing w:after="0"/>
              <w:rPr>
                <w:sz w:val="20"/>
                <w:szCs w:val="20"/>
                <w:color w:val="auto"/>
              </w:rPr>
            </w:pPr>
            <w:r>
              <w:rPr>
                <w:rFonts w:ascii="Arial" w:cs="Arial" w:eastAsia="Arial" w:hAnsi="Arial"/>
                <w:sz w:val="13"/>
                <w:szCs w:val="13"/>
                <w:color w:val="auto"/>
                <w:w w:val="98"/>
              </w:rPr>
              <w:t>Total operating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119,758</w:t>
            </w:r>
          </w:p>
        </w:tc>
        <w:tc>
          <w:tcPr>
            <w:tcW w:w="56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134,304</w:t>
            </w: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217"/>
              <w:spacing w:after="0"/>
              <w:rPr>
                <w:sz w:val="20"/>
                <w:szCs w:val="20"/>
                <w:color w:val="auto"/>
              </w:rPr>
            </w:pPr>
            <w:r>
              <w:rPr>
                <w:rFonts w:ascii="Arial" w:cs="Arial" w:eastAsia="Arial" w:hAnsi="Arial"/>
                <w:sz w:val="13"/>
                <w:szCs w:val="13"/>
                <w:color w:val="auto"/>
                <w:w w:val="86"/>
              </w:rPr>
              <w:t>(11)%</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366,940</w:t>
            </w:r>
          </w:p>
        </w:tc>
        <w:tc>
          <w:tcPr>
            <w:tcW w:w="54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415,414</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92"/>
              </w:rPr>
              <w:t>(12)%</w:t>
            </w: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622" w:gutter="0" w:footer="0" w:header="0"/>
        </w:sectPr>
      </w:pPr>
    </w:p>
    <w:p>
      <w:pPr>
        <w:spacing w:after="0" w:line="160" w:lineRule="exact"/>
        <w:rPr>
          <w:sz w:val="20"/>
          <w:szCs w:val="20"/>
          <w:color w:val="auto"/>
        </w:rPr>
      </w:pPr>
    </w:p>
    <w:p>
      <w:pPr>
        <w:ind w:left="354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19685</wp:posOffset>
            </wp:positionV>
            <wp:extent cx="29502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14" w:lineRule="exact"/>
        <w:rPr>
          <w:sz w:val="20"/>
          <w:szCs w:val="20"/>
          <w:color w:val="auto"/>
        </w:rPr>
      </w:pPr>
    </w:p>
    <w:p>
      <w:pPr>
        <w:ind w:left="3300"/>
        <w:spacing w:after="0"/>
        <w:tabs>
          <w:tab w:leader="none" w:pos="5660" w:val="left"/>
        </w:tabs>
        <w:rPr>
          <w:sz w:val="20"/>
          <w:szCs w:val="20"/>
          <w:color w:val="auto"/>
        </w:rPr>
      </w:pPr>
      <w:r>
        <w:rPr>
          <w:rFonts w:ascii="Arial" w:cs="Arial" w:eastAsia="Arial" w:hAnsi="Arial"/>
          <w:sz w:val="9"/>
          <w:szCs w:val="9"/>
          <w:b w:val="1"/>
          <w:bCs w:val="1"/>
          <w:color w:val="auto"/>
        </w:rPr>
        <w:t>2015</w:t>
      </w:r>
      <w:r>
        <w:rPr>
          <w:sz w:val="20"/>
          <w:szCs w:val="20"/>
          <w:color w:val="auto"/>
        </w:rPr>
        <w:tab/>
      </w:r>
      <w:r>
        <w:rPr>
          <w:rFonts w:ascii="Arial" w:cs="Arial" w:eastAsia="Arial" w:hAnsi="Arial"/>
          <w:sz w:val="9"/>
          <w:szCs w:val="9"/>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48895</wp:posOffset>
            </wp:positionV>
            <wp:extent cx="29502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-675005</wp:posOffset>
            </wp:positionH>
            <wp:positionV relativeFrom="paragraph">
              <wp:posOffset>19685</wp:posOffset>
            </wp:positionV>
            <wp:extent cx="28473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14" w:lineRule="exact"/>
        <w:rPr>
          <w:sz w:val="20"/>
          <w:szCs w:val="20"/>
          <w:color w:val="auto"/>
        </w:rPr>
      </w:pPr>
    </w:p>
    <w:p>
      <w:pPr>
        <w:spacing w:after="0"/>
        <w:tabs>
          <w:tab w:leader="none" w:pos="2280" w:val="left"/>
        </w:tabs>
        <w:rPr>
          <w:sz w:val="20"/>
          <w:szCs w:val="20"/>
          <w:color w:val="auto"/>
        </w:rPr>
      </w:pPr>
      <w:r>
        <w:rPr>
          <w:rFonts w:ascii="Arial" w:cs="Arial" w:eastAsia="Arial" w:hAnsi="Arial"/>
          <w:sz w:val="9"/>
          <w:szCs w:val="9"/>
          <w:b w:val="1"/>
          <w:bCs w:val="1"/>
          <w:color w:val="auto"/>
        </w:rPr>
        <w:t>2015</w:t>
      </w:r>
      <w:r>
        <w:rPr>
          <w:sz w:val="20"/>
          <w:szCs w:val="20"/>
          <w:color w:val="auto"/>
        </w:rPr>
        <w:tab/>
      </w:r>
      <w:r>
        <w:rPr>
          <w:rFonts w:ascii="Arial" w:cs="Arial" w:eastAsia="Arial" w:hAnsi="Arial"/>
          <w:sz w:val="9"/>
          <w:szCs w:val="9"/>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-675005</wp:posOffset>
            </wp:positionH>
            <wp:positionV relativeFrom="paragraph">
              <wp:posOffset>48895</wp:posOffset>
            </wp:positionV>
            <wp:extent cx="28473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7280" w:space="720"/>
            <w:col w:w="3420"/>
          </w:cols>
          <w:pgMar w:left="240" w:top="125" w:right="239" w:bottom="622"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3"/>
                <w:szCs w:val="13"/>
                <w:b w:val="1"/>
                <w:bCs w:val="1"/>
                <w:i w:val="1"/>
                <w:iCs w:val="1"/>
                <w:color w:val="auto"/>
                <w:w w:val="84"/>
              </w:rPr>
              <w:t>Operating</w:t>
            </w:r>
          </w:p>
        </w:tc>
        <w:tc>
          <w:tcPr>
            <w:tcW w:w="1200" w:type="dxa"/>
            <w:vAlign w:val="bottom"/>
            <w:gridSpan w:val="2"/>
          </w:tcPr>
          <w:p>
            <w:pPr>
              <w:jc w:val="center"/>
              <w:ind w:right="200"/>
              <w:spacing w:after="0"/>
              <w:rPr>
                <w:sz w:val="20"/>
                <w:szCs w:val="20"/>
                <w:color w:val="auto"/>
              </w:rPr>
            </w:pPr>
            <w:r>
              <w:rPr>
                <w:rFonts w:ascii="Arial" w:cs="Arial" w:eastAsia="Arial" w:hAnsi="Arial"/>
                <w:sz w:val="13"/>
                <w:szCs w:val="13"/>
                <w:b w:val="1"/>
                <w:bCs w:val="1"/>
                <w:i w:val="1"/>
                <w:iCs w:val="1"/>
                <w:color w:val="auto"/>
                <w:w w:val="84"/>
              </w:rPr>
              <w:t>Operating</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i w:val="1"/>
                <w:iCs w:val="1"/>
                <w:color w:val="auto"/>
                <w:w w:val="87"/>
              </w:rPr>
              <w:t>Operating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87"/>
              </w:rPr>
              <w:t>Operating</w:t>
            </w:r>
          </w:p>
        </w:tc>
        <w:tc>
          <w:tcPr>
            <w:tcW w:w="120" w:type="dxa"/>
            <w:vAlign w:val="bottom"/>
          </w:tcPr>
          <w:p>
            <w:pPr>
              <w:spacing w:after="0"/>
              <w:rPr>
                <w:sz w:val="12"/>
                <w:szCs w:val="12"/>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3"/>
                <w:szCs w:val="13"/>
                <w:b w:val="1"/>
                <w:bCs w:val="1"/>
                <w:i w:val="1"/>
                <w:iCs w:val="1"/>
                <w:color w:val="auto"/>
                <w:w w:val="84"/>
              </w:rPr>
              <w:t>Operating</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i w:val="1"/>
                <w:iCs w:val="1"/>
                <w:color w:val="auto"/>
                <w:w w:val="84"/>
              </w:rPr>
              <w:t>Operating</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i w:val="1"/>
                <w:iCs w:val="1"/>
                <w:color w:val="auto"/>
                <w:w w:val="84"/>
              </w:rPr>
              <w:t>Operating</w:t>
            </w:r>
          </w:p>
        </w:tc>
        <w:tc>
          <w:tcPr>
            <w:tcW w:w="80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4"/>
              </w:rPr>
              <w:t>Operating</w:t>
            </w:r>
          </w:p>
        </w:tc>
        <w:tc>
          <w:tcPr>
            <w:tcW w:w="0" w:type="dxa"/>
            <w:vAlign w:val="bottom"/>
          </w:tcPr>
          <w:p>
            <w:pPr>
              <w:spacing w:after="0"/>
              <w:rPr>
                <w:sz w:val="1"/>
                <w:szCs w:val="1"/>
                <w:color w:val="auto"/>
              </w:rPr>
            </w:pPr>
          </w:p>
        </w:tc>
      </w:tr>
      <w:tr>
        <w:trPr>
          <w:trHeight w:val="170"/>
        </w:trPr>
        <w:tc>
          <w:tcPr>
            <w:tcW w:w="2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i w:val="1"/>
                <w:iCs w:val="1"/>
                <w:color w:val="auto"/>
                <w:w w:val="83"/>
              </w:rPr>
              <w:t>Income (Loss)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9"/>
              </w:rPr>
              <w:t>Margin</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i w:val="1"/>
                <w:iCs w:val="1"/>
                <w:color w:val="auto"/>
                <w:w w:val="83"/>
              </w:rPr>
              <w:t>Income (Loss)</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9"/>
              </w:rPr>
              <w:t>Margin</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i w:val="1"/>
                <w:iCs w:val="1"/>
                <w:color w:val="auto"/>
                <w:w w:val="83"/>
              </w:rPr>
              <w:t>Income (Loss)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i w:val="1"/>
                <w:iCs w:val="1"/>
                <w:color w:val="auto"/>
                <w:w w:val="93"/>
              </w:rPr>
              <w:t>Margin</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i w:val="1"/>
                <w:iCs w:val="1"/>
                <w:color w:val="auto"/>
                <w:w w:val="83"/>
              </w:rPr>
              <w:t>Income (Loss)</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3"/>
              </w:rPr>
              <w:t>Margin</w:t>
            </w:r>
          </w:p>
        </w:tc>
        <w:tc>
          <w:tcPr>
            <w:tcW w:w="0" w:type="dxa"/>
            <w:vAlign w:val="bottom"/>
          </w:tcPr>
          <w:p>
            <w:pPr>
              <w:spacing w:after="0"/>
              <w:rPr>
                <w:sz w:val="1"/>
                <w:szCs w:val="1"/>
                <w:color w:val="auto"/>
              </w:rPr>
            </w:pPr>
          </w:p>
        </w:tc>
      </w:tr>
      <w:tr>
        <w:trPr>
          <w:trHeight w:val="134"/>
        </w:trPr>
        <w:tc>
          <w:tcPr>
            <w:tcW w:w="2180" w:type="dxa"/>
            <w:vAlign w:val="bottom"/>
          </w:tcPr>
          <w:p>
            <w:pPr>
              <w:ind w:left="40"/>
              <w:spacing w:after="0" w:line="134" w:lineRule="exact"/>
              <w:rPr>
                <w:sz w:val="20"/>
                <w:szCs w:val="20"/>
                <w:color w:val="auto"/>
              </w:rPr>
            </w:pPr>
            <w:r>
              <w:rPr>
                <w:rFonts w:ascii="Arial" w:cs="Arial" w:eastAsia="Arial" w:hAnsi="Arial"/>
                <w:sz w:val="13"/>
                <w:szCs w:val="13"/>
                <w:b w:val="1"/>
                <w:bCs w:val="1"/>
                <w:i w:val="1"/>
                <w:iCs w:val="1"/>
                <w:color w:val="auto"/>
                <w:w w:val="88"/>
              </w:rPr>
              <w:t>Segment Operating Income (Loss) and</w:t>
            </w:r>
          </w:p>
        </w:tc>
        <w:tc>
          <w:tcPr>
            <w:tcW w:w="140" w:type="dxa"/>
            <w:vAlign w:val="bottom"/>
          </w:tcPr>
          <w:p>
            <w:pPr>
              <w:spacing w:after="0"/>
              <w:rPr>
                <w:sz w:val="11"/>
                <w:szCs w:val="11"/>
                <w:color w:val="auto"/>
              </w:rPr>
            </w:pPr>
          </w:p>
        </w:tc>
        <w:tc>
          <w:tcPr>
            <w:tcW w:w="1220" w:type="dxa"/>
            <w:vAlign w:val="bottom"/>
            <w:gridSpan w:val="3"/>
            <w:vMerge w:val="restart"/>
          </w:tcPr>
          <w:p>
            <w:pPr>
              <w:jc w:val="center"/>
              <w:ind w:right="340"/>
              <w:spacing w:after="0"/>
              <w:rPr>
                <w:sz w:val="20"/>
                <w:szCs w:val="20"/>
                <w:color w:val="auto"/>
              </w:rPr>
            </w:pPr>
            <w:r>
              <w:rPr>
                <w:rFonts w:ascii="Arial" w:cs="Arial" w:eastAsia="Arial" w:hAnsi="Arial"/>
                <w:sz w:val="13"/>
                <w:szCs w:val="13"/>
                <w:b w:val="1"/>
                <w:bCs w:val="1"/>
                <w:color w:val="auto"/>
                <w:w w:val="84"/>
              </w:rPr>
              <w:t>(in thousands)</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7"/>
              </w:rPr>
              <w:t>(in thousands)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vMerge w:val="restart"/>
          </w:tcPr>
          <w:p>
            <w:pPr>
              <w:jc w:val="center"/>
              <w:ind w:right="320"/>
              <w:spacing w:after="0"/>
              <w:rPr>
                <w:sz w:val="20"/>
                <w:szCs w:val="20"/>
                <w:color w:val="auto"/>
              </w:rPr>
            </w:pPr>
            <w:r>
              <w:rPr>
                <w:rFonts w:ascii="Arial" w:cs="Arial" w:eastAsia="Arial" w:hAnsi="Arial"/>
                <w:sz w:val="13"/>
                <w:szCs w:val="13"/>
                <w:b w:val="1"/>
                <w:bCs w:val="1"/>
                <w:color w:val="auto"/>
                <w:w w:val="84"/>
              </w:rPr>
              <w:t>(in thousands)</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4"/>
              </w:rPr>
              <w:t>(in thousands)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180" w:type="dxa"/>
            <w:vAlign w:val="bottom"/>
            <w:vMerge w:val="restart"/>
          </w:tcPr>
          <w:p>
            <w:pPr>
              <w:ind w:left="40"/>
              <w:spacing w:after="0"/>
              <w:rPr>
                <w:sz w:val="20"/>
                <w:szCs w:val="20"/>
                <w:color w:val="auto"/>
              </w:rPr>
            </w:pPr>
            <w:r>
              <w:rPr>
                <w:rFonts w:ascii="Arial" w:cs="Arial" w:eastAsia="Arial" w:hAnsi="Arial"/>
                <w:sz w:val="13"/>
                <w:szCs w:val="13"/>
                <w:b w:val="1"/>
                <w:bCs w:val="1"/>
                <w:i w:val="1"/>
                <w:iCs w:val="1"/>
                <w:color w:val="auto"/>
              </w:rPr>
              <w:t>Operating Margin</w:t>
            </w:r>
          </w:p>
        </w:tc>
        <w:tc>
          <w:tcPr>
            <w:tcW w:w="14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2180" w:type="dxa"/>
            <w:vAlign w:val="bottom"/>
          </w:tcPr>
          <w:p>
            <w:pPr>
              <w:ind w:left="380"/>
              <w:spacing w:after="0"/>
              <w:rPr>
                <w:sz w:val="20"/>
                <w:szCs w:val="20"/>
                <w:color w:val="auto"/>
              </w:rPr>
            </w:pPr>
            <w:r>
              <w:rPr>
                <w:rFonts w:ascii="Arial" w:cs="Arial" w:eastAsia="Arial" w:hAnsi="Arial"/>
                <w:sz w:val="13"/>
                <w:szCs w:val="13"/>
                <w:color w:val="auto"/>
              </w:rPr>
              <w:t>Electricity</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10,575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(11,196)</w:t>
            </w: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16,875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37"/>
              <w:spacing w:after="0"/>
              <w:rPr>
                <w:sz w:val="20"/>
                <w:szCs w:val="20"/>
                <w:color w:val="auto"/>
              </w:rPr>
            </w:pPr>
            <w:r>
              <w:rPr>
                <w:rFonts w:ascii="Arial" w:cs="Arial" w:eastAsia="Arial" w:hAnsi="Arial"/>
                <w:sz w:val="13"/>
                <w:szCs w:val="13"/>
                <w:color w:val="auto"/>
                <w:w w:val="84"/>
              </w:rPr>
              <w:t>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(35,412)</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(6)%</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Gas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15,741</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23,836</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44,075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4"/>
              </w:rPr>
              <w:t>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73,889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16%</w:t>
            </w:r>
          </w:p>
        </w:tc>
        <w:tc>
          <w:tcPr>
            <w:tcW w:w="0" w:type="dxa"/>
            <w:vAlign w:val="bottom"/>
          </w:tcPr>
          <w:p>
            <w:pPr>
              <w:spacing w:after="0"/>
              <w:rPr>
                <w:sz w:val="1"/>
                <w:szCs w:val="1"/>
                <w:color w:val="auto"/>
              </w:rPr>
            </w:pPr>
          </w:p>
        </w:tc>
      </w:tr>
      <w:tr>
        <w:trPr>
          <w:trHeight w:val="262"/>
        </w:trPr>
        <w:tc>
          <w:tcPr>
            <w:tcW w:w="2180" w:type="dxa"/>
            <w:vAlign w:val="bottom"/>
          </w:tcPr>
          <w:p>
            <w:pPr>
              <w:ind w:left="380"/>
              <w:spacing w:after="0"/>
              <w:rPr>
                <w:sz w:val="20"/>
                <w:szCs w:val="20"/>
                <w:color w:val="auto"/>
              </w:rPr>
            </w:pPr>
            <w:r>
              <w:rPr>
                <w:rFonts w:ascii="Arial" w:cs="Arial" w:eastAsia="Arial" w:hAnsi="Arial"/>
                <w:sz w:val="13"/>
                <w:szCs w:val="13"/>
                <w:color w:val="auto"/>
              </w:rPr>
              <w:t>Water</w:t>
            </w:r>
          </w:p>
        </w:tc>
        <w:tc>
          <w:tcPr>
            <w:tcW w:w="14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14,290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84"/>
              </w:rPr>
              <w:t>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19,157</w:t>
            </w:r>
          </w:p>
        </w:tc>
        <w:tc>
          <w:tcPr>
            <w:tcW w:w="14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4"/>
              </w:rPr>
              <w:t>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10,876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center"/>
              <w:ind w:right="37"/>
              <w:spacing w:after="0"/>
              <w:rPr>
                <w:sz w:val="20"/>
                <w:szCs w:val="20"/>
                <w:color w:val="auto"/>
              </w:rPr>
            </w:pPr>
            <w:r>
              <w:rPr>
                <w:rFonts w:ascii="Arial" w:cs="Arial" w:eastAsia="Arial" w:hAnsi="Arial"/>
                <w:sz w:val="13"/>
                <w:szCs w:val="13"/>
                <w:color w:val="auto"/>
                <w:w w:val="84"/>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60,319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2"/>
              </w:rPr>
              <w:t>14%</w:t>
            </w:r>
          </w:p>
        </w:tc>
        <w:tc>
          <w:tcPr>
            <w:tcW w:w="0" w:type="dxa"/>
            <w:vAlign w:val="bottom"/>
          </w:tcPr>
          <w:p>
            <w:pPr>
              <w:spacing w:after="0"/>
              <w:rPr>
                <w:sz w:val="1"/>
                <w:szCs w:val="1"/>
                <w:color w:val="auto"/>
              </w:rPr>
            </w:pPr>
          </w:p>
        </w:tc>
      </w:tr>
      <w:tr>
        <w:trPr>
          <w:trHeight w:val="272"/>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Corporate unallocated</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(13,398)</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(15,339)</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(35,030)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(45,872)</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180" w:type="dxa"/>
            <w:vAlign w:val="bottom"/>
          </w:tcPr>
          <w:p>
            <w:pPr>
              <w:ind w:left="880"/>
              <w:spacing w:after="0"/>
              <w:rPr>
                <w:sz w:val="20"/>
                <w:szCs w:val="20"/>
                <w:color w:val="auto"/>
              </w:rPr>
            </w:pPr>
            <w:r>
              <w:rPr>
                <w:rFonts w:ascii="Arial" w:cs="Arial" w:eastAsia="Arial" w:hAnsi="Arial"/>
                <w:sz w:val="13"/>
                <w:szCs w:val="13"/>
                <w:color w:val="auto"/>
              </w:rPr>
              <w:t>Total Company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27,208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6%</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16,458</w:t>
            </w:r>
          </w:p>
        </w:tc>
        <w:tc>
          <w:tcPr>
            <w:tcW w:w="1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5"/>
              </w:rPr>
              <w:t>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36,796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37"/>
              <w:spacing w:after="0"/>
              <w:rPr>
                <w:sz w:val="20"/>
                <w:szCs w:val="20"/>
                <w:color w:val="auto"/>
              </w:rPr>
            </w:pPr>
            <w:r>
              <w:rPr>
                <w:rFonts w:ascii="Arial" w:cs="Arial" w:eastAsia="Arial" w:hAnsi="Arial"/>
                <w:sz w:val="13"/>
                <w:szCs w:val="13"/>
                <w:color w:val="auto"/>
                <w:w w:val="84"/>
              </w:rPr>
              <w:t>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52,924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4"/>
              </w:rPr>
              <w:t>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3"/>
                <w:szCs w:val="13"/>
                <w:b w:val="1"/>
                <w:bCs w:val="1"/>
                <w:color w:val="auto"/>
                <w:w w:val="87"/>
              </w:rPr>
              <w:t>Three Months Ended September 30,</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3"/>
                <w:szCs w:val="13"/>
                <w:b w:val="1"/>
                <w:bCs w:val="1"/>
                <w:color w:val="auto"/>
                <w:w w:val="86"/>
              </w:rPr>
              <w:t>Nine Months Ended September 30,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2015</w:t>
            </w:r>
          </w:p>
        </w:tc>
        <w:tc>
          <w:tcPr>
            <w:tcW w:w="10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2014</w:t>
            </w: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2015</w:t>
            </w: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2014</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320"/>
              <w:spacing w:after="0" w:line="144" w:lineRule="exact"/>
              <w:rPr>
                <w:sz w:val="20"/>
                <w:szCs w:val="20"/>
                <w:color w:val="auto"/>
              </w:rPr>
            </w:pPr>
            <w:r>
              <w:rPr>
                <w:rFonts w:ascii="Arial" w:cs="Arial" w:eastAsia="Arial" w:hAnsi="Arial"/>
                <w:sz w:val="13"/>
                <w:szCs w:val="13"/>
                <w:b w:val="1"/>
                <w:bCs w:val="1"/>
                <w:color w:val="auto"/>
                <w:w w:val="92"/>
              </w:rPr>
              <w:t>Non-GAAP</w:t>
            </w:r>
          </w:p>
        </w:tc>
        <w:tc>
          <w:tcPr>
            <w:tcW w:w="12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2"/>
              </w:rPr>
              <w:t>Non-GAAP</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Non-GAAP</w:t>
            </w:r>
          </w:p>
        </w:tc>
        <w:tc>
          <w:tcPr>
            <w:tcW w:w="90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2"/>
              </w:rPr>
              <w:t>Non-GAAP</w:t>
            </w:r>
          </w:p>
        </w:tc>
        <w:tc>
          <w:tcPr>
            <w:tcW w:w="120" w:type="dxa"/>
            <w:vAlign w:val="bottom"/>
          </w:tcPr>
          <w:p>
            <w:pPr>
              <w:spacing w:after="0"/>
              <w:rPr>
                <w:sz w:val="12"/>
                <w:szCs w:val="12"/>
                <w:color w:val="auto"/>
              </w:rPr>
            </w:pPr>
          </w:p>
        </w:tc>
        <w:tc>
          <w:tcPr>
            <w:tcW w:w="120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92"/>
              </w:rPr>
              <w:t>Non-GAAP</w:t>
            </w:r>
          </w:p>
        </w:tc>
        <w:tc>
          <w:tcPr>
            <w:tcW w:w="114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2"/>
              </w:rPr>
              <w:t>Non-GAAP</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Non-GAAP</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Non-GAAP</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3"/>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Operating</w:t>
            </w: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Operating</w:t>
            </w:r>
          </w:p>
        </w:tc>
        <w:tc>
          <w:tcPr>
            <w:tcW w:w="16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Operating</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Operating</w:t>
            </w:r>
          </w:p>
        </w:tc>
        <w:tc>
          <w:tcPr>
            <w:tcW w:w="120" w:type="dxa"/>
            <w:vAlign w:val="bottom"/>
          </w:tcPr>
          <w:p>
            <w:pPr>
              <w:spacing w:after="0"/>
              <w:rPr>
                <w:sz w:val="11"/>
                <w:szCs w:val="11"/>
                <w:color w:val="auto"/>
              </w:rPr>
            </w:pPr>
          </w:p>
        </w:tc>
        <w:tc>
          <w:tcPr>
            <w:tcW w:w="120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91"/>
              </w:rPr>
              <w:t>Operating</w:t>
            </w: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Operating</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Operating</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Operating</w:t>
            </w: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3"/>
              </w:rPr>
              <w:t>Margin</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Margin</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3"/>
              </w:rPr>
              <w:t>Margin</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Margin</w:t>
            </w:r>
          </w:p>
        </w:tc>
        <w:tc>
          <w:tcPr>
            <w:tcW w:w="0" w:type="dxa"/>
            <w:vAlign w:val="bottom"/>
          </w:tcPr>
          <w:p>
            <w:pPr>
              <w:spacing w:after="0"/>
              <w:rPr>
                <w:sz w:val="1"/>
                <w:szCs w:val="1"/>
                <w:color w:val="auto"/>
              </w:rPr>
            </w:pPr>
          </w:p>
        </w:tc>
      </w:tr>
      <w:tr>
        <w:trPr>
          <w:trHeight w:val="134"/>
        </w:trPr>
        <w:tc>
          <w:tcPr>
            <w:tcW w:w="2180" w:type="dxa"/>
            <w:vAlign w:val="bottom"/>
          </w:tcPr>
          <w:p>
            <w:pPr>
              <w:ind w:left="40"/>
              <w:spacing w:after="0" w:line="134" w:lineRule="exact"/>
              <w:rPr>
                <w:sz w:val="20"/>
                <w:szCs w:val="20"/>
                <w:color w:val="auto"/>
              </w:rPr>
            </w:pPr>
            <w:r>
              <w:rPr>
                <w:rFonts w:ascii="Arial" w:cs="Arial" w:eastAsia="Arial" w:hAnsi="Arial"/>
                <w:sz w:val="13"/>
                <w:szCs w:val="13"/>
                <w:b w:val="1"/>
                <w:bCs w:val="1"/>
                <w:i w:val="1"/>
                <w:iCs w:val="1"/>
                <w:color w:val="auto"/>
                <w:w w:val="88"/>
              </w:rPr>
              <w:t>Non-GAAP Segment Operating Income</w:t>
            </w:r>
          </w:p>
        </w:tc>
        <w:tc>
          <w:tcPr>
            <w:tcW w:w="140" w:type="dxa"/>
            <w:vAlign w:val="bottom"/>
          </w:tcPr>
          <w:p>
            <w:pPr>
              <w:spacing w:after="0"/>
              <w:rPr>
                <w:sz w:val="11"/>
                <w:szCs w:val="11"/>
                <w:color w:val="auto"/>
              </w:rPr>
            </w:pPr>
          </w:p>
        </w:tc>
        <w:tc>
          <w:tcPr>
            <w:tcW w:w="1220" w:type="dxa"/>
            <w:vAlign w:val="bottom"/>
            <w:gridSpan w:val="3"/>
            <w:vMerge w:val="restart"/>
          </w:tcPr>
          <w:p>
            <w:pPr>
              <w:jc w:val="center"/>
              <w:ind w:right="340"/>
              <w:spacing w:after="0"/>
              <w:rPr>
                <w:sz w:val="20"/>
                <w:szCs w:val="20"/>
                <w:color w:val="auto"/>
              </w:rPr>
            </w:pPr>
            <w:r>
              <w:rPr>
                <w:rFonts w:ascii="Arial" w:cs="Arial" w:eastAsia="Arial" w:hAnsi="Arial"/>
                <w:sz w:val="13"/>
                <w:szCs w:val="13"/>
                <w:b w:val="1"/>
                <w:bCs w:val="1"/>
                <w:color w:val="auto"/>
                <w:w w:val="84"/>
              </w:rPr>
              <w:t>(in thousands)</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7"/>
              </w:rPr>
              <w:t>(in thousands)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vMerge w:val="restart"/>
          </w:tcPr>
          <w:p>
            <w:pPr>
              <w:jc w:val="center"/>
              <w:ind w:right="320"/>
              <w:spacing w:after="0"/>
              <w:rPr>
                <w:sz w:val="20"/>
                <w:szCs w:val="20"/>
                <w:color w:val="auto"/>
              </w:rPr>
            </w:pPr>
            <w:r>
              <w:rPr>
                <w:rFonts w:ascii="Arial" w:cs="Arial" w:eastAsia="Arial" w:hAnsi="Arial"/>
                <w:sz w:val="13"/>
                <w:szCs w:val="13"/>
                <w:b w:val="1"/>
                <w:bCs w:val="1"/>
                <w:color w:val="auto"/>
                <w:w w:val="84"/>
              </w:rPr>
              <w:t>(in thousands)</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4"/>
              </w:rPr>
              <w:t>(in thousands)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180" w:type="dxa"/>
            <w:vAlign w:val="bottom"/>
            <w:vMerge w:val="restart"/>
          </w:tcPr>
          <w:p>
            <w:pPr>
              <w:ind w:left="40"/>
              <w:spacing w:after="0"/>
              <w:rPr>
                <w:sz w:val="20"/>
                <w:szCs w:val="20"/>
                <w:color w:val="auto"/>
              </w:rPr>
            </w:pPr>
            <w:r>
              <w:rPr>
                <w:rFonts w:ascii="Arial" w:cs="Arial" w:eastAsia="Arial" w:hAnsi="Arial"/>
                <w:sz w:val="13"/>
                <w:szCs w:val="13"/>
                <w:b w:val="1"/>
                <w:bCs w:val="1"/>
                <w:i w:val="1"/>
                <w:iCs w:val="1"/>
                <w:color w:val="auto"/>
              </w:rPr>
              <w:t xml:space="preserve">(Loss) </w:t>
            </w:r>
            <w:r>
              <w:rPr>
                <w:rFonts w:ascii="Arial" w:cs="Arial" w:eastAsia="Arial" w:hAnsi="Arial"/>
                <w:sz w:val="8"/>
                <w:szCs w:val="8"/>
                <w:b w:val="1"/>
                <w:bCs w:val="1"/>
                <w:i w:val="1"/>
                <w:iCs w:val="1"/>
                <w:color w:val="auto"/>
              </w:rPr>
              <w:t>(1)</w:t>
            </w:r>
          </w:p>
        </w:tc>
        <w:tc>
          <w:tcPr>
            <w:tcW w:w="14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2180" w:type="dxa"/>
            <w:vAlign w:val="bottom"/>
          </w:tcPr>
          <w:p>
            <w:pPr>
              <w:ind w:left="880"/>
              <w:spacing w:after="0"/>
              <w:rPr>
                <w:sz w:val="20"/>
                <w:szCs w:val="20"/>
                <w:color w:val="auto"/>
              </w:rPr>
            </w:pPr>
            <w:r>
              <w:rPr>
                <w:rFonts w:ascii="Arial" w:cs="Arial" w:eastAsia="Arial" w:hAnsi="Arial"/>
                <w:sz w:val="13"/>
                <w:szCs w:val="13"/>
                <w:color w:val="auto"/>
              </w:rPr>
              <w:t>Electricity</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9,638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(4,939)</w:t>
            </w: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16,708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37"/>
              <w:spacing w:after="0"/>
              <w:rPr>
                <w:sz w:val="20"/>
                <w:szCs w:val="20"/>
                <w:color w:val="auto"/>
              </w:rPr>
            </w:pPr>
            <w:r>
              <w:rPr>
                <w:rFonts w:ascii="Arial" w:cs="Arial" w:eastAsia="Arial" w:hAnsi="Arial"/>
                <w:sz w:val="13"/>
                <w:szCs w:val="13"/>
                <w:color w:val="auto"/>
                <w:w w:val="84"/>
              </w:rPr>
              <w:t>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(23,758)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(4)%</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880"/>
              <w:spacing w:after="0"/>
              <w:rPr>
                <w:sz w:val="20"/>
                <w:szCs w:val="20"/>
                <w:color w:val="auto"/>
              </w:rPr>
            </w:pPr>
            <w:r>
              <w:rPr>
                <w:rFonts w:ascii="Arial" w:cs="Arial" w:eastAsia="Arial" w:hAnsi="Arial"/>
                <w:sz w:val="13"/>
                <w:szCs w:val="13"/>
                <w:color w:val="auto"/>
              </w:rPr>
              <w:t>Gas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17,072</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25,972</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48,637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4"/>
              </w:rPr>
              <w:t>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81,609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18%</w:t>
            </w:r>
          </w:p>
        </w:tc>
        <w:tc>
          <w:tcPr>
            <w:tcW w:w="0" w:type="dxa"/>
            <w:vAlign w:val="bottom"/>
          </w:tcPr>
          <w:p>
            <w:pPr>
              <w:spacing w:after="0"/>
              <w:rPr>
                <w:sz w:val="1"/>
                <w:szCs w:val="1"/>
                <w:color w:val="auto"/>
              </w:rPr>
            </w:pPr>
          </w:p>
        </w:tc>
      </w:tr>
      <w:tr>
        <w:trPr>
          <w:trHeight w:val="262"/>
        </w:trPr>
        <w:tc>
          <w:tcPr>
            <w:tcW w:w="2180" w:type="dxa"/>
            <w:vAlign w:val="bottom"/>
          </w:tcPr>
          <w:p>
            <w:pPr>
              <w:ind w:left="880"/>
              <w:spacing w:after="0"/>
              <w:rPr>
                <w:sz w:val="20"/>
                <w:szCs w:val="20"/>
                <w:color w:val="auto"/>
              </w:rPr>
            </w:pPr>
            <w:r>
              <w:rPr>
                <w:rFonts w:ascii="Arial" w:cs="Arial" w:eastAsia="Arial" w:hAnsi="Arial"/>
                <w:sz w:val="13"/>
                <w:szCs w:val="13"/>
                <w:color w:val="auto"/>
              </w:rPr>
              <w:t>Water</w:t>
            </w:r>
          </w:p>
        </w:tc>
        <w:tc>
          <w:tcPr>
            <w:tcW w:w="14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16,224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84"/>
              </w:rPr>
              <w:t>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21,496</w:t>
            </w:r>
          </w:p>
        </w:tc>
        <w:tc>
          <w:tcPr>
            <w:tcW w:w="14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4"/>
              </w:rPr>
              <w:t>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16,146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center"/>
              <w:ind w:right="37"/>
              <w:spacing w:after="0"/>
              <w:rPr>
                <w:sz w:val="20"/>
                <w:szCs w:val="20"/>
                <w:color w:val="auto"/>
              </w:rPr>
            </w:pPr>
            <w:r>
              <w:rPr>
                <w:rFonts w:ascii="Arial" w:cs="Arial" w:eastAsia="Arial" w:hAnsi="Arial"/>
                <w:sz w:val="13"/>
                <w:szCs w:val="13"/>
                <w:color w:val="auto"/>
                <w:w w:val="84"/>
              </w:rPr>
              <w:t>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68,133</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2"/>
              </w:rPr>
              <w:t>15%</w:t>
            </w:r>
          </w:p>
        </w:tc>
        <w:tc>
          <w:tcPr>
            <w:tcW w:w="0" w:type="dxa"/>
            <w:vAlign w:val="bottom"/>
          </w:tcPr>
          <w:p>
            <w:pPr>
              <w:spacing w:after="0"/>
              <w:rPr>
                <w:sz w:val="1"/>
                <w:szCs w:val="1"/>
                <w:color w:val="auto"/>
              </w:rPr>
            </w:pPr>
          </w:p>
        </w:tc>
      </w:tr>
      <w:tr>
        <w:trPr>
          <w:trHeight w:val="272"/>
        </w:trPr>
        <w:tc>
          <w:tcPr>
            <w:tcW w:w="2180" w:type="dxa"/>
            <w:vAlign w:val="bottom"/>
            <w:shd w:val="clear" w:color="auto" w:fill="CCEEFF"/>
          </w:tcPr>
          <w:p>
            <w:pPr>
              <w:ind w:left="880"/>
              <w:spacing w:after="0"/>
              <w:rPr>
                <w:sz w:val="20"/>
                <w:szCs w:val="20"/>
                <w:color w:val="auto"/>
              </w:rPr>
            </w:pPr>
            <w:r>
              <w:rPr>
                <w:rFonts w:ascii="Arial" w:cs="Arial" w:eastAsia="Arial" w:hAnsi="Arial"/>
                <w:sz w:val="13"/>
                <w:szCs w:val="13"/>
                <w:color w:val="auto"/>
              </w:rPr>
              <w:t>Corporate unallocated</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(11,133)</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(14,879)</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(36,205)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(40,403)</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180" w:type="dxa"/>
            <w:vAlign w:val="bottom"/>
          </w:tcPr>
          <w:p>
            <w:pPr>
              <w:ind w:left="740"/>
              <w:spacing w:after="0"/>
              <w:rPr>
                <w:sz w:val="20"/>
                <w:szCs w:val="20"/>
                <w:color w:val="auto"/>
              </w:rPr>
            </w:pPr>
            <w:r>
              <w:rPr>
                <w:rFonts w:ascii="Arial" w:cs="Arial" w:eastAsia="Arial" w:hAnsi="Arial"/>
                <w:sz w:val="13"/>
                <w:szCs w:val="13"/>
                <w:color w:val="auto"/>
              </w:rPr>
              <w:t>Total Company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31,801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27,650</w:t>
            </w:r>
          </w:p>
        </w:tc>
        <w:tc>
          <w:tcPr>
            <w:tcW w:w="1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5"/>
              </w:rPr>
              <w:t>6%</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45,286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37"/>
              <w:spacing w:after="0"/>
              <w:rPr>
                <w:sz w:val="20"/>
                <w:szCs w:val="20"/>
                <w:color w:val="auto"/>
              </w:rPr>
            </w:pPr>
            <w:r>
              <w:rPr>
                <w:rFonts w:ascii="Arial" w:cs="Arial" w:eastAsia="Arial" w:hAnsi="Arial"/>
                <w:sz w:val="13"/>
                <w:szCs w:val="13"/>
                <w:color w:val="auto"/>
                <w:w w:val="84"/>
              </w:rPr>
              <w:t>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85,581</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4"/>
              </w:rPr>
              <w:t>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0" w:right="20" w:hanging="332"/>
        <w:spacing w:after="0" w:line="217"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54-56 for information about these non-GAAP measures and reconciliations to the most comparable GAAP measures.</w:t>
      </w:r>
    </w:p>
    <w:p>
      <w:pPr>
        <w:sectPr>
          <w:pgSz w:w="11900" w:h="16838" w:orient="portrait"/>
          <w:cols w:equalWidth="0" w:num="1">
            <w:col w:w="11420"/>
          </w:cols>
          <w:pgMar w:left="240" w:top="125" w:right="239" w:bottom="622"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622"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Electricity segment financial results for the three and nine months ended September 30, 2015, compared with the same periods in 2014, were as follows: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20" w:type="dxa"/>
            <w:vAlign w:val="bottom"/>
            <w:gridSpan w:val="5"/>
          </w:tcPr>
          <w:p>
            <w:pPr>
              <w:jc w:val="center"/>
              <w:ind w:right="419"/>
              <w:spacing w:after="0"/>
              <w:rPr>
                <w:sz w:val="20"/>
                <w:szCs w:val="20"/>
                <w:color w:val="auto"/>
              </w:rPr>
            </w:pPr>
            <w:r>
              <w:rPr>
                <w:rFonts w:ascii="Arial" w:cs="Arial" w:eastAsia="Arial" w:hAnsi="Arial"/>
                <w:sz w:val="16"/>
                <w:szCs w:val="16"/>
                <w:b w:val="1"/>
                <w:bCs w:val="1"/>
                <w:color w:val="auto"/>
                <w:w w:val="91"/>
              </w:rPr>
              <w:t>Three Months Ended September 30,</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3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Pr>
          <w:p>
            <w:pPr>
              <w:spacing w:after="0"/>
              <w:rPr>
                <w:sz w:val="18"/>
                <w:szCs w:val="18"/>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Change</w:t>
            </w:r>
          </w:p>
        </w:tc>
        <w:tc>
          <w:tcPr>
            <w:tcW w:w="24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Electricity Segment</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206,389</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203,441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17,749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2,948</w:t>
            </w: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56,859</w:t>
            </w:r>
          </w:p>
        </w:tc>
        <w:tc>
          <w:tcPr>
            <w:tcW w:w="4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45,959</w:t>
            </w:r>
          </w:p>
        </w:tc>
        <w:tc>
          <w:tcPr>
            <w:tcW w:w="2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(3,631)</w:t>
            </w:r>
          </w:p>
        </w:tc>
        <w:tc>
          <w:tcPr>
            <w:tcW w:w="18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14,531</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10,900</w:t>
            </w:r>
          </w:p>
        </w:tc>
      </w:tr>
      <w:tr>
        <w:trPr>
          <w:trHeight w:val="33"/>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46,284</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57,155</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(4,012)</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(6,859)</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(10,871)</w:t>
            </w:r>
          </w:p>
        </w:tc>
      </w:tr>
      <w:tr>
        <w:trPr>
          <w:trHeight w:val="507"/>
        </w:trPr>
        <w:tc>
          <w:tcPr>
            <w:tcW w:w="3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20" w:type="dxa"/>
            <w:vAlign w:val="bottom"/>
            <w:gridSpan w:val="5"/>
          </w:tcPr>
          <w:p>
            <w:pPr>
              <w:jc w:val="center"/>
              <w:ind w:right="419"/>
              <w:spacing w:after="0"/>
              <w:rPr>
                <w:sz w:val="20"/>
                <w:szCs w:val="20"/>
                <w:color w:val="auto"/>
              </w:rPr>
            </w:pPr>
            <w:r>
              <w:rPr>
                <w:rFonts w:ascii="Arial" w:cs="Arial" w:eastAsia="Arial" w:hAnsi="Arial"/>
                <w:sz w:val="16"/>
                <w:szCs w:val="16"/>
                <w:b w:val="1"/>
                <w:bCs w:val="1"/>
                <w:color w:val="auto"/>
                <w:w w:val="91"/>
              </w:rPr>
              <w:t>Nine Months Ended September 30,</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3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Pr>
          <w:p>
            <w:pPr>
              <w:spacing w:after="0"/>
              <w:rPr>
                <w:sz w:val="18"/>
                <w:szCs w:val="18"/>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Change</w:t>
            </w:r>
          </w:p>
        </w:tc>
        <w:tc>
          <w:tcPr>
            <w:tcW w:w="24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Electricity Segment</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603,651</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567,414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(41,643)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77,880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36,237</w:t>
            </w: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164,601</w:t>
            </w:r>
          </w:p>
        </w:tc>
        <w:tc>
          <w:tcPr>
            <w:tcW w:w="4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141,675</w:t>
            </w:r>
          </w:p>
        </w:tc>
        <w:tc>
          <w:tcPr>
            <w:tcW w:w="2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(11,569)</w:t>
            </w:r>
          </w:p>
        </w:tc>
        <w:tc>
          <w:tcPr>
            <w:tcW w:w="18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34,495</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22,926</w:t>
            </w:r>
          </w:p>
        </w:tc>
      </w:tr>
      <w:tr>
        <w:trPr>
          <w:trHeight w:val="33"/>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147,726</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177,087</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(13,600)</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(15,761)</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(29,361)</w:t>
            </w:r>
          </w:p>
        </w:tc>
      </w:tr>
      <w:tr>
        <w:trPr>
          <w:trHeight w:val="33"/>
        </w:trPr>
        <w:tc>
          <w:tcPr>
            <w:tcW w:w="3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2015 vs. Three months ended September 30, 2014</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constant currency, revenues increased $17.7 million, or 9%, for the three months ended September 30, 2015, compared with the same period in 2014. This increase was primarily driven by basic, AMR, and smart product revenues and professional services in North America totaling $16.0 million and $4.8 million and increased product revenue of $2.7 million in Asia Pacific, partially offset by lower product revenue in EMEA of $4.7 million.</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2015 vs. Nine months ended September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first nine months of 2015, revenues in constant currency increased $77.9 million, or 15%. Revenues were higher in 2015 primarily due to increased basic, AMR, and smart product revenues and professional services in North America of $80.4 million and $13.1 million, and higher professional services revenue of $9.2 million in EMEA. Lower product revenues of $25.7 million in EMEA partially offset the improvements.</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One customer accounted for 11% of the Electricity operating segment revenues for the three months ended September 30, 2015, while no customer accounted for more than 10% of the Electricity operating segment revenues for the three months ended September 30, 2014. No single customer accounted for more than 10% of the Electricity operating segment revenues during the nine months ended September 30, 2015 and 2014</w:t>
      </w:r>
      <w:r>
        <w:rPr>
          <w:rFonts w:ascii="Arial" w:cs="Arial" w:eastAsia="Arial" w:hAnsi="Arial"/>
          <w:sz w:val="17"/>
          <w:szCs w:val="17"/>
          <w:i w:val="1"/>
          <w:iCs w:val="1"/>
          <w:color w:val="auto"/>
        </w:rPr>
        <w:t>.</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2015 vs. Three months ended September 30, 2014</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margin was 27.5% for the three months ended September 30, 2015, compared with 22.6% for the three months ended 2014. In 2015, gross margin increased 490 basis points over the prior year, primarily as the result of an $11.4 million charge based on estimated costs to complete an OpenWay project in North America that was recorded during the three months ended September 30, 2014. This negatively impacted the 2014 gross margin by 640 basis points. Additionally, product mix in North America was less favorable in 2015 than in 2014.</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2015 vs. Nine months ended September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2015, gross margin was 27.3%, compared with 25.0% for the first nine months in 2014. During 2015, the 230 basis point improvement over the prior year, was primarily the result of the $11.4 million OpenWay charge in the third quarter of 2014. This resulted in a 230 basis point reduction in the 2014 gross margin.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2015 vs. Three months ended September 30, 2014</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constant currency, operating expenses decreased $6.9 million, or 13%, for the three months ended September 30, 2015, compared with the same period in 2014. We received a reimbursement of $3.4 million (classified as an acquisition-related cost recovery within general and administrative expense) in September 2015 related to the settlement of litigation arising from the SmartSynch acquisition, which we paid in February 2015. In addition, we had lower restructuring expense of $1.8 million and lower amortization expense of $1.3 million.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2015 vs. Nine months ended September 30, 2014</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constant currency, operating expenses decreased $15.8 million, or 10%, for the nine months ended September 30, 2015, compared with the same period in 2014. The decrease resulted primarily from the reimbursement of $8.0 million (classified as an acquisition-related cost recovery within general and administrative expense) in 2015 related to the settlement of litigation arising from the SmartSynch acquisition, which we paid in February 2015. In addition, intangible asset amortization expense decreased $4.0 million and product development costs decreased by $1.8 million.</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 - Three months ended September 30, 2015 vs. Three months ended September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non-GAAP operating expenses, as a percentage of revenues, was 23% for the three months ended September 30, 2015 and was 25% for the same period in 2014. The overall improvement in non-GAAP operating expenses, represented by the lower ratio as a percentage of revenue, in 2015 was driven by increased revenues and cost reductions resulting from our restructuring projects.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 - Nine months ended September 30, 2015 vs. Nine months ended September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non-GAAP operating expenses, as a percentage of revenues, was 24% for the nine months ended September 30, 2015 and was 29% for the same period in 2014. The overall improvement in non-GAAP operating expenses, represented by the lower ratio as a percentage of revenue, in 2015 was driven by increased revenues and cost reductions resulting from our restructuring projects.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Gas segment financial results for the three and nine months ended September 30, 2015, compared with the same periods in 2014, were as follows: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20" w:type="dxa"/>
            <w:vAlign w:val="bottom"/>
            <w:gridSpan w:val="5"/>
          </w:tcPr>
          <w:p>
            <w:pPr>
              <w:jc w:val="center"/>
              <w:ind w:right="419"/>
              <w:spacing w:after="0"/>
              <w:rPr>
                <w:sz w:val="20"/>
                <w:szCs w:val="20"/>
                <w:color w:val="auto"/>
              </w:rPr>
            </w:pPr>
            <w:r>
              <w:rPr>
                <w:rFonts w:ascii="Arial" w:cs="Arial" w:eastAsia="Arial" w:hAnsi="Arial"/>
                <w:sz w:val="16"/>
                <w:szCs w:val="16"/>
                <w:b w:val="1"/>
                <w:bCs w:val="1"/>
                <w:color w:val="auto"/>
                <w:w w:val="91"/>
              </w:rPr>
              <w:t>Three Months Ended September 30,</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3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Pr>
          <w:p>
            <w:pPr>
              <w:spacing w:after="0"/>
              <w:rPr>
                <w:sz w:val="18"/>
                <w:szCs w:val="18"/>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Change</w:t>
            </w:r>
          </w:p>
        </w:tc>
        <w:tc>
          <w:tcPr>
            <w:tcW w:w="24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Gas Segment</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136,588</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149,276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(12,688)</w:t>
            </w: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45,916</w:t>
            </w:r>
          </w:p>
        </w:tc>
        <w:tc>
          <w:tcPr>
            <w:tcW w:w="4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53,492</w:t>
            </w:r>
          </w:p>
        </w:tc>
        <w:tc>
          <w:tcPr>
            <w:tcW w:w="2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(2,646)</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(4,930)</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(7,576)</w:t>
            </w:r>
          </w:p>
        </w:tc>
      </w:tr>
      <w:tr>
        <w:trPr>
          <w:trHeight w:val="33"/>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30,175</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29,656</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(2,933)</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3,452</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507"/>
        </w:trPr>
        <w:tc>
          <w:tcPr>
            <w:tcW w:w="3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20" w:type="dxa"/>
            <w:vAlign w:val="bottom"/>
            <w:gridSpan w:val="5"/>
          </w:tcPr>
          <w:p>
            <w:pPr>
              <w:jc w:val="center"/>
              <w:ind w:right="419"/>
              <w:spacing w:after="0"/>
              <w:rPr>
                <w:sz w:val="20"/>
                <w:szCs w:val="20"/>
                <w:color w:val="auto"/>
              </w:rPr>
            </w:pPr>
            <w:r>
              <w:rPr>
                <w:rFonts w:ascii="Arial" w:cs="Arial" w:eastAsia="Arial" w:hAnsi="Arial"/>
                <w:sz w:val="16"/>
                <w:szCs w:val="16"/>
                <w:b w:val="1"/>
                <w:bCs w:val="1"/>
                <w:color w:val="auto"/>
                <w:w w:val="91"/>
              </w:rPr>
              <w:t>Nine Months Ended September 30,</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3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Pr>
          <w:p>
            <w:pPr>
              <w:spacing w:after="0"/>
              <w:rPr>
                <w:sz w:val="18"/>
                <w:szCs w:val="18"/>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Change</w:t>
            </w:r>
          </w:p>
        </w:tc>
        <w:tc>
          <w:tcPr>
            <w:tcW w:w="24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Gas Segment</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401,063</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449,707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(39,277)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(9,367)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(48,644)</w:t>
            </w: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133,541</w:t>
            </w:r>
          </w:p>
        </w:tc>
        <w:tc>
          <w:tcPr>
            <w:tcW w:w="4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168,609</w:t>
            </w:r>
          </w:p>
        </w:tc>
        <w:tc>
          <w:tcPr>
            <w:tcW w:w="2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(10,467)</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(24,601)</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(35,068)</w:t>
            </w:r>
          </w:p>
        </w:tc>
      </w:tr>
      <w:tr>
        <w:trPr>
          <w:trHeight w:val="33"/>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89,466</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94,720</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(10,417)</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5,163</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(5,254)</w:t>
            </w:r>
          </w:p>
        </w:tc>
      </w:tr>
      <w:tr>
        <w:trPr>
          <w:trHeight w:val="33"/>
        </w:trPr>
        <w:tc>
          <w:tcPr>
            <w:tcW w:w="3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2015 vs. Three months ended September 30, 2014</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constant currency, revenues were consistent for the three months ended September 30, 2015 and 2014. Lower revenues of $2.4 million in North America and Asia Pacific were almost completely offset by increases in EMEA and Latin America.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2015 vs. Nine months ended September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2015, constant currency revenues decreased $9.4 million, or 2%, compared with the same period in 2014. The overall decline was due to lower product revenue of $11.0 million in EMEA and $2.0 million in Asia Pacific, partially offset by increases of $2.0 million and $1.6 million in product revenue in Latin America and North America.</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customer accounted for more than 10% of the Gas operating segment revenues during the three and nine months ended September 30, 2015 and 2014.</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2015 vs. Three months ended September 30, 2014</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33.6% for the three months ended September 30, 2015, compared with 35.8% for the same period in 2014. This decrease of 220 basis points was driven by lower volumes and less favorable product mix, primarily in EMEA.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2015 vs. Nine months ended September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2015, gross margin was 33.3%, compared with 37.5% for the same period last year. Unfavorable product mix and lower volumes in EMEA negatively impacted gross margin. Our first generation smart meters sold in EMEA negatively impacted gross margin due to higher average product cost.</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2015 vs. Three months ended September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constant currency, operating expenses increased $3.5 million, or 13%, for the three months ended September 30, 2015, compared with the same period in 2014. Higher general and administrative expenses of $4.2 million, resulting primarily from increased employee related costs and professional services, were partially offset by lower intangible asset amortization, product development, and restructuring expenses.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2015 vs. Nine months ended September 30, 2014</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constant currency, operating expenses increased $5.2 million, or 6%, for the nine months ended September 30, 2015, compared with the same period in 2014. Higher general and administrative expenses of $7.6 million, resulting from employee related costs, higher legal fees and litigation charges as well as increased allocations of corporate expenses, were partially offset by lower sales and marketing, intangible asset amortization, and restructuring expenses.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 - Three months ended September 30, 2015 vs. Three months ended September 30, 2014</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non-GAAP operating expenses, as a percentage of revenues, were 21% for the three months ended September 30, 2015 and was 18% for the same period in 2014. The total as a percentage of revenue increased in 2015 as the result of lower revenues during the period.</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 - Nine months ended September 30, 2015 vs. Nine months ended September 30, 2014</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non-GAAP operating expenses, as a percentage of revenues, were 21% for the nine months ended September 30, 2015 and was 19% for the same period in 2014. The total as a percentage of revenue increased in 2015 primarily as the result of lower revenues during the period.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Water segment financial results for the three and nine months ended September 30, 2015, compared with the same periods in 2014, were as follows: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20" w:type="dxa"/>
            <w:vAlign w:val="bottom"/>
            <w:gridSpan w:val="5"/>
          </w:tcPr>
          <w:p>
            <w:pPr>
              <w:jc w:val="center"/>
              <w:ind w:right="419"/>
              <w:spacing w:after="0"/>
              <w:rPr>
                <w:sz w:val="20"/>
                <w:szCs w:val="20"/>
                <w:color w:val="auto"/>
              </w:rPr>
            </w:pPr>
            <w:r>
              <w:rPr>
                <w:rFonts w:ascii="Arial" w:cs="Arial" w:eastAsia="Arial" w:hAnsi="Arial"/>
                <w:sz w:val="16"/>
                <w:szCs w:val="16"/>
                <w:b w:val="1"/>
                <w:bCs w:val="1"/>
                <w:color w:val="auto"/>
                <w:w w:val="91"/>
              </w:rPr>
              <w:t>Three Months Ended September 30,</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3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Pr>
          <w:p>
            <w:pPr>
              <w:spacing w:after="0"/>
              <w:rPr>
                <w:sz w:val="18"/>
                <w:szCs w:val="18"/>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Change</w:t>
            </w:r>
          </w:p>
        </w:tc>
        <w:tc>
          <w:tcPr>
            <w:tcW w:w="24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Water Segment</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126,115</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(17,622)</w:t>
            </w: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44,191</w:t>
            </w:r>
          </w:p>
        </w:tc>
        <w:tc>
          <w:tcPr>
            <w:tcW w:w="4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51,311</w:t>
            </w:r>
          </w:p>
        </w:tc>
        <w:tc>
          <w:tcPr>
            <w:tcW w:w="2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(6,453)</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(667)</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(7,120)</w:t>
            </w:r>
          </w:p>
        </w:tc>
      </w:tr>
      <w:tr>
        <w:trPr>
          <w:trHeight w:val="33"/>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29,901</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32,154</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(4,283)</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2,030</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(2,253)</w:t>
            </w:r>
          </w:p>
        </w:tc>
      </w:tr>
      <w:tr>
        <w:trPr>
          <w:trHeight w:val="507"/>
        </w:trPr>
        <w:tc>
          <w:tcPr>
            <w:tcW w:w="3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20" w:type="dxa"/>
            <w:vAlign w:val="bottom"/>
            <w:gridSpan w:val="5"/>
          </w:tcPr>
          <w:p>
            <w:pPr>
              <w:jc w:val="center"/>
              <w:ind w:right="419"/>
              <w:spacing w:after="0"/>
              <w:rPr>
                <w:sz w:val="20"/>
                <w:szCs w:val="20"/>
                <w:color w:val="auto"/>
              </w:rPr>
            </w:pPr>
            <w:r>
              <w:rPr>
                <w:rFonts w:ascii="Arial" w:cs="Arial" w:eastAsia="Arial" w:hAnsi="Arial"/>
                <w:sz w:val="16"/>
                <w:szCs w:val="16"/>
                <w:b w:val="1"/>
                <w:bCs w:val="1"/>
                <w:color w:val="auto"/>
                <w:w w:val="91"/>
              </w:rPr>
              <w:t>Nine Months Ended September 30,</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3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Pr>
          <w:p>
            <w:pPr>
              <w:spacing w:after="0"/>
              <w:rPr>
                <w:sz w:val="18"/>
                <w:szCs w:val="18"/>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Change</w:t>
            </w:r>
          </w:p>
        </w:tc>
        <w:tc>
          <w:tcPr>
            <w:tcW w:w="24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Water Segment</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382,728</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443,481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(58,951)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(60,753)</w:t>
            </w: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105,594</w:t>
            </w:r>
          </w:p>
        </w:tc>
        <w:tc>
          <w:tcPr>
            <w:tcW w:w="4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158,054</w:t>
            </w:r>
          </w:p>
        </w:tc>
        <w:tc>
          <w:tcPr>
            <w:tcW w:w="2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(20,674)</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(31,786)</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(52,460)</w:t>
            </w:r>
          </w:p>
        </w:tc>
      </w:tr>
      <w:tr>
        <w:trPr>
          <w:trHeight w:val="33"/>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94,718</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97,735</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(13,297)</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10,280</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w:t>
            </w:r>
          </w:p>
        </w:tc>
      </w:tr>
      <w:tr>
        <w:trPr>
          <w:trHeight w:val="33"/>
        </w:trPr>
        <w:tc>
          <w:tcPr>
            <w:tcW w:w="3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2015 vs. Three months ended September 30, 2014</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constant currency, revenues increased $1.4 million, or 1%, for the three months ended September 30, 2015, compared with the third quarter of 2015. This was primarily due to $3.4 million in higher revenue in North America, largely offset by a decrease of $2.2 million in Latin America and EMEA.</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2015 vs. Nine months ended September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constant currency, revenues decreased $1.8 million, or 1%, for the first nine months of 2015, compared with the same period last year. This decrease was primarily due to lower product revenue of $5.5 million in Latin America, due to continued reduced expenditures by our utility customers in that region, and was offset by minor increases in North America and Asia Pacific.</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customer represented more than 10% of the Water operating segment revenues during the three and nine months ended September 30, 2015 and 2014.</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2015 vs. Three months ended September 30, 2014</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third quarter of 2015, gross margin decreased to 35.0%, compared with 35.7% in 2014. We experienced lower gross margins in North America and EMEA due to unfavorable product mix, nearly balanced by favorable mix in Latin America.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2015 vs. Nine months ended September 30, 2014</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Gross margin decreased to 27.6% for the nine months ended September 30, 2015, compared with 35.6% for the same period last year, primarily as the result of a warranty charge of $28.2 million. This warranty charge during the first nine months of 2015 negatively impacted gross margin by 740 basis points.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2015 vs. Three months ended September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for the three months ended September 30, 2015 increased by $2.0 million in constant currency, or 1%, compared with the third quarter of 2014. This increase was primarily the result of $2.8 million in increased sales and marketing and product development expenses, offset slightly by lower general and administrative expenses.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2015 vs. Nine months ended September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constant currency, operating expenses for the nine months ended September 30, 2015 increased by $10.3 million, or 3%, compared with the same period last year, primarily as the result of increased sales and marketing, product development, and general and administrative costs resulting from increased allocated corporate costs.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 - Three months ended September 30, 2015 vs. Three months ended September 30, 2014</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Total non-GAAP operating expenses, as a percentage of revenues, was 22% for the three months ended September 30, 2015 and 21% for the same period in 2014. The increase in operating expenses in 2015 as a percentage of revenue was primarily driven by a decline in revenues during the period.</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 - Nine months ended September 30, 2015 vs. Nine months ended September 30, 2014</w:t>
      </w:r>
    </w:p>
    <w:p>
      <w:pPr>
        <w:spacing w:after="0" w:line="2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Total non-GAAP operating expenses, as a percentage of revenues, was 23% for the nine months ended September 30, 2015 and 20% for the same period in 2014. The increase in operating expenses in 2015 as a percentage of revenue was driven by a decline in revenues during the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Three months ended September 30, 2015 vs. Three months ended September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decreased by $1.9 million for the three months ended September 30, 2015 primarily due to $2.7 million in lower general and administrative expense. General and administrative costs decreased as the result of the absence in 2015 of startup costs for our shared services center in Europe.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Nine months ended September 30, 2015 vs. Nine months ended September 30, 2014</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Corporate unallocated expenses decreased by $10.8 million, which includes a favorable foreign exchange rate impact of $1.9 million, for the nine months ended September 30, 2015 primarily due to lower restructuring expense of $6.6 million. The release in 2015 restructuring expense was primarily the result of employees, originally identified to be terminated, voluntarily resigning or filling vacant positions in different departments or locations, as well as the results of employee negotiations and the need to keep additional employees to meet revised forecasted demand on certain projects. In addition, 2014 included startup costs for our shared services center in Europe.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Bookings for a reported period represent customer contracts and purchase orders received during the period that have met certain conditions, such as regulatory and/or contractual approval. Total backlog represents committed but undelivered products and services for contracts and purchase orders at period end. Twelve-month backlog represents the portion of total backlog that we estimate will be recognized as revenue over the next 12 months. Backlog is not a complete measure of our future revenues as we also receive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Arial" w:cs="Arial" w:eastAsia="Arial" w:hAnsi="Arial"/>
                <w:sz w:val="16"/>
                <w:szCs w:val="16"/>
                <w:b w:val="1"/>
                <w:bCs w:val="1"/>
                <w:color w:val="auto"/>
                <w:w w:val="98"/>
              </w:rPr>
              <w:t>Quarterly</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95"/>
              </w:rPr>
              <w:t>12-Month</w:t>
            </w:r>
          </w:p>
        </w:tc>
      </w:tr>
      <w:tr>
        <w:trPr>
          <w:trHeight w:val="210"/>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Arial" w:cs="Arial" w:eastAsia="Arial" w:hAnsi="Arial"/>
                <w:sz w:val="16"/>
                <w:szCs w:val="16"/>
                <w:b w:val="1"/>
                <w:bCs w:val="1"/>
                <w:color w:val="auto"/>
                <w:w w:val="87"/>
              </w:rPr>
              <w:t>Bookings</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89"/>
              </w:rPr>
              <w:t>Backlog</w:t>
            </w:r>
          </w:p>
        </w:tc>
        <w:tc>
          <w:tcPr>
            <w:tcW w:w="540" w:type="dxa"/>
            <w:vAlign w:val="bottom"/>
          </w:tcPr>
          <w:p>
            <w:pPr>
              <w:spacing w:after="0"/>
              <w:rPr>
                <w:sz w:val="18"/>
                <w:szCs w:val="18"/>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89"/>
              </w:rPr>
              <w:t>Backlog</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2015</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337</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1,220</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June 30, 2015</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398</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1,372</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791</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2015</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424</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1,438</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779</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December 31, 2014</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648</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1,486</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747</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2014</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514</w:t>
            </w:r>
          </w:p>
        </w:tc>
        <w:tc>
          <w:tcPr>
            <w:tcW w:w="5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1,345</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700</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380" w:type="dxa"/>
            <w:vAlign w:val="bottom"/>
          </w:tcPr>
          <w:p>
            <w:pPr>
              <w:spacing w:after="0"/>
              <w:rPr>
                <w:sz w:val="18"/>
                <w:szCs w:val="18"/>
                <w:color w:val="auto"/>
              </w:rPr>
            </w:pPr>
          </w:p>
        </w:tc>
        <w:tc>
          <w:tcPr>
            <w:tcW w:w="1940" w:type="dxa"/>
            <w:vAlign w:val="bottom"/>
          </w:tcPr>
          <w:p>
            <w:pPr>
              <w:jc w:val="right"/>
              <w:ind w:right="559"/>
              <w:spacing w:after="0"/>
              <w:rPr>
                <w:sz w:val="20"/>
                <w:szCs w:val="20"/>
                <w:color w:val="auto"/>
              </w:rPr>
            </w:pPr>
            <w:r>
              <w:rPr>
                <w:rFonts w:ascii="Arial" w:cs="Arial" w:eastAsia="Arial" w:hAnsi="Arial"/>
                <w:sz w:val="16"/>
                <w:szCs w:val="16"/>
                <w:b w:val="1"/>
                <w:bCs w:val="1"/>
                <w:color w:val="auto"/>
              </w:rPr>
              <w:t>Total Bookings</w:t>
            </w:r>
          </w:p>
        </w:tc>
        <w:tc>
          <w:tcPr>
            <w:tcW w:w="560" w:type="dxa"/>
            <w:vAlign w:val="bottom"/>
          </w:tcPr>
          <w:p>
            <w:pPr>
              <w:spacing w:after="0"/>
              <w:rPr>
                <w:sz w:val="18"/>
                <w:szCs w:val="18"/>
                <w:color w:val="auto"/>
              </w:rPr>
            </w:pPr>
          </w:p>
        </w:tc>
        <w:tc>
          <w:tcPr>
            <w:tcW w:w="1840" w:type="dxa"/>
            <w:vAlign w:val="bottom"/>
          </w:tcPr>
          <w:p>
            <w:pPr>
              <w:jc w:val="right"/>
              <w:ind w:right="699"/>
              <w:spacing w:after="0"/>
              <w:rPr>
                <w:sz w:val="20"/>
                <w:szCs w:val="20"/>
                <w:color w:val="auto"/>
              </w:rPr>
            </w:pPr>
            <w:r>
              <w:rPr>
                <w:rFonts w:ascii="Arial" w:cs="Arial" w:eastAsia="Arial" w:hAnsi="Arial"/>
                <w:sz w:val="16"/>
                <w:szCs w:val="16"/>
                <w:b w:val="1"/>
                <w:bCs w:val="1"/>
                <w:color w:val="auto"/>
              </w:rPr>
              <w:t>Electricity</w:t>
            </w:r>
          </w:p>
        </w:tc>
        <w:tc>
          <w:tcPr>
            <w:tcW w:w="760" w:type="dxa"/>
            <w:vAlign w:val="bottom"/>
          </w:tcPr>
          <w:p>
            <w:pPr>
              <w:spacing w:after="0"/>
              <w:rPr>
                <w:sz w:val="18"/>
                <w:szCs w:val="18"/>
                <w:color w:val="auto"/>
              </w:rPr>
            </w:pPr>
          </w:p>
        </w:tc>
        <w:tc>
          <w:tcPr>
            <w:tcW w:w="2060" w:type="dxa"/>
            <w:vAlign w:val="bottom"/>
          </w:tcPr>
          <w:p>
            <w:pPr>
              <w:jc w:val="right"/>
              <w:ind w:right="1379"/>
              <w:spacing w:after="0"/>
              <w:rPr>
                <w:sz w:val="20"/>
                <w:szCs w:val="20"/>
                <w:color w:val="auto"/>
              </w:rPr>
            </w:pPr>
            <w:r>
              <w:rPr>
                <w:rFonts w:ascii="Arial" w:cs="Arial" w:eastAsia="Arial" w:hAnsi="Arial"/>
                <w:sz w:val="16"/>
                <w:szCs w:val="16"/>
                <w:b w:val="1"/>
                <w:bCs w:val="1"/>
                <w:color w:val="auto"/>
              </w:rPr>
              <w:t>Gas</w:t>
            </w:r>
          </w:p>
        </w:tc>
        <w:tc>
          <w:tcPr>
            <w:tcW w:w="1920" w:type="dxa"/>
            <w:vAlign w:val="bottom"/>
          </w:tcPr>
          <w:p>
            <w:pPr>
              <w:jc w:val="right"/>
              <w:ind w:right="839"/>
              <w:spacing w:after="0"/>
              <w:rPr>
                <w:sz w:val="20"/>
                <w:szCs w:val="20"/>
                <w:color w:val="auto"/>
              </w:rPr>
            </w:pPr>
            <w:r>
              <w:rPr>
                <w:rFonts w:ascii="Arial" w:cs="Arial" w:eastAsia="Arial" w:hAnsi="Arial"/>
                <w:sz w:val="16"/>
                <w:szCs w:val="16"/>
                <w:b w:val="1"/>
                <w:bCs w:val="1"/>
                <w:color w:val="auto"/>
              </w:rPr>
              <w:t>Water</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(in millions)</w:t>
            </w:r>
          </w:p>
        </w:tc>
        <w:tc>
          <w:tcPr>
            <w:tcW w:w="20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2015</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w:t>
            </w:r>
          </w:p>
        </w:tc>
        <w:tc>
          <w:tcPr>
            <w:tcW w:w="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100</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June 30, 2015</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398</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760" w:type="dxa"/>
            <w:vAlign w:val="bottom"/>
          </w:tcPr>
          <w:p>
            <w:pPr>
              <w:spacing w:after="0"/>
              <w:rPr>
                <w:sz w:val="20"/>
                <w:szCs w:val="20"/>
                <w:color w:val="auto"/>
              </w:rPr>
            </w:pPr>
          </w:p>
        </w:tc>
        <w:tc>
          <w:tcPr>
            <w:tcW w:w="2060" w:type="dxa"/>
            <w:vAlign w:val="bottom"/>
          </w:tcPr>
          <w:p>
            <w:pPr>
              <w:jc w:val="right"/>
              <w:ind w:right="479"/>
              <w:spacing w:after="0"/>
              <w:rPr>
                <w:sz w:val="20"/>
                <w:szCs w:val="20"/>
                <w:color w:val="auto"/>
              </w:rPr>
            </w:pPr>
            <w:r>
              <w:rPr>
                <w:rFonts w:ascii="Arial" w:cs="Arial" w:eastAsia="Arial" w:hAnsi="Arial"/>
                <w:sz w:val="16"/>
                <w:szCs w:val="16"/>
                <w:color w:val="auto"/>
              </w:rPr>
              <w:t>116</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107</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2015</w:t>
            </w: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c>
          <w:tcPr>
            <w:tcW w:w="7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109</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December 31, 2014</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648</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760" w:type="dxa"/>
            <w:vAlign w:val="bottom"/>
          </w:tcPr>
          <w:p>
            <w:pPr>
              <w:spacing w:after="0"/>
              <w:rPr>
                <w:sz w:val="20"/>
                <w:szCs w:val="20"/>
                <w:color w:val="auto"/>
              </w:rPr>
            </w:pPr>
          </w:p>
        </w:tc>
        <w:tc>
          <w:tcPr>
            <w:tcW w:w="2060" w:type="dxa"/>
            <w:vAlign w:val="bottom"/>
          </w:tcPr>
          <w:p>
            <w:pPr>
              <w:jc w:val="right"/>
              <w:ind w:right="479"/>
              <w:spacing w:after="0"/>
              <w:rPr>
                <w:sz w:val="20"/>
                <w:szCs w:val="20"/>
                <w:color w:val="auto"/>
              </w:rPr>
            </w:pPr>
            <w:r>
              <w:rPr>
                <w:rFonts w:ascii="Arial" w:cs="Arial" w:eastAsia="Arial" w:hAnsi="Arial"/>
                <w:sz w:val="16"/>
                <w:szCs w:val="16"/>
                <w:color w:val="auto"/>
              </w:rPr>
              <w:t>348</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133</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2014</w:t>
            </w:r>
          </w:p>
        </w:tc>
        <w:tc>
          <w:tcPr>
            <w:tcW w:w="38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514</w:t>
            </w:r>
          </w:p>
        </w:tc>
        <w:tc>
          <w:tcPr>
            <w:tcW w:w="56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247</w:t>
            </w:r>
          </w:p>
        </w:tc>
        <w:tc>
          <w:tcPr>
            <w:tcW w:w="760" w:type="dxa"/>
            <w:vAlign w:val="bottom"/>
            <w:shd w:val="clear" w:color="auto" w:fill="CCEEFF"/>
          </w:tcPr>
          <w:p>
            <w:pPr>
              <w:spacing w:after="0"/>
              <w:rPr>
                <w:sz w:val="20"/>
                <w:szCs w:val="20"/>
                <w:color w:val="auto"/>
              </w:rPr>
            </w:pPr>
          </w:p>
        </w:tc>
        <w:tc>
          <w:tcPr>
            <w:tcW w:w="20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128</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r>
      <w:tr>
        <w:trPr>
          <w:trHeight w:val="33"/>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88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September 30,</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8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38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20,154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116,538</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(38,533)</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(32,253)</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28,355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(79,355)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(12,889)</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(7,260)</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Decrease in cash and cash equivalents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was $109.5 million at September 30, 2015, compared with $112.4 million at December 31, 2014.</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Cash provided by operating activities during the nine months ended September 30, 2015 was $20.2 million compared with $116.5 million during the same period in 2014. The decrease in cash provided was due to lower net income of $22.1 million as well as $49.2 million in increased inventory build-up to meet forecasted demand in North America and EMEA. In addition, payments of other current liabilities, including litigation payments and restructuring accrual release during the first nine months of 2015 were $28.6 million higher in 2015 than in 2014. We also had higher taxes paid, primarily in North America, of $16.1 million as compared with 2014. These increased uses of cash were partially offset by $24.7 million of greater deferred income tax and $13.3 million of lower payments of accounts payable during the period due to payment timing, as well as a $23.8 million net increase in warranty reserves related primarily to the product replacement notification provided to our Water customers who had purchased certain communication modules.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investing activities during the nine months ended September 30, 2015 was $6.3 million higher compared with the same period in 2014, primarily due to the acquisition of Temetra, a technology company located in Ireland, for $5.8 million. Refer to Item 1: “Financial Statements, Note 5: Goodwill” for additional information about this acquisition.</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provided by financing activities during the nine months ended September 30, 2015 was $28.4 million, compared with a cash use of $79.4 million for the same period in 2014. The increased cash provided by financing activities is primarily a result of draws on our revolving line of credit of $89.7 million (gross of repayments) in the nine months ended September 30, 2015, while no draws occurred during the same period in 2014. In addition, debt repayments decreased by $38.6 million in 2015, while share repurchases increased by $20.0 million. Refer to Part II, Item 2: “Unregistered Sale of Equity Securities and Use of Proceeds” for additional details related to our share repurchase program.</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effect of exchange rates on the cash balances of currencies held in foreign denominations for the nine months ended September 30, 2015 was a decrease of $12.9 million, compared with a decrease of $7.3 million for the same period in 2014. The increased impact of exchange rates is the result of a strengthening of the U.S. dollar compared with most foreign currencies during the nine months ended September 30, 2015.</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80" w:type="dxa"/>
            <w:vAlign w:val="bottom"/>
            <w:gridSpan w:val="5"/>
          </w:tcPr>
          <w:p>
            <w:pPr>
              <w:ind w:left="600"/>
              <w:spacing w:after="0"/>
              <w:rPr>
                <w:sz w:val="20"/>
                <w:szCs w:val="20"/>
                <w:color w:val="auto"/>
              </w:rPr>
            </w:pPr>
            <w:r>
              <w:rPr>
                <w:rFonts w:ascii="Arial" w:cs="Arial" w:eastAsia="Arial" w:hAnsi="Arial"/>
                <w:sz w:val="16"/>
                <w:szCs w:val="16"/>
                <w:b w:val="1"/>
                <w:bCs w:val="1"/>
                <w:color w:val="auto"/>
              </w:rPr>
              <w:t>Nine Months Ended September 30,</w:t>
            </w:r>
          </w:p>
        </w:tc>
        <w:tc>
          <w:tcPr>
            <w:tcW w:w="1820" w:type="dxa"/>
            <w:vAlign w:val="bottom"/>
          </w:tcPr>
          <w:p>
            <w:pPr>
              <w:spacing w:after="0"/>
              <w:rPr>
                <w:sz w:val="18"/>
                <w:szCs w:val="18"/>
                <w:color w:val="auto"/>
              </w:rPr>
            </w:pPr>
          </w:p>
        </w:tc>
      </w:tr>
      <w:tr>
        <w:trPr>
          <w:trHeight w:val="33"/>
        </w:trPr>
        <w:tc>
          <w:tcPr>
            <w:tcW w:w="48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4820" w:type="dxa"/>
            <w:vAlign w:val="bottom"/>
          </w:tcPr>
          <w:p>
            <w:pPr>
              <w:spacing w:after="0"/>
              <w:rPr>
                <w:sz w:val="20"/>
                <w:szCs w:val="20"/>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60" w:type="dxa"/>
            <w:vAlign w:val="bottom"/>
          </w:tcPr>
          <w:p>
            <w:pPr>
              <w:jc w:val="right"/>
              <w:ind w:right="8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48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4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(in thousands)</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20,154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116,538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(83)%</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Acquisitions of property, plant, and equipment</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(33,324)</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(32,060)</w:t>
            </w:r>
          </w:p>
        </w:tc>
        <w:tc>
          <w:tcPr>
            <w:tcW w:w="120" w:type="dxa"/>
            <w:vAlign w:val="bottom"/>
          </w:tcPr>
          <w:p>
            <w:pPr>
              <w:spacing w:after="0"/>
              <w:rPr>
                <w:sz w:val="20"/>
                <w:szCs w:val="20"/>
                <w:color w:val="auto"/>
              </w:rPr>
            </w:pPr>
          </w:p>
        </w:tc>
        <w:tc>
          <w:tcPr>
            <w:tcW w:w="1820" w:type="dxa"/>
            <w:vAlign w:val="bottom"/>
          </w:tcPr>
          <w:p>
            <w:pPr>
              <w:jc w:val="right"/>
              <w:ind w:right="719"/>
              <w:spacing w:after="0"/>
              <w:rPr>
                <w:sz w:val="20"/>
                <w:szCs w:val="20"/>
                <w:color w:val="auto"/>
              </w:rPr>
            </w:pPr>
            <w:r>
              <w:rPr>
                <w:rFonts w:ascii="Arial" w:cs="Arial" w:eastAsia="Arial" w:hAnsi="Arial"/>
                <w:sz w:val="16"/>
                <w:szCs w:val="16"/>
                <w:color w:val="auto"/>
              </w:rPr>
              <w:t>4%</w:t>
            </w:r>
          </w:p>
        </w:tc>
      </w:tr>
      <w:tr>
        <w:trPr>
          <w:trHeight w:val="33"/>
        </w:trPr>
        <w:tc>
          <w:tcPr>
            <w:tcW w:w="48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Free cash flow</w:t>
            </w:r>
          </w:p>
        </w:tc>
        <w:tc>
          <w:tcPr>
            <w:tcW w:w="1500" w:type="dxa"/>
            <w:vAlign w:val="bottom"/>
            <w:tcBorders>
              <w:bottom w:val="single" w:sz="8" w:color="auto"/>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84,478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20"/>
        </w:trPr>
        <w:tc>
          <w:tcPr>
            <w:tcW w:w="48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Free cash flow (non-GAAP) decreased almost exclusively as a result of lower cash provided by operating activities. See the cash flow discussion of operating activities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September 30, 2015 and December 31, 2014 that we believe are reasonably likely to have a current or future effect on our financial condition,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 Working capital, which represents current assets less current liabilities, was $334.2 million at September 30, 2015, compared with $261.9 million at December 31, 2014.</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23, 2015, we entered into an amended and restated credit agreement providing for committed credit facilities in the amount of $725 million U.S. dollars (the 2015 credit facility). The 2015 credit facility consists of a U.S. dollar term loan facility (the term loan) with a principal amount of $225 million and a multicurrency revolving credit facility (the revolver) with a principal amount of up to $500 million. The revolver also contains a $300 million letter of credit sub-facility and a $50 million swingline sub-facility (available for immediate cash needs at a higher interest rate). The 2015 credit replaced our prior credit facility. At September 30, 2015, $158.5 million was outstanding under the revolver, and $238.4 million was available for additional borrowings due to the covenant constraints on our total leverage. At September 30, 2015, $46.2 million was utilized by outstanding standby letters of credit, resulting in $253.8 million available for additional letters of credit.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the term loan and the revolver under our 2015 credit facility, refer to Item 1: “Financial Statements, Note 6: Debt.”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Note 11: Commitments and Contingencies.”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Repurchase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19, 2015, the Board authorized a new repurchase program of up to $50 million of our common stock over a 12-month period, beginning February 19, 2015. From February 19, 2015 through September 30, 2015, we repurchased 655,178 shares of our common stock, totaling $22.0 million, and $28.0 million remained under the current program for future purchases.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Repurchases are made in the open market or in privately negotiated transactions and in accordance with applicable securities laws. Refer to Part II, Item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“Unregistered Sales of Equity Securities and Use of Proceeds” for additional information related to our share repurchase program.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2014, our management approved restructuring projects (2014 Projects) to restructure our Electricity business and related general and administrative activities, along with certain Gas and Water activities, to improve operational efficiencies and reduce expenses. The 2014 Projects include consolidation of certain facilities and reduction of our global workforce. The improved structure will position us to meet our long-term profitability goals by better aligning global operations with markets where we can serve our customers profitably.</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began implementing these projects in the fourth quarter of 2014, and we expect to substantially complete these projects by the end of 2016. During the nine months ended September 30, 2015, the total expected restructuring costs decreased by approximately $16.3 million. This includes $9.7 million in restructuring expense release, recognized in the nine months ended September 30, 2015, resulting from employees, originally identified to be terminated, voluntarily resigning or filling vacant positions in different departments or locations, as well as the result of employee negotiations and the need to keep additional employees to meet revised forecasted demand on certain projects. Certain aspects of the projects are subject to a variety of labor and employment laws, rules, and regulations, which could result in a delay in completing the projects at some locations.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2015, the current and long-term portions of the restructuring related liability balances were $23.3 million and $11.7 million. For further details regarding our restructuring activities, refer to Item 1: “Financial Statements, Note 12: Restructuring.”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$1.3 million in state taxes, $15.7 million in U.S federal taxes, and $8.6 million in local and foreign taxes in 2015. For a discussion of our tax provision and unrecognized tax benefits, see Item 1: “Financial Statements, Note 10: Income Taxes.”</w:t>
      </w:r>
    </w:p>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September 30, 2015, we are under examination by certain tax authorities for the 2000 to 2013 tax years. The material jurisdictions where we are subject to examination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provided U.S. deferred taxes related to the cash in certain foreign subsidiaries because our investment is considered permanent in duration. As of September 30, 2015, there was $38.0 million of cash and short-term investments held by certain foreign subsidiaries in which we are permanently reinvested for tax purposes. If this cash were repatriated to fund U.S. operations, additional tax costs may be required. Tax is one of the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Approximately $26.3 million of our consolidated cash balance at September 30, 2015 is held in our joint venture entities. As a result, the minority shareholders of these entities control their proportional share of this cash balance, and there may be limitations on our ability to repatriate cash to the United States from these entities.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For a description of our funded and unfunded non-U.S. defined benefit pension plans and our expected 2015 contributions, refer to Item 1: “Financial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Statements, Note 8: Defined Benefit Pension Plans.”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 description of our bonus and profit sharing plans, including the amounts accrued at September 30, 2015 and the expected timing of payment, refer to </w:t>
      </w:r>
      <w:r>
        <w:rPr>
          <w:rFonts w:ascii="Arial" w:cs="Arial" w:eastAsia="Arial" w:hAnsi="Arial"/>
          <w:sz w:val="18"/>
          <w:szCs w:val="18"/>
          <w:i w:val="1"/>
          <w:iCs w:val="1"/>
          <w:color w:val="auto"/>
        </w:rPr>
        <w:t xml:space="preserve">Bonus and Profit Sharing </w:t>
      </w:r>
      <w:r>
        <w:rPr>
          <w:rFonts w:ascii="Arial" w:cs="Arial" w:eastAsia="Arial" w:hAnsi="Arial"/>
          <w:sz w:val="18"/>
          <w:szCs w:val="18"/>
          <w:color w:val="auto"/>
        </w:rPr>
        <w:t>within Critical Accounting Estimates 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grow through a combination of internal new product development, licensing technology from and to others, distribution agreements, partnering arrangements, and acquisitions of technology or other companies. We expect these activities to be funded with existing cash, cash flow from operations, borrowings, or the sale of common stock or other securities. We believe existing sources of liquidity will be sufficient to fund our existing operations and obligations for the next 12 months and into the foreseeable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future, but offer no assurances. Our liquidity could be affected by the stability of the electricity, gas, and water industries, competitive pressures, changes in estimated liabilities for product warranties and/or litigation, future business combinations, capital market fluctuations, international risks, and other factors described under “Risk Factors” within Item 1A of Part I of our Annual Report on Form 10-K for the fiscal year ended December 31, 2014, which was filed with the SEC on February 20, 2015, as well as “Quantitative and Qualitative Disclosures About Market Risk” within Item 3 of Part I included in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majority of our revenue arrangements involve multiple deliverables, which require us to determine the fair value of each deliverable and then allocate the total arrangement consideration among the separate deliverables based on the relative fair value percentages.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 loss. A majority of our revenue is recognized when products are shipped to or received by a customer or when services are provided.</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represents the estimated price charged if an element were sold separately. If the fair value of any undelivered element included in a multiple deliverable arrangement cannot be objectively determined, revenue is deferred until all elements are delivered and services have been performed, or until the fair value can be objectively determined for any remaining undelivered elements. We review our fair values on an annual basis or more frequently if a significant trend is noted.</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implementation services are essential to a software arrangement, revenue is recognized using either the percentage-of-completion methodology of contract accounting if project costs can be reliably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contract accounting, if we estimate that the completion of a contract component (unit of accounting) will result in a loss, the loss is recognized in the period in which the loss becomes evident. We reevaluate the estimated loss through the completion of the contract component, and adjust the estimated loss for changes in facts and circumstances.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customer arrangements contain clauses for liquidated damages, related to the timing of delivery or milestone accomplishments, that could become material in an event of failure to meet the contractual deadlines. At the inception of the arrangement and on an ongoing basis, we evaluate if the liquidating damages represent contingent revenue and, if so, we reduce the amount of consideration allocated to the delivered products and services and record it as a reduction in revenue in the period of default. If the arrangement is subject to contract accounting, liquidated damages resulting from anticipated events of default are estimated and are accounted for as job costs in the period in which the liquidated damages are deemed probable of occurrence and are reasonably estimable.</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allocate consideration to each deliverable in an arrangement based on its relative selling price. We determine selling price using vendor specific objective evidence (VSOE), if it exists, otherwise we use third 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The objective of ESP is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the cost to produce the deliverable, the anticipated margin on that deliverable, our ongoing pricing strategy and policies, and the characteristics of the varying markets in which the deliverable is sold.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recorded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and negotiations with works councils. One-time termination benefits are expensed at the date the employee is notified. If the employee must provide future service greater than 60 days, such benefits are expensed ratably over the future service period. For contract termination costs, we record a liability upon the later of when we terminate a contract in accordance with the contract terms or when we cease using the rights conveyed by the contract.</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impairments associated with a restructuring project are determined at the asset group level. An impairment may be recorded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recorded within restructuring in the Consolidated Statements of Operations.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 are made. Our estimates involve a number of risks and uncertainties, some of which are beyond our control, including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recorded.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calculation of our annual estimated effective tax rate requires significant judgment and is subject to several factors, including fluctuations in the forecast mix of earnings in domestic and international jurisdictions, new or revised tax legislation and accounting pronouncements, tax credits, state income taxes, adjustments to valuation allowances, and uncertain tax positions, among other items.</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valuation allowances to reduce deferred tax assets to the extent we believe it is more likely than not that a portion of such assets will not be realized. In making such determinations, we consider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The most sensitive and critical factors are the projection, source, and character of future taxable income. Although realization is not assured, management believes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audit in multiple taxing jurisdictions in which we operate. These audits may involve complex issues, which may require an extended period of time to resolve. We believe we have recorded adequate income tax provisions and reserves for uncertain tax positions.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and intangible assets may result from our business acquisitions. Intangible assets may also result from the purchase of assets and intellectual property where we do not acquire a business.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In-process research and development (IPR&amp;D)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 discounted cash flows associated with each reporting unit. The reporting units are aligned with our reporting segments, effective in the fourth quarter of 2013.</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5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Based on our qualitative analysis as of October 1, 2014, we determined that it was more likely than not that the fair value of the Electricity, Gas and Water reporting units exceeded their respective carrying values. As a result, it was not necessary to complete the two-step impairment test for those reporting units.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market demand, fluctuations in the economies in which we operate, the volatility and decline in the worldwide equity markets, and a further decline in our market capitalization could negatively impact the remaining carrying value of our goodwill, which could have a significant effect on our current and future results of operations and financial condition.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that arise during the period but are not recognized as components of net periodic benefit cost.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the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represent 94% of our benefit obligation, we use two discount rates, with consideration of the duration of the plans, using a hypothetical yield curve developed from euro-denominated AA-rated corporate bond issues, partially weighted for market value, with minimum amounts outstanding of €500 million for bonds with less than 10 years to maturity and €50 million for bonds with 10 or more years to maturity, and excluding the highest and lowest yielding 10% of bonds within each maturity group. The discount rates used, depending on the duration of the plans, were 1.50% and 2.00%, respectively. The weighted average discount rate used to measure the projected benefit obligation for all of the plans at December 31, 2014 was 2.36%. A change of 25 basis points in the discount rate would change our pension benefit obligation by approximately $5.2 million. The financial and actuarial assumptions used at December 31, 2014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OCI in the period in which they occur.</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general funding policy for these qualified pension plans is to contribute amounts at least sufficient to satisfy funding standards of the respective countries for each plan. Refer to Item 1: “Financial Statements, Note 8: Defined Benefit Pension Plans” for our expected contributions for 2015.</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various employee bonus and profit sharing plans, which provide award amounts for the achievement of annual financial and nonfinancial targets. If management determines it probable that the targets will be achieved and the amounts can be reasonably estimated, a compensation accrual is recorded based on the proportional achievement of the financial and nonfinancial targets. Although we monitor and accrue expenses quarterly based on our estimated progress toward the achievement of the annual targets, the actual results at the end of the year may require awards that are significantly greater or less than the estimates made in earlier quarters. For the three and nine months ended September 30, 2015, we accrued $10.1 million and $26.5 million, compared with $11.4 million and $25.6 million for the same periods in 2014. Awards are typically distributed in the first quarter of the following year.</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awards of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term. The fair value of restricted stock units with a market condition is estimated at the date of award using a Monte Carlo simulation model, which includes assumptions for the dividend yield, expected volatility, risk-free interest rate and the expected term. In valuing our stock options and restricted stock units with a market condition, significant judgment is required in determining the expected volatility of our common stock and the expected life that individuals will hold their stock options prior to exercising. Expected volatility for stock options is based on the historical and implied volatility of our own common stock while the volatility for our restricted stock units with a market condition is based on the historical volatility of our own stock and the stock for companies comprising the market index within the market condition.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 options, 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ESPP awards, the fair value is the difference between the market close price of our common stock on the date of purchase and the discounted purchase price. For restricted stock units without a market condition and unrestricted stock awards,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(GAAP), which we supplement with certain non-GAAP financial information. These non-GAAP measures should not be considered in isolation or as a substitute for the related GAAP measures, and other companies may define such measures differently. We encourage investors to review our financial statements and publicly-filed reports in their entirety and not to rely on any single financial measure. These non-GAAP measures exclude the impact of certain expenses that we do not believe are indicative of our core operating results. We use these non-GAAP financial measures for financial and operational decision making and/or as a means for determining executive compensation. These non-GAAP financial measures facilitate management's internal comparisons to our historical performance.</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u w:val="single" w:color="auto"/>
          <w:color w:val="auto"/>
        </w:rPr>
        <w:t>Non-GAAP operating expenses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non-GAAP operating income</w:t>
      </w:r>
      <w:r>
        <w:rPr>
          <w:rFonts w:ascii="Arial" w:cs="Arial" w:eastAsia="Arial" w:hAnsi="Arial"/>
          <w:sz w:val="16"/>
          <w:szCs w:val="16"/>
          <w:color w:val="auto"/>
        </w:rPr>
        <w:t xml:space="preserve"> – We define non-GAAP operating expenses as operating expenses excluding certain expenses related to the amortization of intangible assets acquired through a business acquisition, restructuring, acquisitions and goodwill impairment. We define non-GAAP operating income as operating income excluding the expenses related to the amortization of intangible assets acquired through a business acquisition, restructuring, acquisitions and goodwill impairment. We consider these non-GAAP financial measures to be useful metrics for management and investors because they exclude the effect of expenses that are related to previous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Non-GAAP net income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non-GAAP diluted EPS</w:t>
      </w:r>
      <w:r>
        <w:rPr>
          <w:rFonts w:ascii="Arial" w:cs="Arial" w:eastAsia="Arial" w:hAnsi="Arial"/>
          <w:sz w:val="17"/>
          <w:szCs w:val="17"/>
          <w:color w:val="auto"/>
        </w:rPr>
        <w:t xml:space="preserve"> – We define non-GAAP net income as net income excluding the expenses associated with amortization of intangible assets acquired through a business acquisition, restructuring, acquisitions, goodwill impairment and amortization of debt placement fees.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Measures to Non-GAAP Measures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reconciles the non-GAAP financial measures of operating expenses, operating income, net income and diluted EPS, free cash flow, and operating income by segment with the most directly comparable GAAP financial measures.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3"/>
          <w:szCs w:val="13"/>
          <w:color w:val="auto"/>
        </w:rPr>
        <w:t>(Unaudited; in thousands, except per share data)</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4360" w:type="dxa"/>
            <w:vAlign w:val="bottom"/>
          </w:tcPr>
          <w:p>
            <w:pPr>
              <w:ind w:left="20"/>
              <w:spacing w:after="0"/>
              <w:rPr>
                <w:sz w:val="20"/>
                <w:szCs w:val="20"/>
                <w:color w:val="auto"/>
              </w:rPr>
            </w:pPr>
            <w:r>
              <w:rPr>
                <w:rFonts w:ascii="Arial" w:cs="Arial" w:eastAsia="Arial" w:hAnsi="Arial"/>
                <w:sz w:val="13"/>
                <w:szCs w:val="13"/>
                <w:b w:val="1"/>
                <w:bCs w:val="1"/>
                <w:color w:val="auto"/>
              </w:rPr>
              <w:t>TOTAL COMPANY RECONCILIATIONS</w:t>
            </w:r>
          </w:p>
        </w:tc>
        <w:tc>
          <w:tcPr>
            <w:tcW w:w="400" w:type="dxa"/>
            <w:vAlign w:val="bottom"/>
          </w:tcPr>
          <w:p>
            <w:pPr>
              <w:spacing w:after="0"/>
              <w:rPr>
                <w:sz w:val="15"/>
                <w:szCs w:val="15"/>
                <w:color w:val="auto"/>
              </w:rPr>
            </w:pPr>
          </w:p>
        </w:tc>
        <w:tc>
          <w:tcPr>
            <w:tcW w:w="3160" w:type="dxa"/>
            <w:vAlign w:val="bottom"/>
            <w:gridSpan w:val="5"/>
          </w:tcPr>
          <w:p>
            <w:pPr>
              <w:ind w:left="380"/>
              <w:spacing w:after="0"/>
              <w:rPr>
                <w:sz w:val="20"/>
                <w:szCs w:val="20"/>
                <w:color w:val="auto"/>
              </w:rPr>
            </w:pPr>
            <w:r>
              <w:rPr>
                <w:rFonts w:ascii="Arial" w:cs="Arial" w:eastAsia="Arial" w:hAnsi="Arial"/>
                <w:sz w:val="13"/>
                <w:szCs w:val="13"/>
                <w:b w:val="1"/>
                <w:bCs w:val="1"/>
                <w:color w:val="auto"/>
              </w:rPr>
              <w:t>Three Months Ended September 30,</w:t>
            </w:r>
          </w:p>
        </w:tc>
        <w:tc>
          <w:tcPr>
            <w:tcW w:w="420" w:type="dxa"/>
            <w:vAlign w:val="bottom"/>
          </w:tcPr>
          <w:p>
            <w:pPr>
              <w:spacing w:after="0"/>
              <w:rPr>
                <w:sz w:val="15"/>
                <w:szCs w:val="15"/>
                <w:color w:val="auto"/>
              </w:rPr>
            </w:pPr>
          </w:p>
        </w:tc>
        <w:tc>
          <w:tcPr>
            <w:tcW w:w="3040" w:type="dxa"/>
            <w:vAlign w:val="bottom"/>
            <w:gridSpan w:val="4"/>
          </w:tcPr>
          <w:p>
            <w:pPr>
              <w:jc w:val="right"/>
              <w:ind w:right="697"/>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rPr>
              <w:t>2014</w:t>
            </w:r>
          </w:p>
        </w:tc>
        <w:tc>
          <w:tcPr>
            <w:tcW w:w="0" w:type="dxa"/>
            <w:vAlign w:val="bottom"/>
          </w:tcPr>
          <w:p>
            <w:pPr>
              <w:spacing w:after="0"/>
              <w:rPr>
                <w:sz w:val="1"/>
                <w:szCs w:val="1"/>
                <w:color w:val="auto"/>
              </w:rPr>
            </w:pPr>
          </w:p>
        </w:tc>
      </w:tr>
      <w:tr>
        <w:trPr>
          <w:trHeight w:val="262"/>
        </w:trPr>
        <w:tc>
          <w:tcPr>
            <w:tcW w:w="4360" w:type="dxa"/>
            <w:vAlign w:val="bottom"/>
          </w:tcPr>
          <w:p>
            <w:pPr>
              <w:ind w:left="140"/>
              <w:spacing w:after="0"/>
              <w:rPr>
                <w:sz w:val="20"/>
                <w:szCs w:val="20"/>
                <w:color w:val="auto"/>
              </w:rPr>
            </w:pPr>
            <w:r>
              <w:rPr>
                <w:rFonts w:ascii="Arial" w:cs="Arial" w:eastAsia="Arial" w:hAnsi="Arial"/>
                <w:sz w:val="13"/>
                <w:szCs w:val="13"/>
                <w:b w:val="1"/>
                <w:bCs w:val="1"/>
                <w:color w:val="auto"/>
              </w:rPr>
              <w:t>NON-GAAP OPERATING EXPENSES</w:t>
            </w: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GAAP operating expenses</w:t>
            </w: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119,758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134,304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366,940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415,414</w:t>
            </w:r>
          </w:p>
        </w:tc>
        <w:tc>
          <w:tcPr>
            <w:tcW w:w="0" w:type="dxa"/>
            <w:vAlign w:val="bottom"/>
          </w:tcPr>
          <w:p>
            <w:pPr>
              <w:spacing w:after="0"/>
              <w:rPr>
                <w:sz w:val="1"/>
                <w:szCs w:val="1"/>
                <w:color w:val="auto"/>
              </w:rPr>
            </w:pPr>
          </w:p>
        </w:tc>
      </w:tr>
      <w:tr>
        <w:trPr>
          <w:trHeight w:val="262"/>
        </w:trPr>
        <w:tc>
          <w:tcPr>
            <w:tcW w:w="4360" w:type="dxa"/>
            <w:vAlign w:val="bottom"/>
          </w:tcPr>
          <w:p>
            <w:pPr>
              <w:ind w:left="440"/>
              <w:spacing w:after="0"/>
              <w:rPr>
                <w:sz w:val="20"/>
                <w:szCs w:val="20"/>
                <w:color w:val="auto"/>
              </w:rPr>
            </w:pPr>
            <w:r>
              <w:rPr>
                <w:rFonts w:ascii="Arial" w:cs="Arial" w:eastAsia="Arial" w:hAnsi="Arial"/>
                <w:sz w:val="13"/>
                <w:szCs w:val="13"/>
                <w:color w:val="auto"/>
              </w:rPr>
              <w:t>Amortization of intangible assets</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(7,869)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(10,917)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(23,730)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(33,096)</w:t>
            </w: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Restructuring</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9,686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2,211</w:t>
            </w:r>
          </w:p>
        </w:tc>
        <w:tc>
          <w:tcPr>
            <w:tcW w:w="0" w:type="dxa"/>
            <w:vAlign w:val="bottom"/>
          </w:tcPr>
          <w:p>
            <w:pPr>
              <w:spacing w:after="0"/>
              <w:rPr>
                <w:sz w:val="1"/>
                <w:szCs w:val="1"/>
                <w:color w:val="auto"/>
              </w:rPr>
            </w:pPr>
          </w:p>
        </w:tc>
      </w:tr>
      <w:tr>
        <w:trPr>
          <w:trHeight w:val="262"/>
        </w:trPr>
        <w:tc>
          <w:tcPr>
            <w:tcW w:w="4360" w:type="dxa"/>
            <w:vAlign w:val="bottom"/>
          </w:tcPr>
          <w:p>
            <w:pPr>
              <w:ind w:left="440"/>
              <w:spacing w:after="0"/>
              <w:rPr>
                <w:sz w:val="20"/>
                <w:szCs w:val="20"/>
                <w:color w:val="auto"/>
              </w:rPr>
            </w:pPr>
            <w:r>
              <w:rPr>
                <w:rFonts w:ascii="Arial" w:cs="Arial" w:eastAsia="Arial" w:hAnsi="Arial"/>
                <w:sz w:val="13"/>
                <w:szCs w:val="13"/>
                <w:color w:val="auto"/>
              </w:rPr>
              <w:t>Acquisition-related expenses</w:t>
            </w: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3,271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5,554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(795)</w:t>
            </w:r>
          </w:p>
        </w:tc>
        <w:tc>
          <w:tcPr>
            <w:tcW w:w="0" w:type="dxa"/>
            <w:vAlign w:val="bottom"/>
          </w:tcPr>
          <w:p>
            <w:pPr>
              <w:spacing w:after="0"/>
              <w:rPr>
                <w:sz w:val="1"/>
                <w:szCs w:val="1"/>
                <w:color w:val="auto"/>
              </w:rPr>
            </w:pPr>
          </w:p>
        </w:tc>
      </w:tr>
      <w:tr>
        <w:trPr>
          <w:trHeight w:val="272"/>
        </w:trPr>
        <w:tc>
          <w:tcPr>
            <w:tcW w:w="4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Goodwill impairment</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w:t>
            </w:r>
          </w:p>
        </w:tc>
        <w:tc>
          <w:tcPr>
            <w:tcW w:w="0" w:type="dxa"/>
            <w:vAlign w:val="bottom"/>
          </w:tcPr>
          <w:p>
            <w:pPr>
              <w:spacing w:after="0"/>
              <w:rPr>
                <w:sz w:val="1"/>
                <w:szCs w:val="1"/>
                <w:color w:val="auto"/>
              </w:rPr>
            </w:pPr>
          </w:p>
        </w:tc>
      </w:tr>
      <w:tr>
        <w:trPr>
          <w:trHeight w:val="241"/>
        </w:trPr>
        <w:tc>
          <w:tcPr>
            <w:tcW w:w="4360" w:type="dxa"/>
            <w:vAlign w:val="bottom"/>
          </w:tcPr>
          <w:p>
            <w:pPr>
              <w:ind w:left="340"/>
              <w:spacing w:after="0"/>
              <w:rPr>
                <w:sz w:val="20"/>
                <w:szCs w:val="20"/>
                <w:color w:val="auto"/>
              </w:rPr>
            </w:pPr>
            <w:r>
              <w:rPr>
                <w:rFonts w:ascii="Arial" w:cs="Arial" w:eastAsia="Arial" w:hAnsi="Arial"/>
                <w:sz w:val="13"/>
                <w:szCs w:val="13"/>
                <w:color w:val="auto"/>
              </w:rPr>
              <w:t>Non-GAAP operating expenses</w:t>
            </w: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115,165</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123,112</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358,450</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382,757</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NON-GAAP OPERATING INCOME</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GAAP operating income</w:t>
            </w: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27,208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16,458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36,796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52,924</w:t>
            </w:r>
          </w:p>
        </w:tc>
        <w:tc>
          <w:tcPr>
            <w:tcW w:w="0" w:type="dxa"/>
            <w:vAlign w:val="bottom"/>
          </w:tcPr>
          <w:p>
            <w:pPr>
              <w:spacing w:after="0"/>
              <w:rPr>
                <w:sz w:val="1"/>
                <w:szCs w:val="1"/>
                <w:color w:val="auto"/>
              </w:rPr>
            </w:pPr>
          </w:p>
        </w:tc>
      </w:tr>
      <w:tr>
        <w:trPr>
          <w:trHeight w:val="262"/>
        </w:trPr>
        <w:tc>
          <w:tcPr>
            <w:tcW w:w="4360" w:type="dxa"/>
            <w:vAlign w:val="bottom"/>
          </w:tcPr>
          <w:p>
            <w:pPr>
              <w:ind w:left="440"/>
              <w:spacing w:after="0"/>
              <w:rPr>
                <w:sz w:val="20"/>
                <w:szCs w:val="20"/>
                <w:color w:val="auto"/>
              </w:rPr>
            </w:pPr>
            <w:r>
              <w:rPr>
                <w:rFonts w:ascii="Arial" w:cs="Arial" w:eastAsia="Arial" w:hAnsi="Arial"/>
                <w:sz w:val="13"/>
                <w:szCs w:val="13"/>
                <w:color w:val="auto"/>
              </w:rPr>
              <w:t>Amortization of intangible assets</w:t>
            </w: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7,869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10,917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23,730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33,096</w:t>
            </w: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Restructuring</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(2,211)</w:t>
            </w:r>
          </w:p>
        </w:tc>
        <w:tc>
          <w:tcPr>
            <w:tcW w:w="0" w:type="dxa"/>
            <w:vAlign w:val="bottom"/>
          </w:tcPr>
          <w:p>
            <w:pPr>
              <w:spacing w:after="0"/>
              <w:rPr>
                <w:sz w:val="1"/>
                <w:szCs w:val="1"/>
                <w:color w:val="auto"/>
              </w:rPr>
            </w:pPr>
          </w:p>
        </w:tc>
      </w:tr>
      <w:tr>
        <w:trPr>
          <w:trHeight w:val="262"/>
        </w:trPr>
        <w:tc>
          <w:tcPr>
            <w:tcW w:w="4360" w:type="dxa"/>
            <w:vAlign w:val="bottom"/>
          </w:tcPr>
          <w:p>
            <w:pPr>
              <w:ind w:left="440"/>
              <w:spacing w:after="0"/>
              <w:rPr>
                <w:sz w:val="20"/>
                <w:szCs w:val="20"/>
                <w:color w:val="auto"/>
              </w:rPr>
            </w:pPr>
            <w:r>
              <w:rPr>
                <w:rFonts w:ascii="Arial" w:cs="Arial" w:eastAsia="Arial" w:hAnsi="Arial"/>
                <w:sz w:val="13"/>
                <w:szCs w:val="13"/>
                <w:color w:val="auto"/>
              </w:rPr>
              <w:t>Acquisition-related expenses</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(3,271)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(5,554)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795</w:t>
            </w:r>
          </w:p>
        </w:tc>
        <w:tc>
          <w:tcPr>
            <w:tcW w:w="0" w:type="dxa"/>
            <w:vAlign w:val="bottom"/>
          </w:tcPr>
          <w:p>
            <w:pPr>
              <w:spacing w:after="0"/>
              <w:rPr>
                <w:sz w:val="1"/>
                <w:szCs w:val="1"/>
                <w:color w:val="auto"/>
              </w:rPr>
            </w:pPr>
          </w:p>
        </w:tc>
      </w:tr>
      <w:tr>
        <w:trPr>
          <w:trHeight w:val="272"/>
        </w:trPr>
        <w:tc>
          <w:tcPr>
            <w:tcW w:w="4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Goodwill impairment</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977</w:t>
            </w:r>
          </w:p>
        </w:tc>
        <w:tc>
          <w:tcPr>
            <w:tcW w:w="0" w:type="dxa"/>
            <w:vAlign w:val="bottom"/>
          </w:tcPr>
          <w:p>
            <w:pPr>
              <w:spacing w:after="0"/>
              <w:rPr>
                <w:sz w:val="1"/>
                <w:szCs w:val="1"/>
                <w:color w:val="auto"/>
              </w:rPr>
            </w:pPr>
          </w:p>
        </w:tc>
      </w:tr>
      <w:tr>
        <w:trPr>
          <w:trHeight w:val="241"/>
        </w:trPr>
        <w:tc>
          <w:tcPr>
            <w:tcW w:w="4360" w:type="dxa"/>
            <w:vAlign w:val="bottom"/>
          </w:tcPr>
          <w:p>
            <w:pPr>
              <w:ind w:left="340"/>
              <w:spacing w:after="0"/>
              <w:rPr>
                <w:sz w:val="20"/>
                <w:szCs w:val="20"/>
                <w:color w:val="auto"/>
              </w:rPr>
            </w:pPr>
            <w:r>
              <w:rPr>
                <w:rFonts w:ascii="Arial" w:cs="Arial" w:eastAsia="Arial" w:hAnsi="Arial"/>
                <w:sz w:val="13"/>
                <w:szCs w:val="13"/>
                <w:color w:val="auto"/>
              </w:rPr>
              <w:t>Non-GAAP operating income</w:t>
            </w: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31,801</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27,650</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45,286</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85,581</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NON-GAAP NET INCOME &amp; DILUTED EPS</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GAAP net income attributable to Itron, Inc.</w:t>
            </w: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12,695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7,308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3,407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26,313</w:t>
            </w:r>
          </w:p>
        </w:tc>
        <w:tc>
          <w:tcPr>
            <w:tcW w:w="0" w:type="dxa"/>
            <w:vAlign w:val="bottom"/>
          </w:tcPr>
          <w:p>
            <w:pPr>
              <w:spacing w:after="0"/>
              <w:rPr>
                <w:sz w:val="1"/>
                <w:szCs w:val="1"/>
                <w:color w:val="auto"/>
              </w:rPr>
            </w:pPr>
          </w:p>
        </w:tc>
      </w:tr>
      <w:tr>
        <w:trPr>
          <w:trHeight w:val="262"/>
        </w:trPr>
        <w:tc>
          <w:tcPr>
            <w:tcW w:w="4360" w:type="dxa"/>
            <w:vAlign w:val="bottom"/>
          </w:tcPr>
          <w:p>
            <w:pPr>
              <w:ind w:left="440"/>
              <w:spacing w:after="0"/>
              <w:rPr>
                <w:sz w:val="20"/>
                <w:szCs w:val="20"/>
                <w:color w:val="auto"/>
              </w:rPr>
            </w:pPr>
            <w:r>
              <w:rPr>
                <w:rFonts w:ascii="Arial" w:cs="Arial" w:eastAsia="Arial" w:hAnsi="Arial"/>
                <w:sz w:val="13"/>
                <w:szCs w:val="13"/>
                <w:color w:val="auto"/>
              </w:rPr>
              <w:t>Amortization of intangible assets</w:t>
            </w: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7,869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10,917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23,730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33,096</w:t>
            </w: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Amortization of debt placement fees</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1,773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1,137</w:t>
            </w:r>
          </w:p>
        </w:tc>
        <w:tc>
          <w:tcPr>
            <w:tcW w:w="0" w:type="dxa"/>
            <w:vAlign w:val="bottom"/>
          </w:tcPr>
          <w:p>
            <w:pPr>
              <w:spacing w:after="0"/>
              <w:rPr>
                <w:sz w:val="1"/>
                <w:szCs w:val="1"/>
                <w:color w:val="auto"/>
              </w:rPr>
            </w:pPr>
          </w:p>
        </w:tc>
      </w:tr>
      <w:tr>
        <w:trPr>
          <w:trHeight w:val="262"/>
        </w:trPr>
        <w:tc>
          <w:tcPr>
            <w:tcW w:w="4360" w:type="dxa"/>
            <w:vAlign w:val="bottom"/>
          </w:tcPr>
          <w:p>
            <w:pPr>
              <w:ind w:left="440"/>
              <w:spacing w:after="0"/>
              <w:rPr>
                <w:sz w:val="20"/>
                <w:szCs w:val="20"/>
                <w:color w:val="auto"/>
              </w:rPr>
            </w:pPr>
            <w:r>
              <w:rPr>
                <w:rFonts w:ascii="Arial" w:cs="Arial" w:eastAsia="Arial" w:hAnsi="Arial"/>
                <w:sz w:val="13"/>
                <w:szCs w:val="13"/>
                <w:color w:val="auto"/>
              </w:rPr>
              <w:t>Restructuring</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(9,686)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(2,211)</w:t>
            </w: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Acquisition-related expenses</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795</w:t>
            </w:r>
          </w:p>
        </w:tc>
        <w:tc>
          <w:tcPr>
            <w:tcW w:w="0" w:type="dxa"/>
            <w:vAlign w:val="bottom"/>
          </w:tcPr>
          <w:p>
            <w:pPr>
              <w:spacing w:after="0"/>
              <w:rPr>
                <w:sz w:val="1"/>
                <w:szCs w:val="1"/>
                <w:color w:val="auto"/>
              </w:rPr>
            </w:pPr>
          </w:p>
        </w:tc>
      </w:tr>
      <w:tr>
        <w:trPr>
          <w:trHeight w:val="262"/>
        </w:trPr>
        <w:tc>
          <w:tcPr>
            <w:tcW w:w="4360" w:type="dxa"/>
            <w:vAlign w:val="bottom"/>
          </w:tcPr>
          <w:p>
            <w:pPr>
              <w:ind w:left="440"/>
              <w:spacing w:after="0"/>
              <w:rPr>
                <w:sz w:val="20"/>
                <w:szCs w:val="20"/>
                <w:color w:val="auto"/>
              </w:rPr>
            </w:pPr>
            <w:r>
              <w:rPr>
                <w:rFonts w:ascii="Arial" w:cs="Arial" w:eastAsia="Arial" w:hAnsi="Arial"/>
                <w:sz w:val="13"/>
                <w:szCs w:val="13"/>
                <w:color w:val="auto"/>
              </w:rPr>
              <w:t>Goodwill impairment</w:t>
            </w:r>
          </w:p>
        </w:tc>
        <w:tc>
          <w:tcPr>
            <w:tcW w:w="4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977</w:t>
            </w:r>
          </w:p>
        </w:tc>
        <w:tc>
          <w:tcPr>
            <w:tcW w:w="0" w:type="dxa"/>
            <w:vAlign w:val="bottom"/>
          </w:tcPr>
          <w:p>
            <w:pPr>
              <w:spacing w:after="0"/>
              <w:rPr>
                <w:sz w:val="1"/>
                <w:szCs w:val="1"/>
                <w:color w:val="auto"/>
              </w:rPr>
            </w:pPr>
          </w:p>
        </w:tc>
      </w:tr>
      <w:tr>
        <w:trPr>
          <w:trHeight w:val="272"/>
        </w:trPr>
        <w:tc>
          <w:tcPr>
            <w:tcW w:w="4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Income tax effect of non-GAAP adjustments</w:t>
            </w:r>
            <w:r>
              <w:rPr>
                <w:rFonts w:ascii="Arial" w:cs="Arial" w:eastAsia="Arial" w:hAnsi="Arial"/>
                <w:sz w:val="8"/>
                <w:szCs w:val="8"/>
                <w:color w:val="auto"/>
              </w:rPr>
              <w:t>(1)</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(3,923)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(11,048)</w:t>
            </w:r>
          </w:p>
        </w:tc>
        <w:tc>
          <w:tcPr>
            <w:tcW w:w="0" w:type="dxa"/>
            <w:vAlign w:val="bottom"/>
          </w:tcPr>
          <w:p>
            <w:pPr>
              <w:spacing w:after="0"/>
              <w:rPr>
                <w:sz w:val="1"/>
                <w:szCs w:val="1"/>
                <w:color w:val="auto"/>
              </w:rPr>
            </w:pPr>
          </w:p>
        </w:tc>
      </w:tr>
      <w:tr>
        <w:trPr>
          <w:trHeight w:val="282"/>
        </w:trPr>
        <w:tc>
          <w:tcPr>
            <w:tcW w:w="436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Non-GAAP net income</w:t>
            </w: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16,597</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15,409</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9,747</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49,059</w:t>
            </w:r>
          </w:p>
        </w:tc>
        <w:tc>
          <w:tcPr>
            <w:tcW w:w="0" w:type="dxa"/>
            <w:vAlign w:val="bottom"/>
          </w:tcPr>
          <w:p>
            <w:pPr>
              <w:spacing w:after="0"/>
              <w:rPr>
                <w:sz w:val="1"/>
                <w:szCs w:val="1"/>
                <w:color w:val="auto"/>
              </w:rPr>
            </w:pPr>
          </w:p>
        </w:tc>
      </w:tr>
      <w:tr>
        <w:trPr>
          <w:trHeight w:val="252"/>
        </w:trPr>
        <w:tc>
          <w:tcPr>
            <w:tcW w:w="43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36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Non-GAAP diluted EPS</w:t>
            </w: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0.43</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0.39</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0.25</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252"/>
        </w:trPr>
        <w:tc>
          <w:tcPr>
            <w:tcW w:w="43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360" w:type="dxa"/>
            <w:vAlign w:val="bottom"/>
          </w:tcPr>
          <w:p>
            <w:pPr>
              <w:ind w:left="340"/>
              <w:spacing w:after="0"/>
              <w:rPr>
                <w:sz w:val="20"/>
                <w:szCs w:val="20"/>
                <w:color w:val="auto"/>
              </w:rPr>
            </w:pPr>
            <w:r>
              <w:rPr>
                <w:rFonts w:ascii="Arial" w:cs="Arial" w:eastAsia="Arial" w:hAnsi="Arial"/>
                <w:sz w:val="13"/>
                <w:szCs w:val="13"/>
                <w:color w:val="auto"/>
              </w:rPr>
              <w:t>Weighted average common shares outstanding - Diluted</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38,358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39,493</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38,591</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39,516</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FREE CASH FLOW</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60" w:type="dxa"/>
            <w:vAlign w:val="bottom"/>
          </w:tcPr>
          <w:p>
            <w:pPr>
              <w:ind w:left="440"/>
              <w:spacing w:after="0"/>
              <w:rPr>
                <w:sz w:val="20"/>
                <w:szCs w:val="20"/>
                <w:color w:val="auto"/>
              </w:rPr>
            </w:pPr>
            <w:r>
              <w:rPr>
                <w:rFonts w:ascii="Arial" w:cs="Arial" w:eastAsia="Arial" w:hAnsi="Arial"/>
                <w:sz w:val="13"/>
                <w:szCs w:val="13"/>
                <w:color w:val="auto"/>
              </w:rPr>
              <w:t>Net cash provided by operating activities</w:t>
            </w:r>
          </w:p>
        </w:tc>
        <w:tc>
          <w:tcPr>
            <w:tcW w:w="4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2,587</w:t>
            </w:r>
          </w:p>
        </w:tc>
        <w:tc>
          <w:tcPr>
            <w:tcW w:w="100" w:type="dxa"/>
            <w:vAlign w:val="bottom"/>
          </w:tcPr>
          <w:p>
            <w:pPr>
              <w:spacing w:after="0"/>
              <w:rPr>
                <w:sz w:val="24"/>
                <w:szCs w:val="24"/>
                <w:color w:val="auto"/>
              </w:rPr>
            </w:pPr>
          </w:p>
        </w:tc>
        <w:tc>
          <w:tcPr>
            <w:tcW w:w="4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49,347</w:t>
            </w:r>
          </w:p>
        </w:tc>
        <w:tc>
          <w:tcPr>
            <w:tcW w:w="100" w:type="dxa"/>
            <w:vAlign w:val="bottom"/>
          </w:tcPr>
          <w:p>
            <w:pPr>
              <w:spacing w:after="0"/>
              <w:rPr>
                <w:sz w:val="24"/>
                <w:szCs w:val="24"/>
                <w:color w:val="auto"/>
              </w:rPr>
            </w:pPr>
          </w:p>
        </w:tc>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20,154</w:t>
            </w:r>
          </w:p>
        </w:tc>
        <w:tc>
          <w:tcPr>
            <w:tcW w:w="100" w:type="dxa"/>
            <w:vAlign w:val="bottom"/>
          </w:tcPr>
          <w:p>
            <w:pPr>
              <w:spacing w:after="0"/>
              <w:rPr>
                <w:sz w:val="24"/>
                <w:szCs w:val="24"/>
                <w:color w:val="auto"/>
              </w:rPr>
            </w:pPr>
          </w:p>
        </w:tc>
        <w:tc>
          <w:tcPr>
            <w:tcW w:w="4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116,538</w:t>
            </w:r>
          </w:p>
        </w:tc>
        <w:tc>
          <w:tcPr>
            <w:tcW w:w="0" w:type="dxa"/>
            <w:vAlign w:val="bottom"/>
          </w:tcPr>
          <w:p>
            <w:pPr>
              <w:spacing w:after="0"/>
              <w:rPr>
                <w:sz w:val="1"/>
                <w:szCs w:val="1"/>
                <w:color w:val="auto"/>
              </w:rPr>
            </w:pPr>
          </w:p>
        </w:tc>
      </w:tr>
      <w:tr>
        <w:trPr>
          <w:trHeight w:val="272"/>
        </w:trPr>
        <w:tc>
          <w:tcPr>
            <w:tcW w:w="4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Acquisitions of property, plant, and equipment</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(12,332)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(12,657)</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(33,324)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(32,060)</w:t>
            </w:r>
          </w:p>
        </w:tc>
        <w:tc>
          <w:tcPr>
            <w:tcW w:w="0" w:type="dxa"/>
            <w:vAlign w:val="bottom"/>
          </w:tcPr>
          <w:p>
            <w:pPr>
              <w:spacing w:after="0"/>
              <w:rPr>
                <w:sz w:val="1"/>
                <w:szCs w:val="1"/>
                <w:color w:val="auto"/>
              </w:rPr>
            </w:pPr>
          </w:p>
        </w:tc>
      </w:tr>
      <w:tr>
        <w:trPr>
          <w:trHeight w:val="242"/>
        </w:trPr>
        <w:tc>
          <w:tcPr>
            <w:tcW w:w="4360" w:type="dxa"/>
            <w:vAlign w:val="bottom"/>
          </w:tcPr>
          <w:p>
            <w:pPr>
              <w:ind w:left="340"/>
              <w:spacing w:after="0"/>
              <w:rPr>
                <w:sz w:val="20"/>
                <w:szCs w:val="20"/>
                <w:color w:val="auto"/>
              </w:rPr>
            </w:pPr>
            <w:r>
              <w:rPr>
                <w:rFonts w:ascii="Arial" w:cs="Arial" w:eastAsia="Arial" w:hAnsi="Arial"/>
                <w:sz w:val="13"/>
                <w:szCs w:val="13"/>
                <w:color w:val="auto"/>
              </w:rPr>
              <w:t>Free Cash Flow</w:t>
            </w: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(9,745)</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36,690</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(13,170)</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84,478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0" w:right="280" w:firstLine="9"/>
        <w:spacing w:after="0" w:line="237" w:lineRule="auto"/>
        <w:tabs>
          <w:tab w:leader="none" w:pos="174" w:val="left"/>
        </w:tabs>
        <w:numPr>
          <w:ilvl w:val="0"/>
          <w:numId w:val="16"/>
        </w:numPr>
        <w:rPr>
          <w:rFonts w:ascii="Arial" w:cs="Arial" w:eastAsia="Arial" w:hAnsi="Arial"/>
          <w:sz w:val="9"/>
          <w:szCs w:val="9"/>
          <w:color w:val="auto"/>
        </w:rPr>
      </w:pPr>
      <w:r>
        <w:rPr>
          <w:rFonts w:ascii="Arial" w:cs="Arial" w:eastAsia="Arial" w:hAnsi="Arial"/>
          <w:sz w:val="13"/>
          <w:szCs w:val="13"/>
          <w:color w:val="auto"/>
        </w:rPr>
        <w:t>The income tax effect of non-GAAP adjustments is calculated using the statutory tax rates for the relevant jurisdictions if no valuation allowance exists. If a valuation allowance exists, there is no tax impact to the non-GAAP adjustment</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260" w:type="dxa"/>
            <w:vAlign w:val="bottom"/>
          </w:tcPr>
          <w:p>
            <w:pPr>
              <w:ind w:left="40"/>
              <w:spacing w:after="0"/>
              <w:rPr>
                <w:sz w:val="20"/>
                <w:szCs w:val="20"/>
                <w:color w:val="auto"/>
              </w:rPr>
            </w:pPr>
            <w:r>
              <w:rPr>
                <w:rFonts w:ascii="Arial" w:cs="Arial" w:eastAsia="Arial" w:hAnsi="Arial"/>
                <w:sz w:val="13"/>
                <w:szCs w:val="13"/>
                <w:color w:val="auto"/>
              </w:rPr>
              <w:t>(Unaudited; in thousands)</w:t>
            </w: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0"/>
        </w:trPr>
        <w:tc>
          <w:tcPr>
            <w:tcW w:w="4260" w:type="dxa"/>
            <w:vAlign w:val="bottom"/>
          </w:tcPr>
          <w:p>
            <w:pPr>
              <w:ind w:left="40"/>
              <w:spacing w:after="0"/>
              <w:rPr>
                <w:sz w:val="20"/>
                <w:szCs w:val="20"/>
                <w:color w:val="auto"/>
              </w:rPr>
            </w:pPr>
            <w:r>
              <w:rPr>
                <w:rFonts w:ascii="Arial" w:cs="Arial" w:eastAsia="Arial" w:hAnsi="Arial"/>
                <w:sz w:val="13"/>
                <w:szCs w:val="13"/>
                <w:b w:val="1"/>
                <w:bCs w:val="1"/>
                <w:color w:val="auto"/>
              </w:rPr>
              <w:t>SEGMENT RECONCILIATIONS</w:t>
            </w:r>
          </w:p>
        </w:tc>
        <w:tc>
          <w:tcPr>
            <w:tcW w:w="420" w:type="dxa"/>
            <w:vAlign w:val="bottom"/>
          </w:tcPr>
          <w:p>
            <w:pPr>
              <w:spacing w:after="0"/>
              <w:rPr>
                <w:sz w:val="24"/>
                <w:szCs w:val="24"/>
                <w:color w:val="auto"/>
              </w:rPr>
            </w:pPr>
          </w:p>
        </w:tc>
        <w:tc>
          <w:tcPr>
            <w:tcW w:w="3260" w:type="dxa"/>
            <w:vAlign w:val="bottom"/>
            <w:gridSpan w:val="5"/>
          </w:tcPr>
          <w:p>
            <w:pPr>
              <w:ind w:left="400"/>
              <w:spacing w:after="0"/>
              <w:rPr>
                <w:sz w:val="20"/>
                <w:szCs w:val="20"/>
                <w:color w:val="auto"/>
              </w:rPr>
            </w:pPr>
            <w:r>
              <w:rPr>
                <w:rFonts w:ascii="Arial" w:cs="Arial" w:eastAsia="Arial" w:hAnsi="Arial"/>
                <w:sz w:val="13"/>
                <w:szCs w:val="13"/>
                <w:b w:val="1"/>
                <w:bCs w:val="1"/>
                <w:color w:val="auto"/>
              </w:rPr>
              <w:t>Three Months Ended September 30,</w:t>
            </w:r>
          </w:p>
        </w:tc>
        <w:tc>
          <w:tcPr>
            <w:tcW w:w="400" w:type="dxa"/>
            <w:vAlign w:val="bottom"/>
          </w:tcPr>
          <w:p>
            <w:pPr>
              <w:spacing w:after="0"/>
              <w:rPr>
                <w:sz w:val="24"/>
                <w:szCs w:val="24"/>
                <w:color w:val="auto"/>
              </w:rPr>
            </w:pPr>
          </w:p>
        </w:tc>
        <w:tc>
          <w:tcPr>
            <w:tcW w:w="3080" w:type="dxa"/>
            <w:vAlign w:val="bottom"/>
            <w:gridSpan w:val="4"/>
          </w:tcPr>
          <w:p>
            <w:pPr>
              <w:jc w:val="right"/>
              <w:ind w:right="717"/>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26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2014</w:t>
            </w:r>
          </w:p>
        </w:tc>
        <w:tc>
          <w:tcPr>
            <w:tcW w:w="0" w:type="dxa"/>
            <w:vAlign w:val="bottom"/>
          </w:tcPr>
          <w:p>
            <w:pPr>
              <w:spacing w:after="0"/>
              <w:rPr>
                <w:sz w:val="1"/>
                <w:szCs w:val="1"/>
                <w:color w:val="auto"/>
              </w:rPr>
            </w:pPr>
          </w:p>
        </w:tc>
      </w:tr>
      <w:tr>
        <w:trPr>
          <w:trHeight w:val="262"/>
        </w:trPr>
        <w:tc>
          <w:tcPr>
            <w:tcW w:w="4260" w:type="dxa"/>
            <w:vAlign w:val="bottom"/>
          </w:tcPr>
          <w:p>
            <w:pPr>
              <w:ind w:left="160"/>
              <w:spacing w:after="0"/>
              <w:rPr>
                <w:sz w:val="20"/>
                <w:szCs w:val="20"/>
                <w:color w:val="auto"/>
              </w:rPr>
            </w:pPr>
            <w:r>
              <w:rPr>
                <w:rFonts w:ascii="Arial" w:cs="Arial" w:eastAsia="Arial" w:hAnsi="Arial"/>
                <w:sz w:val="13"/>
                <w:szCs w:val="13"/>
                <w:b w:val="1"/>
                <w:bCs w:val="1"/>
                <w:color w:val="auto"/>
              </w:rPr>
              <w:t>NON-GAAP OPERATING INCOME - ELECTRICITY</w:t>
            </w: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Electricity - GAAP operating income (loss)</w:t>
            </w: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10,575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16,875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(35,412)</w:t>
            </w:r>
          </w:p>
        </w:tc>
        <w:tc>
          <w:tcPr>
            <w:tcW w:w="0" w:type="dxa"/>
            <w:vAlign w:val="bottom"/>
          </w:tcPr>
          <w:p>
            <w:pPr>
              <w:spacing w:after="0"/>
              <w:rPr>
                <w:sz w:val="1"/>
                <w:szCs w:val="1"/>
                <w:color w:val="auto"/>
              </w:rPr>
            </w:pPr>
          </w:p>
        </w:tc>
      </w:tr>
      <w:tr>
        <w:trPr>
          <w:trHeight w:val="262"/>
        </w:trPr>
        <w:tc>
          <w:tcPr>
            <w:tcW w:w="4260" w:type="dxa"/>
            <w:vAlign w:val="bottom"/>
          </w:tcPr>
          <w:p>
            <w:pPr>
              <w:ind w:left="400"/>
              <w:spacing w:after="0"/>
              <w:rPr>
                <w:sz w:val="20"/>
                <w:szCs w:val="20"/>
                <w:color w:val="auto"/>
              </w:rPr>
            </w:pPr>
            <w:r>
              <w:rPr>
                <w:rFonts w:ascii="Arial" w:cs="Arial" w:eastAsia="Arial" w:hAnsi="Arial"/>
                <w:sz w:val="13"/>
                <w:szCs w:val="13"/>
                <w:color w:val="auto"/>
              </w:rPr>
              <w:t>Amortization of intangible assets</w:t>
            </w:r>
          </w:p>
        </w:tc>
        <w:tc>
          <w:tcPr>
            <w:tcW w:w="420" w:type="dxa"/>
            <w:vAlign w:val="bottom"/>
          </w:tcPr>
          <w:p>
            <w:pPr>
              <w:spacing w:after="0"/>
              <w:rPr>
                <w:sz w:val="22"/>
                <w:szCs w:val="22"/>
                <w:color w:val="auto"/>
              </w:rPr>
            </w:pPr>
          </w:p>
        </w:tc>
        <w:tc>
          <w:tcPr>
            <w:tcW w:w="1320" w:type="dxa"/>
            <w:vAlign w:val="bottom"/>
          </w:tcPr>
          <w:p>
            <w:pPr>
              <w:jc w:val="right"/>
              <w:ind w:right="77"/>
              <w:spacing w:after="0"/>
              <w:rPr>
                <w:sz w:val="20"/>
                <w:szCs w:val="20"/>
                <w:color w:val="auto"/>
              </w:rPr>
            </w:pPr>
            <w:r>
              <w:rPr>
                <w:rFonts w:ascii="Arial" w:cs="Arial" w:eastAsia="Arial" w:hAnsi="Arial"/>
                <w:sz w:val="13"/>
                <w:szCs w:val="13"/>
                <w:color w:val="auto"/>
              </w:rPr>
              <w:t>4,413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6,129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13,296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18,473</w:t>
            </w:r>
          </w:p>
        </w:tc>
        <w:tc>
          <w:tcPr>
            <w:tcW w:w="0" w:type="dxa"/>
            <w:vAlign w:val="bottom"/>
          </w:tcPr>
          <w:p>
            <w:pPr>
              <w:spacing w:after="0"/>
              <w:rPr>
                <w:sz w:val="1"/>
                <w:szCs w:val="1"/>
                <w:color w:val="auto"/>
              </w:rPr>
            </w:pPr>
          </w:p>
        </w:tc>
      </w:tr>
      <w:tr>
        <w:trPr>
          <w:trHeight w:val="278"/>
        </w:trPr>
        <w:tc>
          <w:tcPr>
            <w:tcW w:w="42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Restructuring</w:t>
            </w:r>
          </w:p>
        </w:tc>
        <w:tc>
          <w:tcPr>
            <w:tcW w:w="4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(1,960)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(8,544)</w:t>
            </w:r>
          </w:p>
        </w:tc>
        <w:tc>
          <w:tcPr>
            <w:tcW w:w="0" w:type="dxa"/>
            <w:vAlign w:val="bottom"/>
          </w:tcPr>
          <w:p>
            <w:pPr>
              <w:spacing w:after="0"/>
              <w:rPr>
                <w:sz w:val="1"/>
                <w:szCs w:val="1"/>
                <w:color w:val="auto"/>
              </w:rPr>
            </w:pPr>
          </w:p>
        </w:tc>
      </w:tr>
      <w:tr>
        <w:trPr>
          <w:trHeight w:val="262"/>
        </w:trPr>
        <w:tc>
          <w:tcPr>
            <w:tcW w:w="4260" w:type="dxa"/>
            <w:vAlign w:val="bottom"/>
          </w:tcPr>
          <w:p>
            <w:pPr>
              <w:ind w:left="400"/>
              <w:spacing w:after="0"/>
              <w:rPr>
                <w:sz w:val="20"/>
                <w:szCs w:val="20"/>
                <w:color w:val="auto"/>
              </w:rPr>
            </w:pPr>
            <w:r>
              <w:rPr>
                <w:rFonts w:ascii="Arial" w:cs="Arial" w:eastAsia="Arial" w:hAnsi="Arial"/>
                <w:sz w:val="13"/>
                <w:szCs w:val="13"/>
                <w:color w:val="auto"/>
              </w:rPr>
              <w:t>Acquisition-related expenses</w:t>
            </w:r>
          </w:p>
        </w:tc>
        <w:tc>
          <w:tcPr>
            <w:tcW w:w="42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(3,390)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(5,673)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748</w:t>
            </w:r>
          </w:p>
        </w:tc>
        <w:tc>
          <w:tcPr>
            <w:tcW w:w="0" w:type="dxa"/>
            <w:vAlign w:val="bottom"/>
          </w:tcPr>
          <w:p>
            <w:pPr>
              <w:spacing w:after="0"/>
              <w:rPr>
                <w:sz w:val="1"/>
                <w:szCs w:val="1"/>
                <w:color w:val="auto"/>
              </w:rPr>
            </w:pPr>
          </w:p>
        </w:tc>
      </w:tr>
      <w:tr>
        <w:trPr>
          <w:trHeight w:val="272"/>
        </w:trPr>
        <w:tc>
          <w:tcPr>
            <w:tcW w:w="42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Goodwill impairment</w:t>
            </w:r>
          </w:p>
        </w:tc>
        <w:tc>
          <w:tcPr>
            <w:tcW w:w="4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977</w:t>
            </w:r>
          </w:p>
        </w:tc>
        <w:tc>
          <w:tcPr>
            <w:tcW w:w="0" w:type="dxa"/>
            <w:vAlign w:val="bottom"/>
          </w:tcPr>
          <w:p>
            <w:pPr>
              <w:spacing w:after="0"/>
              <w:rPr>
                <w:sz w:val="1"/>
                <w:szCs w:val="1"/>
                <w:color w:val="auto"/>
              </w:rPr>
            </w:pPr>
          </w:p>
        </w:tc>
      </w:tr>
      <w:tr>
        <w:trPr>
          <w:trHeight w:val="241"/>
        </w:trPr>
        <w:tc>
          <w:tcPr>
            <w:tcW w:w="4260" w:type="dxa"/>
            <w:vAlign w:val="bottom"/>
          </w:tcPr>
          <w:p>
            <w:pPr>
              <w:ind w:left="280"/>
              <w:spacing w:after="0"/>
              <w:rPr>
                <w:sz w:val="20"/>
                <w:szCs w:val="20"/>
                <w:color w:val="auto"/>
              </w:rPr>
            </w:pPr>
            <w:r>
              <w:rPr>
                <w:rFonts w:ascii="Arial" w:cs="Arial" w:eastAsia="Arial" w:hAnsi="Arial"/>
                <w:sz w:val="13"/>
                <w:szCs w:val="13"/>
                <w:color w:val="auto"/>
              </w:rPr>
              <w:t>Electricity - Non-GAAP operating income (loss)</w:t>
            </w:r>
          </w:p>
        </w:tc>
        <w:tc>
          <w:tcPr>
            <w:tcW w:w="42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9,638</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(4,939)</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16,708</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(23,758)</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NON-GAAP OPERATING INCOME - GAS</w:t>
            </w: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2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Gas - GAAP operating income</w:t>
            </w: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15,741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23,836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44,075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73,889</w:t>
            </w:r>
          </w:p>
        </w:tc>
        <w:tc>
          <w:tcPr>
            <w:tcW w:w="0" w:type="dxa"/>
            <w:vAlign w:val="bottom"/>
          </w:tcPr>
          <w:p>
            <w:pPr>
              <w:spacing w:after="0"/>
              <w:rPr>
                <w:sz w:val="1"/>
                <w:szCs w:val="1"/>
                <w:color w:val="auto"/>
              </w:rPr>
            </w:pPr>
          </w:p>
        </w:tc>
      </w:tr>
      <w:tr>
        <w:trPr>
          <w:trHeight w:val="262"/>
        </w:trPr>
        <w:tc>
          <w:tcPr>
            <w:tcW w:w="4260" w:type="dxa"/>
            <w:vAlign w:val="bottom"/>
          </w:tcPr>
          <w:p>
            <w:pPr>
              <w:ind w:left="400"/>
              <w:spacing w:after="0"/>
              <w:rPr>
                <w:sz w:val="20"/>
                <w:szCs w:val="20"/>
                <w:color w:val="auto"/>
              </w:rPr>
            </w:pPr>
            <w:r>
              <w:rPr>
                <w:rFonts w:ascii="Arial" w:cs="Arial" w:eastAsia="Arial" w:hAnsi="Arial"/>
                <w:sz w:val="13"/>
                <w:szCs w:val="13"/>
                <w:color w:val="auto"/>
              </w:rPr>
              <w:t>Amortization of intangible assets</w:t>
            </w:r>
          </w:p>
        </w:tc>
        <w:tc>
          <w:tcPr>
            <w:tcW w:w="420" w:type="dxa"/>
            <w:vAlign w:val="bottom"/>
          </w:tcPr>
          <w:p>
            <w:pPr>
              <w:spacing w:after="0"/>
              <w:rPr>
                <w:sz w:val="22"/>
                <w:szCs w:val="22"/>
                <w:color w:val="auto"/>
              </w:rPr>
            </w:pPr>
          </w:p>
        </w:tc>
        <w:tc>
          <w:tcPr>
            <w:tcW w:w="1320" w:type="dxa"/>
            <w:vAlign w:val="bottom"/>
          </w:tcPr>
          <w:p>
            <w:pPr>
              <w:jc w:val="right"/>
              <w:ind w:right="77"/>
              <w:spacing w:after="0"/>
              <w:rPr>
                <w:sz w:val="20"/>
                <w:szCs w:val="20"/>
                <w:color w:val="auto"/>
              </w:rPr>
            </w:pPr>
            <w:r>
              <w:rPr>
                <w:rFonts w:ascii="Arial" w:cs="Arial" w:eastAsia="Arial" w:hAnsi="Arial"/>
                <w:sz w:val="13"/>
                <w:szCs w:val="13"/>
                <w:color w:val="auto"/>
              </w:rPr>
              <w:t>1,950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2,612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5,865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7,982</w:t>
            </w:r>
          </w:p>
        </w:tc>
        <w:tc>
          <w:tcPr>
            <w:tcW w:w="0" w:type="dxa"/>
            <w:vAlign w:val="bottom"/>
          </w:tcPr>
          <w:p>
            <w:pPr>
              <w:spacing w:after="0"/>
              <w:rPr>
                <w:sz w:val="1"/>
                <w:szCs w:val="1"/>
                <w:color w:val="auto"/>
              </w:rPr>
            </w:pPr>
          </w:p>
        </w:tc>
      </w:tr>
      <w:tr>
        <w:trPr>
          <w:trHeight w:val="272"/>
        </w:trPr>
        <w:tc>
          <w:tcPr>
            <w:tcW w:w="42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Restructuring</w:t>
            </w:r>
          </w:p>
        </w:tc>
        <w:tc>
          <w:tcPr>
            <w:tcW w:w="4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(619)</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241"/>
        </w:trPr>
        <w:tc>
          <w:tcPr>
            <w:tcW w:w="4260" w:type="dxa"/>
            <w:vAlign w:val="bottom"/>
          </w:tcPr>
          <w:p>
            <w:pPr>
              <w:ind w:left="280"/>
              <w:spacing w:after="0"/>
              <w:rPr>
                <w:sz w:val="20"/>
                <w:szCs w:val="20"/>
                <w:color w:val="auto"/>
              </w:rPr>
            </w:pPr>
            <w:r>
              <w:rPr>
                <w:rFonts w:ascii="Arial" w:cs="Arial" w:eastAsia="Arial" w:hAnsi="Arial"/>
                <w:sz w:val="13"/>
                <w:szCs w:val="13"/>
                <w:color w:val="auto"/>
              </w:rPr>
              <w:t>Gas - Non-GAAP operating income</w:t>
            </w: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17,072</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25,972</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48,637</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81,609</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NON-GAAP OPERATING INCOME - WATER</w:t>
            </w: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2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Water - GAAP operating income</w:t>
            </w: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14,290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19,157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10,876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60,319</w:t>
            </w:r>
          </w:p>
        </w:tc>
        <w:tc>
          <w:tcPr>
            <w:tcW w:w="0" w:type="dxa"/>
            <w:vAlign w:val="bottom"/>
          </w:tcPr>
          <w:p>
            <w:pPr>
              <w:spacing w:after="0"/>
              <w:rPr>
                <w:sz w:val="1"/>
                <w:szCs w:val="1"/>
                <w:color w:val="auto"/>
              </w:rPr>
            </w:pPr>
          </w:p>
        </w:tc>
      </w:tr>
      <w:tr>
        <w:trPr>
          <w:trHeight w:val="262"/>
        </w:trPr>
        <w:tc>
          <w:tcPr>
            <w:tcW w:w="4260" w:type="dxa"/>
            <w:vAlign w:val="bottom"/>
          </w:tcPr>
          <w:p>
            <w:pPr>
              <w:ind w:left="400"/>
              <w:spacing w:after="0"/>
              <w:rPr>
                <w:sz w:val="20"/>
                <w:szCs w:val="20"/>
                <w:color w:val="auto"/>
              </w:rPr>
            </w:pPr>
            <w:r>
              <w:rPr>
                <w:rFonts w:ascii="Arial" w:cs="Arial" w:eastAsia="Arial" w:hAnsi="Arial"/>
                <w:sz w:val="13"/>
                <w:szCs w:val="13"/>
                <w:color w:val="auto"/>
              </w:rPr>
              <w:t>Amortization of intangible assets</w:t>
            </w:r>
          </w:p>
        </w:tc>
        <w:tc>
          <w:tcPr>
            <w:tcW w:w="420" w:type="dxa"/>
            <w:vAlign w:val="bottom"/>
          </w:tcPr>
          <w:p>
            <w:pPr>
              <w:spacing w:after="0"/>
              <w:rPr>
                <w:sz w:val="22"/>
                <w:szCs w:val="22"/>
                <w:color w:val="auto"/>
              </w:rPr>
            </w:pPr>
          </w:p>
        </w:tc>
        <w:tc>
          <w:tcPr>
            <w:tcW w:w="1320" w:type="dxa"/>
            <w:vAlign w:val="bottom"/>
          </w:tcPr>
          <w:p>
            <w:pPr>
              <w:jc w:val="right"/>
              <w:ind w:right="77"/>
              <w:spacing w:after="0"/>
              <w:rPr>
                <w:sz w:val="20"/>
                <w:szCs w:val="20"/>
                <w:color w:val="auto"/>
              </w:rPr>
            </w:pPr>
            <w:r>
              <w:rPr>
                <w:rFonts w:ascii="Arial" w:cs="Arial" w:eastAsia="Arial" w:hAnsi="Arial"/>
                <w:sz w:val="13"/>
                <w:szCs w:val="13"/>
                <w:color w:val="auto"/>
              </w:rPr>
              <w:t>1,506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2,176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4,569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6,641</w:t>
            </w:r>
          </w:p>
        </w:tc>
        <w:tc>
          <w:tcPr>
            <w:tcW w:w="0" w:type="dxa"/>
            <w:vAlign w:val="bottom"/>
          </w:tcPr>
          <w:p>
            <w:pPr>
              <w:spacing w:after="0"/>
              <w:rPr>
                <w:sz w:val="1"/>
                <w:szCs w:val="1"/>
                <w:color w:val="auto"/>
              </w:rPr>
            </w:pPr>
          </w:p>
        </w:tc>
      </w:tr>
      <w:tr>
        <w:trPr>
          <w:trHeight w:val="278"/>
        </w:trPr>
        <w:tc>
          <w:tcPr>
            <w:tcW w:w="42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Restructuring</w:t>
            </w:r>
          </w:p>
        </w:tc>
        <w:tc>
          <w:tcPr>
            <w:tcW w:w="4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324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1,173</w:t>
            </w:r>
          </w:p>
        </w:tc>
        <w:tc>
          <w:tcPr>
            <w:tcW w:w="0" w:type="dxa"/>
            <w:vAlign w:val="bottom"/>
          </w:tcPr>
          <w:p>
            <w:pPr>
              <w:spacing w:after="0"/>
              <w:rPr>
                <w:sz w:val="1"/>
                <w:szCs w:val="1"/>
                <w:color w:val="auto"/>
              </w:rPr>
            </w:pPr>
          </w:p>
        </w:tc>
      </w:tr>
      <w:tr>
        <w:trPr>
          <w:trHeight w:val="264"/>
        </w:trPr>
        <w:tc>
          <w:tcPr>
            <w:tcW w:w="4260" w:type="dxa"/>
            <w:vAlign w:val="bottom"/>
          </w:tcPr>
          <w:p>
            <w:pPr>
              <w:ind w:left="400"/>
              <w:spacing w:after="0"/>
              <w:rPr>
                <w:sz w:val="20"/>
                <w:szCs w:val="20"/>
                <w:color w:val="auto"/>
              </w:rPr>
            </w:pPr>
            <w:r>
              <w:rPr>
                <w:rFonts w:ascii="Arial" w:cs="Arial" w:eastAsia="Arial" w:hAnsi="Arial"/>
                <w:sz w:val="13"/>
                <w:szCs w:val="13"/>
                <w:color w:val="auto"/>
              </w:rPr>
              <w:t>Acquisition-related expenses</w:t>
            </w:r>
          </w:p>
        </w:tc>
        <w:tc>
          <w:tcPr>
            <w:tcW w:w="420" w:type="dxa"/>
            <w:vAlign w:val="bottom"/>
          </w:tcPr>
          <w:p>
            <w:pPr>
              <w:spacing w:after="0"/>
              <w:rPr>
                <w:sz w:val="22"/>
                <w:szCs w:val="22"/>
                <w:color w:val="auto"/>
              </w:rPr>
            </w:pPr>
          </w:p>
        </w:tc>
        <w:tc>
          <w:tcPr>
            <w:tcW w:w="1320" w:type="dxa"/>
            <w:vAlign w:val="bottom"/>
          </w:tcPr>
          <w:p>
            <w:pPr>
              <w:jc w:val="right"/>
              <w:ind w:right="77"/>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42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Water - Non-GAAP operating income</w:t>
            </w:r>
          </w:p>
        </w:tc>
        <w:tc>
          <w:tcPr>
            <w:tcW w:w="420" w:type="dxa"/>
            <w:vAlign w:val="bottom"/>
            <w:tcBorders>
              <w:top w:val="single" w:sz="8" w:color="auto"/>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16,224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21,496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16,146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68,133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6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NON-GAAP OPERATING INCOME - CORPORATE UNALLOCATED</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260" w:type="dxa"/>
            <w:vAlign w:val="bottom"/>
          </w:tcPr>
          <w:p>
            <w:pPr>
              <w:ind w:left="280"/>
              <w:spacing w:after="0"/>
              <w:rPr>
                <w:sz w:val="20"/>
                <w:szCs w:val="20"/>
                <w:color w:val="auto"/>
              </w:rPr>
            </w:pPr>
            <w:r>
              <w:rPr>
                <w:rFonts w:ascii="Arial" w:cs="Arial" w:eastAsia="Arial" w:hAnsi="Arial"/>
                <w:sz w:val="13"/>
                <w:szCs w:val="13"/>
                <w:color w:val="auto"/>
              </w:rPr>
              <w:t>Corporate unallocated - GAAP operating loss</w:t>
            </w:r>
          </w:p>
        </w:tc>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(13,398)</w:t>
            </w:r>
          </w:p>
        </w:tc>
        <w:tc>
          <w:tcPr>
            <w:tcW w:w="120" w:type="dxa"/>
            <w:vAlign w:val="bottom"/>
          </w:tcPr>
          <w:p>
            <w:pPr>
              <w:spacing w:after="0"/>
              <w:rPr>
                <w:sz w:val="22"/>
                <w:szCs w:val="22"/>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(15,339)</w:t>
            </w:r>
          </w:p>
        </w:tc>
        <w:tc>
          <w:tcPr>
            <w:tcW w:w="120" w:type="dxa"/>
            <w:vAlign w:val="bottom"/>
          </w:tcPr>
          <w:p>
            <w:pPr>
              <w:spacing w:after="0"/>
              <w:rPr>
                <w:sz w:val="22"/>
                <w:szCs w:val="22"/>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(35,030)</w:t>
            </w:r>
          </w:p>
        </w:tc>
        <w:tc>
          <w:tcPr>
            <w:tcW w:w="120" w:type="dxa"/>
            <w:vAlign w:val="bottom"/>
          </w:tcPr>
          <w:p>
            <w:pPr>
              <w:spacing w:after="0"/>
              <w:rPr>
                <w:sz w:val="22"/>
                <w:szCs w:val="22"/>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(45,872)</w:t>
            </w:r>
          </w:p>
        </w:tc>
        <w:tc>
          <w:tcPr>
            <w:tcW w:w="0" w:type="dxa"/>
            <w:vAlign w:val="bottom"/>
          </w:tcPr>
          <w:p>
            <w:pPr>
              <w:spacing w:after="0"/>
              <w:rPr>
                <w:sz w:val="1"/>
                <w:szCs w:val="1"/>
                <w:color w:val="auto"/>
              </w:rPr>
            </w:pPr>
          </w:p>
        </w:tc>
      </w:tr>
      <w:tr>
        <w:trPr>
          <w:trHeight w:val="278"/>
        </w:trPr>
        <w:tc>
          <w:tcPr>
            <w:tcW w:w="42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Restructuring</w:t>
            </w:r>
          </w:p>
        </w:tc>
        <w:tc>
          <w:tcPr>
            <w:tcW w:w="4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2,250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5,422</w:t>
            </w:r>
          </w:p>
        </w:tc>
        <w:tc>
          <w:tcPr>
            <w:tcW w:w="0" w:type="dxa"/>
            <w:vAlign w:val="bottom"/>
          </w:tcPr>
          <w:p>
            <w:pPr>
              <w:spacing w:after="0"/>
              <w:rPr>
                <w:sz w:val="1"/>
                <w:szCs w:val="1"/>
                <w:color w:val="auto"/>
              </w:rPr>
            </w:pPr>
          </w:p>
        </w:tc>
      </w:tr>
      <w:tr>
        <w:trPr>
          <w:trHeight w:val="264"/>
        </w:trPr>
        <w:tc>
          <w:tcPr>
            <w:tcW w:w="4260" w:type="dxa"/>
            <w:vAlign w:val="bottom"/>
          </w:tcPr>
          <w:p>
            <w:pPr>
              <w:ind w:left="400"/>
              <w:spacing w:after="0"/>
              <w:rPr>
                <w:sz w:val="20"/>
                <w:szCs w:val="20"/>
                <w:color w:val="auto"/>
              </w:rPr>
            </w:pPr>
            <w:r>
              <w:rPr>
                <w:rFonts w:ascii="Arial" w:cs="Arial" w:eastAsia="Arial" w:hAnsi="Arial"/>
                <w:sz w:val="13"/>
                <w:szCs w:val="13"/>
                <w:color w:val="auto"/>
              </w:rPr>
              <w:t>Acquisition-related expenses</w:t>
            </w:r>
          </w:p>
        </w:tc>
        <w:tc>
          <w:tcPr>
            <w:tcW w:w="420" w:type="dxa"/>
            <w:vAlign w:val="bottom"/>
          </w:tcPr>
          <w:p>
            <w:pPr>
              <w:spacing w:after="0"/>
              <w:rPr>
                <w:sz w:val="22"/>
                <w:szCs w:val="22"/>
                <w:color w:val="auto"/>
              </w:rPr>
            </w:pPr>
          </w:p>
        </w:tc>
        <w:tc>
          <w:tcPr>
            <w:tcW w:w="1320" w:type="dxa"/>
            <w:vAlign w:val="bottom"/>
          </w:tcPr>
          <w:p>
            <w:pPr>
              <w:jc w:val="right"/>
              <w:ind w:right="7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42"/>
        </w:trPr>
        <w:tc>
          <w:tcPr>
            <w:tcW w:w="42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Corporate unallocated - Non-GAAP operating loss</w:t>
            </w:r>
          </w:p>
        </w:tc>
        <w:tc>
          <w:tcPr>
            <w:tcW w:w="420" w:type="dxa"/>
            <w:vAlign w:val="bottom"/>
            <w:tcBorders>
              <w:top w:val="single" w:sz="8" w:color="auto"/>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(11,133)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(40,403)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exposed to interest rate risk through our variable rate debt instruments. In May 2012, we entered into six forward starting pay-fixed, receive one-month LIBOR interest rate swaps. The interest rate swaps convert $200 million of our LIBOR-based debt from a floating LIBOR interest rate to a fixed interest rate of 1.00% (excluding the applicable margin on the debt) and are effective from July 31, 2013 to August 8, 2016.</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the weighted average interest rates at September 30, 2015. Weighted average variable rates in the table are based on implied forward rates in the Reuters U.S. dollar yield curve as of September 30, 2015 and our estimated leverage ratio, which determines our additional interest rate margin at September 30, 2015.</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0"/>
              </w:rPr>
              <w:t>Beyond 2019</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Fair Value</w:t>
            </w:r>
          </w:p>
        </w:tc>
      </w:tr>
      <w:tr>
        <w:trPr>
          <w:trHeight w:val="190"/>
        </w:trPr>
        <w:tc>
          <w:tcPr>
            <w:tcW w:w="2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76"/>
        </w:trPr>
        <w:tc>
          <w:tcPr>
            <w:tcW w:w="2340" w:type="dxa"/>
            <w:vAlign w:val="bottom"/>
          </w:tcPr>
          <w:p>
            <w:pPr>
              <w:ind w:left="40"/>
              <w:spacing w:after="0"/>
              <w:rPr>
                <w:sz w:val="20"/>
                <w:szCs w:val="20"/>
                <w:color w:val="auto"/>
              </w:rPr>
            </w:pPr>
            <w:r>
              <w:rPr>
                <w:rFonts w:ascii="Arial" w:cs="Arial" w:eastAsia="Arial" w:hAnsi="Arial"/>
                <w:sz w:val="14"/>
                <w:szCs w:val="14"/>
                <w:i w:val="1"/>
                <w:iCs w:val="1"/>
                <w:color w:val="auto"/>
              </w:rPr>
              <w:t>Variable Rate Debt</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3"/>
        </w:trPr>
        <w:tc>
          <w:tcPr>
            <w:tcW w:w="23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Principal: U.S. dollar term</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94"/>
        </w:trPr>
        <w:tc>
          <w:tcPr>
            <w:tcW w:w="23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loan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2,813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11,250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14,063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19,688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22,500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151,874</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222,188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222,177</w:t>
            </w:r>
          </w:p>
        </w:tc>
      </w:tr>
      <w:tr>
        <w:trPr>
          <w:trHeight w:val="264"/>
        </w:trPr>
        <w:tc>
          <w:tcPr>
            <w:tcW w:w="2340" w:type="dxa"/>
            <w:vAlign w:val="bottom"/>
          </w:tcPr>
          <w:p>
            <w:pPr>
              <w:ind w:left="620"/>
              <w:spacing w:after="0"/>
              <w:rPr>
                <w:sz w:val="20"/>
                <w:szCs w:val="20"/>
                <w:color w:val="auto"/>
              </w:rPr>
            </w:pPr>
            <w:r>
              <w:rPr>
                <w:rFonts w:ascii="Arial" w:cs="Arial" w:eastAsia="Arial" w:hAnsi="Arial"/>
                <w:sz w:val="14"/>
                <w:szCs w:val="14"/>
                <w:color w:val="auto"/>
              </w:rPr>
              <w:t>Average interest rate</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2.13 %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2.65 %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4.42%</w:t>
            </w: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2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157"/>
        </w:trPr>
        <w:tc>
          <w:tcPr>
            <w:tcW w:w="2340" w:type="dxa"/>
            <w:vAlign w:val="bottom"/>
          </w:tcPr>
          <w:p>
            <w:pPr>
              <w:ind w:left="620"/>
              <w:spacing w:after="0" w:line="157" w:lineRule="exact"/>
              <w:rPr>
                <w:sz w:val="20"/>
                <w:szCs w:val="20"/>
                <w:color w:val="auto"/>
              </w:rPr>
            </w:pPr>
            <w:r>
              <w:rPr>
                <w:rFonts w:ascii="Arial" w:cs="Arial" w:eastAsia="Arial" w:hAnsi="Arial"/>
                <w:sz w:val="14"/>
                <w:szCs w:val="14"/>
                <w:color w:val="auto"/>
              </w:rPr>
              <w:t>Principal: Multicurrency</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2340" w:type="dxa"/>
            <w:vAlign w:val="bottom"/>
          </w:tcPr>
          <w:p>
            <w:pPr>
              <w:ind w:left="620"/>
              <w:spacing w:after="0"/>
              <w:rPr>
                <w:sz w:val="20"/>
                <w:szCs w:val="20"/>
                <w:color w:val="auto"/>
              </w:rPr>
            </w:pPr>
            <w:r>
              <w:rPr>
                <w:rFonts w:ascii="Arial" w:cs="Arial" w:eastAsia="Arial" w:hAnsi="Arial"/>
                <w:sz w:val="14"/>
                <w:szCs w:val="14"/>
                <w:color w:val="auto"/>
              </w:rPr>
              <w:t>revolving line of credit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158,520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158,520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158,523</w:t>
            </w:r>
          </w:p>
        </w:tc>
      </w:tr>
      <w:tr>
        <w:trPr>
          <w:trHeight w:val="276"/>
        </w:trPr>
        <w:tc>
          <w:tcPr>
            <w:tcW w:w="23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Average interest rate</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70"/>
        </w:trPr>
        <w:tc>
          <w:tcPr>
            <w:tcW w:w="2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57"/>
        </w:trPr>
        <w:tc>
          <w:tcPr>
            <w:tcW w:w="2340" w:type="dxa"/>
            <w:vAlign w:val="bottom"/>
            <w:shd w:val="clear" w:color="auto" w:fill="CCEEFF"/>
          </w:tcPr>
          <w:p>
            <w:pPr>
              <w:ind w:left="620"/>
              <w:spacing w:after="0" w:line="157" w:lineRule="exact"/>
              <w:rPr>
                <w:sz w:val="20"/>
                <w:szCs w:val="20"/>
                <w:color w:val="auto"/>
              </w:rPr>
            </w:pPr>
            <w:r>
              <w:rPr>
                <w:rFonts w:ascii="Arial" w:cs="Arial" w:eastAsia="Arial" w:hAnsi="Arial"/>
                <w:sz w:val="14"/>
                <w:szCs w:val="14"/>
                <w:color w:val="auto"/>
              </w:rPr>
              <w:t>Interest rate swap on</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94"/>
        </w:trPr>
        <w:tc>
          <w:tcPr>
            <w:tcW w:w="23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LIBOR-based debt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64"/>
        </w:trPr>
        <w:tc>
          <w:tcPr>
            <w:tcW w:w="2340" w:type="dxa"/>
            <w:vAlign w:val="bottom"/>
          </w:tcPr>
          <w:p>
            <w:pPr>
              <w:ind w:left="380"/>
              <w:spacing w:after="0"/>
              <w:rPr>
                <w:sz w:val="20"/>
                <w:szCs w:val="20"/>
                <w:color w:val="auto"/>
              </w:rPr>
            </w:pPr>
            <w:r>
              <w:rPr>
                <w:rFonts w:ascii="Arial" w:cs="Arial" w:eastAsia="Arial" w:hAnsi="Arial"/>
                <w:sz w:val="14"/>
                <w:szCs w:val="14"/>
                <w:color w:val="auto"/>
              </w:rPr>
              <w:t>Average interest rate (Pay)</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2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Average interest rate (Receive)</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0.38 %</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0.77 %</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4"/>
        </w:trPr>
        <w:tc>
          <w:tcPr>
            <w:tcW w:w="2340" w:type="dxa"/>
            <w:vAlign w:val="bottom"/>
          </w:tcPr>
          <w:p>
            <w:pPr>
              <w:ind w:left="380"/>
              <w:spacing w:after="0"/>
              <w:rPr>
                <w:sz w:val="20"/>
                <w:szCs w:val="20"/>
                <w:color w:val="auto"/>
              </w:rPr>
            </w:pPr>
            <w:r>
              <w:rPr>
                <w:rFonts w:ascii="Arial" w:cs="Arial" w:eastAsia="Arial" w:hAnsi="Arial"/>
                <w:sz w:val="14"/>
                <w:szCs w:val="14"/>
                <w:color w:val="auto"/>
              </w:rPr>
              <w:t>Net/Spread</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September 30, 2015, we estimate that, if market interest rates average one percentage point higher in 2015 than in the table above, our financial results in 2015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 business in a number of countries. As a result, over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48% and 50% of total revenues for the three and nine months ended September 30, 2015 compared with 55% and 58% for the same respective periods in 2014.</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also exposed to foreign exchange risk when we enter into non-functional currency transactions, both intercompany and third party. At each period-end, non-functional currency monetary assets and liabilities are revalued, with the change recorded to other income (expense), net. We enter into monthly foreign exchange forward contracts (a total of 409 contracts were entered into during the nine months ended September 30, 2015) not designated for hedge accounting, with the intent to reduce earnings volatility associated with certain of these balances. The notional amounts of the contracts ranged from $118,000 to $22.0 million, offsetting our exposures from the euro, British pound, Canadian dollar, Australian dollar, Mexican peso, and various other currencies.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left="660" w:hanging="328"/>
        <w:spacing w:after="0" w:line="270"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At September 30, 2015, an evaluation was performed under the supervision and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participation of our management, including the Chief Executive Officer and Chief Financial Officer, of the effectiveness of the design and operation of our disclosure controls and procedures (as such term is defined in Rules 13a-15(e) and 15d-15(e)) under the Securities Exchange Act of 1934, as amended. Based on that evaluation, our management, including the Chief Executive Officer and Chief Financial Officer, concluded that as of September 30, 2015, our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7" w:lineRule="exact"/>
        <w:rPr>
          <w:rFonts w:ascii="Arial" w:cs="Arial" w:eastAsia="Arial" w:hAnsi="Arial"/>
          <w:sz w:val="17"/>
          <w:szCs w:val="17"/>
          <w:color w:val="auto"/>
        </w:rPr>
      </w:pPr>
    </w:p>
    <w:p>
      <w:pPr>
        <w:jc w:val="both"/>
        <w:ind w:left="660" w:hanging="328"/>
        <w:spacing w:after="0" w:line="273"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controls over financial reporting. </w:t>
      </w:r>
      <w:r>
        <w:rPr>
          <w:rFonts w:ascii="Arial" w:cs="Arial" w:eastAsia="Arial" w:hAnsi="Arial"/>
          <w:sz w:val="17"/>
          <w:szCs w:val="17"/>
          <w:color w:val="auto"/>
        </w:rPr>
        <w:t>In the ordinary course of business, we review our system of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currently upgrading our global enterprise resource software applications at our locations outside of the United States. We will continue to upgrade our financial applications in stages, and we believe the related changes to processes and internal controls will allow us to be more efficient and further enhance our internal control over financial reporting.</w:t>
      </w:r>
    </w:p>
    <w:p>
      <w:pPr>
        <w:spacing w:after="0" w:line="178" w:lineRule="exact"/>
        <w:rPr>
          <w:rFonts w:ascii="Arial" w:cs="Arial" w:eastAsia="Arial" w:hAnsi="Arial"/>
          <w:sz w:val="17"/>
          <w:szCs w:val="17"/>
          <w:color w:val="auto"/>
        </w:rPr>
      </w:pPr>
    </w:p>
    <w:p>
      <w:pPr>
        <w:jc w:val="both"/>
        <w:ind w:left="660"/>
        <w:spacing w:after="0" w:line="259" w:lineRule="auto"/>
        <w:rPr>
          <w:rFonts w:ascii="Arial" w:cs="Arial" w:eastAsia="Arial" w:hAnsi="Arial"/>
          <w:sz w:val="17"/>
          <w:szCs w:val="17"/>
          <w:color w:val="auto"/>
        </w:rPr>
      </w:pPr>
      <w:r>
        <w:rPr>
          <w:rFonts w:ascii="Arial" w:cs="Arial" w:eastAsia="Arial" w:hAnsi="Arial"/>
          <w:sz w:val="18"/>
          <w:szCs w:val="18"/>
          <w:color w:val="auto"/>
        </w:rPr>
        <w:t>Additionally, we have established a shared services center in Europe, and we are currently transitioning certain finance and accounting activities within our EMEA locations to the shared services center in a staged approach. The implementation of our shared services is ongoing, and we believe the related changes to processes and internal controls will allow us to be more efficient and further enhance our internal control over financial reporting.</w:t>
      </w:r>
    </w:p>
    <w:p>
      <w:pPr>
        <w:spacing w:after="0" w:line="186" w:lineRule="exact"/>
        <w:rPr>
          <w:rFonts w:ascii="Arial" w:cs="Arial" w:eastAsia="Arial" w:hAnsi="Arial"/>
          <w:sz w:val="17"/>
          <w:szCs w:val="17"/>
          <w:color w:val="auto"/>
        </w:rPr>
      </w:pPr>
    </w:p>
    <w:p>
      <w:pPr>
        <w:ind w:left="660" w:right="20"/>
        <w:spacing w:after="0" w:line="277" w:lineRule="auto"/>
        <w:rPr>
          <w:rFonts w:ascii="Arial" w:cs="Arial" w:eastAsia="Arial" w:hAnsi="Arial"/>
          <w:sz w:val="17"/>
          <w:szCs w:val="17"/>
          <w:color w:val="auto"/>
        </w:rPr>
      </w:pPr>
      <w:r>
        <w:rPr>
          <w:rFonts w:ascii="Arial" w:cs="Arial" w:eastAsia="Arial" w:hAnsi="Arial"/>
          <w:sz w:val="18"/>
          <w:szCs w:val="18"/>
          <w:color w:val="auto"/>
        </w:rPr>
        <w:t>There have been no other changes in our internal control over financial reporting during the three months ended September 30, 2015 that materially affected, or are reasonably likely to materially affect,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to risk factors during the third quarter of 2015 from those previously disclosed in Item 1A: "Risk Factors" of Part I of our Annual Report on Form 10-K for the fiscal year ended December 31, 2014, which was filed with the SEC on February 20, 2015.</w:t>
      </w:r>
    </w:p>
    <w:p>
      <w:pPr>
        <w:spacing w:after="0" w:line="329"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Issuer Repurchase of Equity Securities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information about our repurchases of our equity securities, based on settlement date, during the quarterly period ended September 30, 2015.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Maximum Dollar Value of</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Total Number of 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 Price Paid per</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Purchased Under the</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940" w:type="dxa"/>
            <w:vAlign w:val="bottom"/>
          </w:tcPr>
          <w:p>
            <w:pPr>
              <w:jc w:val="right"/>
              <w:ind w:right="459"/>
              <w:spacing w:after="0"/>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Share</w:t>
            </w:r>
            <w:r>
              <w:rPr>
                <w:rFonts w:ascii="Arial" w:cs="Arial" w:eastAsia="Arial" w:hAnsi="Arial"/>
                <w:sz w:val="21"/>
                <w:szCs w:val="21"/>
                <w:b w:val="1"/>
                <w:bCs w:val="1"/>
                <w:color w:val="auto"/>
                <w:w w:val="84"/>
                <w:vertAlign w:val="superscript"/>
              </w:rPr>
              <w:t>(2)</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Plans or Programs</w:t>
            </w:r>
          </w:p>
        </w:tc>
      </w:tr>
      <w:tr>
        <w:trPr>
          <w:trHeight w:val="231"/>
        </w:trPr>
        <w:tc>
          <w:tcPr>
            <w:tcW w:w="3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July 1 through July 31</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203,000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203,000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33,588</w:t>
            </w:r>
          </w:p>
        </w:tc>
      </w:tr>
      <w:tr>
        <w:trPr>
          <w:trHeight w:val="22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August 1 through August 31</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93,365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32.20</w:t>
            </w:r>
          </w:p>
        </w:tc>
        <w:tc>
          <w:tcPr>
            <w:tcW w:w="100" w:type="dxa"/>
            <w:vAlign w:val="bottom"/>
          </w:tcPr>
          <w:p>
            <w:pPr>
              <w:spacing w:after="0"/>
              <w:rPr>
                <w:sz w:val="19"/>
                <w:szCs w:val="19"/>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93,365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30,581</w:t>
            </w:r>
          </w:p>
        </w:tc>
      </w:tr>
      <w:tr>
        <w:trPr>
          <w:trHeight w:val="47"/>
        </w:trPr>
        <w:tc>
          <w:tcPr>
            <w:tcW w:w="3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1 through September 30</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86,038</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29.94</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86,038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28,005</w:t>
            </w:r>
          </w:p>
        </w:tc>
      </w:tr>
      <w:tr>
        <w:trPr>
          <w:trHeight w:val="244"/>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382,403</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31.62</w:t>
            </w:r>
          </w:p>
        </w:tc>
        <w:tc>
          <w:tcPr>
            <w:tcW w:w="100" w:type="dxa"/>
            <w:vAlign w:val="bottom"/>
          </w:tcPr>
          <w:p>
            <w:pPr>
              <w:spacing w:after="0"/>
              <w:rPr>
                <w:sz w:val="21"/>
                <w:szCs w:val="21"/>
                <w:color w:val="auto"/>
              </w:rPr>
            </w:pP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382,403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340" w:hanging="332"/>
        <w:spacing w:after="0" w:line="225" w:lineRule="auto"/>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On February 19, 2015, Itron's Board authorized a new repurchase program of up to $50 million of our common stock over a 12-month period beginning February 19, 2015. Repurchases are made in the open market or in privately negotiated transactions, and in accordance with applicable securities laws. No shares were purchased outside of this plan.</w:t>
      </w:r>
    </w:p>
    <w:p>
      <w:pPr>
        <w:spacing w:after="0" w:line="19"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Includes commissions.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Subsequent to September 30, 2015, we repurchased 88,266 shares of our common stock under the stock repurchase program authorized by the Board of Directors on February 19, 2015. The average price paid per share was $34.04</w:t>
      </w:r>
      <w:r>
        <w:rPr>
          <w:rFonts w:ascii="Arial" w:cs="Arial" w:eastAsia="Arial" w:hAnsi="Arial"/>
          <w:sz w:val="16"/>
          <w:szCs w:val="16"/>
          <w:color w:val="auto"/>
        </w:rPr>
        <w:t>.</w:t>
      </w:r>
    </w:p>
    <w:p>
      <w:pPr>
        <w:spacing w:after="0" w:line="30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third quarter of 2015 that was not reported.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9580" w:type="dxa"/>
            <w:vAlign w:val="bottom"/>
          </w:tcPr>
          <w:p>
            <w:pPr>
              <w:spacing w:after="0"/>
              <w:rPr>
                <w:sz w:val="18"/>
                <w:szCs w:val="18"/>
                <w:color w:val="auto"/>
              </w:rPr>
            </w:pPr>
          </w:p>
        </w:tc>
      </w:tr>
      <w:tr>
        <w:trPr>
          <w:trHeight w:val="234"/>
        </w:trPr>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561"/>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Computation of Ratio of Earnings to Fixed Charges. (filed with this report)</w:t>
            </w:r>
          </w:p>
        </w:tc>
      </w:tr>
      <w:tr>
        <w:trPr>
          <w:trHeight w:val="567"/>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958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r>
        <w:trPr>
          <w:trHeight w:val="486"/>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tcPr>
          <w:p>
            <w:pPr>
              <w:ind w:left="378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Arial" w:cs="Arial" w:eastAsia="Arial" w:hAnsi="Arial"/>
                <w:sz w:val="18"/>
                <w:szCs w:val="18"/>
                <w:color w:val="auto"/>
              </w:rPr>
              <w:t>ITRON, INC.</w:t>
            </w:r>
          </w:p>
        </w:tc>
      </w:tr>
      <w:tr>
        <w:trPr>
          <w:trHeight w:val="594"/>
        </w:trPr>
        <w:tc>
          <w:tcPr>
            <w:tcW w:w="3660" w:type="dxa"/>
            <w:vAlign w:val="bottom"/>
          </w:tcPr>
          <w:p>
            <w:pPr>
              <w:jc w:val="center"/>
              <w:spacing w:after="0"/>
              <w:rPr>
                <w:sz w:val="20"/>
                <w:szCs w:val="20"/>
                <w:color w:val="auto"/>
              </w:rPr>
            </w:pPr>
            <w:r>
              <w:rPr>
                <w:rFonts w:ascii="Arial" w:cs="Arial" w:eastAsia="Arial" w:hAnsi="Arial"/>
                <w:sz w:val="18"/>
                <w:szCs w:val="18"/>
                <w:color w:val="auto"/>
                <w:w w:val="91"/>
              </w:rPr>
              <w:t>November 4, 2015</w:t>
            </w:r>
          </w:p>
        </w:tc>
        <w:tc>
          <w:tcPr>
            <w:tcW w:w="1260" w:type="dxa"/>
            <w:vAlign w:val="bottom"/>
          </w:tcPr>
          <w:p>
            <w:pPr>
              <w:ind w:left="500"/>
              <w:spacing w:after="0"/>
              <w:rPr>
                <w:sz w:val="20"/>
                <w:szCs w:val="20"/>
                <w:color w:val="auto"/>
              </w:rPr>
            </w:pPr>
            <w:r>
              <w:rPr>
                <w:rFonts w:ascii="Arial" w:cs="Arial" w:eastAsia="Arial" w:hAnsi="Arial"/>
                <w:sz w:val="18"/>
                <w:szCs w:val="18"/>
                <w:color w:val="auto"/>
              </w:rPr>
              <w:t>By:</w:t>
            </w:r>
          </w:p>
        </w:tc>
        <w:tc>
          <w:tcPr>
            <w:tcW w:w="6500" w:type="dxa"/>
            <w:vAlign w:val="bottom"/>
          </w:tcPr>
          <w:p>
            <w:pPr>
              <w:jc w:val="center"/>
              <w:spacing w:after="0"/>
              <w:rPr>
                <w:sz w:val="20"/>
                <w:szCs w:val="20"/>
                <w:color w:val="auto"/>
              </w:rPr>
            </w:pPr>
            <w:r>
              <w:rPr>
                <w:rFonts w:ascii="Arial" w:cs="Arial" w:eastAsia="Arial" w:hAnsi="Arial"/>
                <w:sz w:val="18"/>
                <w:szCs w:val="18"/>
                <w:color w:val="auto"/>
                <w:w w:val="96"/>
              </w:rPr>
              <w:t>/s/ W. MARK SCHMITZ</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5"/>
              </w:rPr>
              <w:t>W. Mark Schmitz</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0"/>
              </w:rPr>
              <w:t>Executive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3200" w:type="dxa"/>
            <w:vAlign w:val="bottom"/>
          </w:tcPr>
          <w:p>
            <w:pPr>
              <w:spacing w:after="0"/>
              <w:rPr>
                <w:sz w:val="24"/>
                <w:szCs w:val="24"/>
                <w:color w:val="auto"/>
              </w:rPr>
            </w:pPr>
          </w:p>
        </w:tc>
        <w:tc>
          <w:tcPr>
            <w:tcW w:w="5620" w:type="dxa"/>
            <w:vAlign w:val="bottom"/>
            <w:gridSpan w:val="13"/>
          </w:tcPr>
          <w:p>
            <w:pPr>
              <w:spacing w:after="0"/>
              <w:rPr>
                <w:sz w:val="20"/>
                <w:szCs w:val="20"/>
                <w:color w:val="auto"/>
              </w:rPr>
            </w:pPr>
            <w:r>
              <w:rPr>
                <w:rFonts w:ascii="Arial" w:cs="Arial" w:eastAsia="Arial" w:hAnsi="Arial"/>
                <w:sz w:val="16"/>
                <w:szCs w:val="16"/>
                <w:b w:val="1"/>
                <w:bCs w:val="1"/>
                <w:color w:val="auto"/>
              </w:rPr>
              <w:t xml:space="preserve">COMPUTATION OF RATIO OF EARNINGS TO FIXED CHARGES </w:t>
            </w:r>
            <w:r>
              <w:rPr>
                <w:rFonts w:ascii="Arial" w:cs="Arial" w:eastAsia="Arial" w:hAnsi="Arial"/>
                <w:sz w:val="21"/>
                <w:szCs w:val="21"/>
                <w:b w:val="1"/>
                <w:bCs w:val="1"/>
                <w:color w:val="auto"/>
                <w:vertAlign w:val="superscript"/>
              </w:rPr>
              <w:t>(1)</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5"/>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58"/>
              <w:spacing w:after="0"/>
              <w:rPr>
                <w:sz w:val="20"/>
                <w:szCs w:val="20"/>
                <w:color w:val="auto"/>
              </w:rPr>
            </w:pPr>
            <w:r>
              <w:rPr>
                <w:rFonts w:ascii="Arial" w:cs="Arial" w:eastAsia="Arial" w:hAnsi="Arial"/>
                <w:sz w:val="16"/>
                <w:szCs w:val="16"/>
                <w:b w:val="1"/>
                <w:bCs w:val="1"/>
                <w:color w:val="auto"/>
                <w:w w:val="93"/>
              </w:rPr>
              <w:t>Nine Months</w:t>
            </w: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Ended</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8"/>
              <w:spacing w:after="0"/>
              <w:rPr>
                <w:sz w:val="20"/>
                <w:szCs w:val="20"/>
                <w:color w:val="auto"/>
              </w:rPr>
            </w:pPr>
            <w:r>
              <w:rPr>
                <w:rFonts w:ascii="Arial" w:cs="Arial" w:eastAsia="Arial" w:hAnsi="Arial"/>
                <w:sz w:val="16"/>
                <w:szCs w:val="16"/>
                <w:b w:val="1"/>
                <w:bCs w:val="1"/>
                <w:color w:val="auto"/>
                <w:w w:val="95"/>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2010</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5"/>
          </w:tcPr>
          <w:p>
            <w:pPr>
              <w:ind w:left="100"/>
              <w:spacing w:after="0"/>
              <w:rPr>
                <w:sz w:val="20"/>
                <w:szCs w:val="20"/>
                <w:color w:val="auto"/>
              </w:rPr>
            </w:pPr>
            <w:r>
              <w:rPr>
                <w:rFonts w:ascii="Arial" w:cs="Arial" w:eastAsia="Arial" w:hAnsi="Arial"/>
                <w:sz w:val="16"/>
                <w:szCs w:val="16"/>
                <w:b w:val="1"/>
                <w:bCs w:val="1"/>
                <w:color w:val="auto"/>
              </w:rPr>
              <w:t>(in thousands, except ratios)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Pre-tax income (loss)</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24,897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(148,254)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136,219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(501,766)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124,445</w:t>
            </w: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w w:val="92"/>
              </w:rPr>
              <w:t>Add: dividends received from equity investees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163</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noncontrolling 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(3,701)</w:t>
            </w: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Less: income from equity investees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(614)</w:t>
            </w: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3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22,848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(150,720)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134,324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(506,237)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120,293</w:t>
            </w:r>
          </w:p>
        </w:tc>
      </w:tr>
      <w:tr>
        <w:trPr>
          <w:trHeight w:val="297"/>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charges:</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Interest expense, gross</w:t>
            </w:r>
            <w:r>
              <w:rPr>
                <w:rFonts w:ascii="Arial" w:cs="Arial" w:eastAsia="Arial" w:hAnsi="Arial"/>
                <w:sz w:val="21"/>
                <w:szCs w:val="21"/>
                <w:color w:val="auto"/>
                <w:vertAlign w:val="superscript"/>
              </w:rPr>
              <w:t>(3)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9,336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11,602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10,686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10,115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36,794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54,904</w:t>
            </w: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portion of rent expense</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4,095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5,125</w:t>
            </w:r>
          </w:p>
        </w:tc>
      </w:tr>
      <w:tr>
        <w:trPr>
          <w:trHeight w:val="291"/>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 Fixed charges</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13,431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17,337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60,029</w:t>
            </w:r>
          </w:p>
        </w:tc>
      </w:tr>
      <w:tr>
        <w:trPr>
          <w:trHeight w:val="291"/>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 Earnings for ratio</w:t>
            </w:r>
            <w:r>
              <w:rPr>
                <w:rFonts w:ascii="Arial" w:cs="Arial" w:eastAsia="Arial" w:hAnsi="Arial"/>
                <w:sz w:val="21"/>
                <w:szCs w:val="21"/>
                <w:color w:val="auto"/>
                <w:vertAlign w:val="superscript"/>
              </w:rPr>
              <w:t>(4)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36,279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2,566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(133,383)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150,901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(462,588)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180,322</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Earnings to fixed charges (b/a)</w:t>
            </w:r>
            <w:r>
              <w:rPr>
                <w:rFonts w:ascii="Arial" w:cs="Arial" w:eastAsia="Arial" w:hAnsi="Arial"/>
                <w:sz w:val="21"/>
                <w:szCs w:val="21"/>
                <w:color w:val="auto"/>
                <w:vertAlign w:val="superscript"/>
              </w:rPr>
              <w:t>(5)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ind w:left="600"/>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23"/>
                <w:szCs w:val="23"/>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gridSpan w:val="2"/>
          </w:tcPr>
          <w:p>
            <w:pPr>
              <w:ind w:left="54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97"/>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Deficit of earnings to fixed charges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760"/>
              <w:spacing w:after="0"/>
              <w:rPr>
                <w:sz w:val="20"/>
                <w:szCs w:val="20"/>
                <w:color w:val="auto"/>
              </w:rPr>
            </w:pPr>
            <w:r>
              <w:rPr>
                <w:rFonts w:ascii="Arial" w:cs="Arial" w:eastAsia="Arial" w:hAnsi="Arial"/>
                <w:sz w:val="16"/>
                <w:szCs w:val="16"/>
                <w:color w:val="auto"/>
              </w:rPr>
              <w:t>N/A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(15,868)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(150,720)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N/A</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(506,237)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N/A</w:t>
            </w:r>
          </w:p>
        </w:tc>
      </w:tr>
    </w:tbl>
    <w:p>
      <w:pPr>
        <w:spacing w:after="0" w:line="235" w:lineRule="exact"/>
        <w:rPr>
          <w:sz w:val="20"/>
          <w:szCs w:val="20"/>
          <w:color w:val="auto"/>
        </w:rPr>
      </w:pPr>
    </w:p>
    <w:p>
      <w:pPr>
        <w:ind w:left="340" w:hanging="332"/>
        <w:spacing w:after="0" w:line="216"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We had no preferred stock outstanding for any period presented and accordingly our ratio of earnings to combined fixed charges and preferred stock dividends is the same as our ratio of earnings to fixed charges for all periods presented.</w:t>
      </w:r>
    </w:p>
    <w:p>
      <w:pPr>
        <w:spacing w:after="0" w:line="203"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Fixed charges </w:t>
      </w:r>
      <w:r>
        <w:rPr>
          <w:rFonts w:ascii="Arial" w:cs="Arial" w:eastAsia="Arial" w:hAnsi="Arial"/>
          <w:sz w:val="18"/>
          <w:szCs w:val="18"/>
          <w:color w:val="auto"/>
        </w:rPr>
        <w:t>consist of interest on indebtedness and amortization of debt issuance costs plus that portion of lease rental expense representative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factor.</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i w:val="1"/>
          <w:iCs w:val="1"/>
          <w:color w:val="auto"/>
        </w:rPr>
        <w:t>Interest expense, gross</w:t>
      </w:r>
      <w:r>
        <w:rPr>
          <w:rFonts w:ascii="Arial" w:cs="Arial" w:eastAsia="Arial" w:hAnsi="Arial"/>
          <w:sz w:val="18"/>
          <w:szCs w:val="18"/>
          <w:color w:val="auto"/>
        </w:rPr>
        <w:t>, includes amortization of prepaid debt fees.</w:t>
      </w:r>
    </w:p>
    <w:p>
      <w:pPr>
        <w:spacing w:after="0" w:line="20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for ratio </w:t>
      </w:r>
      <w:r>
        <w:rPr>
          <w:rFonts w:ascii="Arial" w:cs="Arial" w:eastAsia="Arial" w:hAnsi="Arial"/>
          <w:sz w:val="18"/>
          <w:szCs w:val="18"/>
          <w:color w:val="auto"/>
        </w:rPr>
        <w:t>consists of income (loss) from continuing operations before income taxes, plus dividends received from equity method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less income from equity investees, less income attributable to noncontrolling interests.</w:t>
      </w:r>
    </w:p>
    <w:p>
      <w:pPr>
        <w:spacing w:after="0" w:line="192" w:lineRule="exact"/>
        <w:rPr>
          <w:rFonts w:ascii="Arial" w:cs="Arial" w:eastAsia="Arial" w:hAnsi="Arial"/>
          <w:sz w:val="25"/>
          <w:szCs w:val="25"/>
          <w:color w:val="auto"/>
          <w:vertAlign w:val="superscript"/>
        </w:rPr>
      </w:pPr>
    </w:p>
    <w:p>
      <w:pPr>
        <w:ind w:left="180" w:hanging="172"/>
        <w:spacing w:after="0"/>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Earnings to fixed charges ratio </w:t>
      </w:r>
      <w:r>
        <w:rPr>
          <w:rFonts w:ascii="Arial" w:cs="Arial" w:eastAsia="Arial" w:hAnsi="Arial"/>
          <w:sz w:val="15"/>
          <w:szCs w:val="15"/>
          <w:color w:val="auto"/>
        </w:rPr>
        <w:t>is not calculated for years with a</w:t>
      </w:r>
      <w:r>
        <w:rPr>
          <w:rFonts w:ascii="Arial" w:cs="Arial" w:eastAsia="Arial" w:hAnsi="Arial"/>
          <w:sz w:val="15"/>
          <w:szCs w:val="15"/>
          <w:i w:val="1"/>
          <w:iCs w:val="1"/>
          <w:color w:val="auto"/>
        </w:rPr>
        <w:t xml:space="preserve"> Deficit of earnings to fixed charges </w:t>
      </w:r>
      <w:r>
        <w:rPr>
          <w:rFonts w:ascii="Arial" w:cs="Arial" w:eastAsia="Arial" w:hAnsi="Arial"/>
          <w:sz w:val="15"/>
          <w:szCs w:val="15"/>
          <w:color w:val="auto"/>
        </w:rPr>
        <w:t>amount as the ratio is less than 1:1.</w:t>
      </w:r>
    </w:p>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21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54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9"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2015</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 Mark Schmitz, certify that:</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W. Mark Schmitz</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2015</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September 30, 2015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Philip C. Mezey, the Chief Executive Officer and W. Mark Schmitz, the Chief Financial Officer of the Company, each certifies that to the best of his knowledge:</w:t>
      </w:r>
    </w:p>
    <w:p>
      <w:pPr>
        <w:spacing w:after="0" w:line="170" w:lineRule="exact"/>
        <w:rPr>
          <w:sz w:val="20"/>
          <w:szCs w:val="20"/>
          <w:color w:val="auto"/>
        </w:rPr>
      </w:pPr>
    </w:p>
    <w:p>
      <w:pPr>
        <w:ind w:left="880" w:hanging="46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November 4, 2015</w:t>
      </w:r>
    </w:p>
    <w:p>
      <w:pPr>
        <w:spacing w:after="0" w:line="31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W. Mark Schmitz</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November 4, 2015</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2"/>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2"/>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2019-12-29T15:36:52Z</dcterms:created>
  <dcterms:modified xsi:type="dcterms:W3CDTF">2019-12-29T15:36:52Z</dcterms:modified>
</cp:coreProperties>
</file>