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____________________________</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9"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September 15,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2616200</wp:posOffset>
            </wp:positionH>
            <wp:positionV relativeFrom="paragraph">
              <wp:posOffset>31115</wp:posOffset>
            </wp:positionV>
            <wp:extent cx="21266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1638935</wp:posOffset>
            </wp:positionH>
            <wp:positionV relativeFrom="paragraph">
              <wp:posOffset>31115</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1240" w:type="dxa"/>
        <w:tblCellMar>
          <w:top w:w="0" w:type="dxa"/>
          <w:left w:w="0" w:type="dxa"/>
          <w:bottom w:w="0" w:type="dxa"/>
          <w:right w:w="0" w:type="dxa"/>
        </w:tblCellMar>
      </w:tblPr>
      <w:tr>
        <w:trPr>
          <w:trHeight w:val="256"/>
        </w:trPr>
        <w:tc>
          <w:tcPr>
            <w:tcW w:w="31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7"/>
              </w:rPr>
              <w:t>Washington</w:t>
            </w:r>
          </w:p>
        </w:tc>
        <w:tc>
          <w:tcPr>
            <w:tcW w:w="2780" w:type="dxa"/>
            <w:vAlign w:val="bottom"/>
          </w:tcPr>
          <w:p>
            <w:pPr>
              <w:jc w:val="right"/>
              <w:ind w:right="86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r>
      <w:tr>
        <w:trPr>
          <w:trHeight w:val="23"/>
        </w:trPr>
        <w:tc>
          <w:tcPr>
            <w:tcW w:w="2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3"/>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(State or Other Jurisdiction</w:t>
            </w:r>
          </w:p>
        </w:tc>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of Incorporation)</w:t>
            </w:r>
          </w:p>
        </w:tc>
        <w:tc>
          <w:tcPr>
            <w:tcW w:w="304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(Commission File No.)</w:t>
            </w:r>
          </w:p>
        </w:tc>
        <w:tc>
          <w:tcPr>
            <w:tcW w:w="27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bl>
    <w:p>
      <w:pPr>
        <w:spacing w:after="0" w:line="37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31115</wp:posOffset>
            </wp:positionV>
            <wp:extent cx="5986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(Address of Principal Executive Offices, Zip Code)</w:t>
      </w:r>
    </w:p>
    <w:p>
      <w:pPr>
        <w:spacing w:after="0" w:line="39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31115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456565</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59" w:lineRule="exact"/>
        <w:rPr>
          <w:sz w:val="24"/>
          <w:szCs w:val="24"/>
          <w:color w:val="auto"/>
        </w:rPr>
      </w:pPr>
    </w:p>
    <w:p>
      <w:pPr>
        <w:ind w:left="20"/>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spacing w:after="0"/>
        <w:rPr>
          <w:sz w:val="20"/>
          <w:szCs w:val="20"/>
          <w:color w:val="auto"/>
        </w:rPr>
      </w:pPr>
      <w:r>
        <w:rPr>
          <w:rFonts w:ascii="Arial" w:cs="Arial" w:eastAsia="Arial" w:hAnsi="Arial"/>
          <w:sz w:val="20"/>
          <w:szCs w:val="20"/>
          <w:color w:val="auto"/>
        </w:rPr>
        <w:t>[ ] Written communications pursuant to Rule 425 under Securities Act (17 CFR 230.425)</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 ] Soliciting material pursuant to Rule 14a-12 under the Exchange Act (17 CFR 240.14a-12)</w:t>
      </w:r>
    </w:p>
    <w:p>
      <w:pPr>
        <w:ind w:left="120" w:hanging="119"/>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ind w:left="120" w:hanging="119"/>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ectPr>
          <w:pgSz w:w="11900" w:h="16838" w:orient="portrait"/>
          <w:cols w:equalWidth="0" w:num="1">
            <w:col w:w="11440"/>
          </w:cols>
          <w:pgMar w:left="220" w:top="693" w:right="239" w:bottom="1440" w:gutter="0" w:footer="0" w:header="0"/>
        </w:sectPr>
      </w:pPr>
    </w:p>
    <w:bookmarkStart w:id="1" w:name="page2"/>
    <w:bookmarkEnd w:id="1"/>
    <w:p>
      <w:pPr>
        <w:jc w:val="both"/>
        <w:ind w:left="130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September 15, 2011, the Board of Directors (the Board) of Itron, Inc. (the Company) approved the amended and restated Executive Deferred Compensation Plan (the Amended Plan). The Amended Plan will be effective January 1, 2012.</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Executive officers and certain highly compensated employees (Employee Participants) may continue to defer up to 50% of their base salary and 50% of their annual incentive compensation to a non-qualified account, and the Amended Plan permits Employee Participants to defer up to 50% of their Restricted Stock Units granted and earned on or after January 1, 2012.</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Matching contributions under the Amended Plan are limited to the amount of the Employee Participants' deferred salary and incentive compensation that exceeds the annual salary limit under Section 401(a)(17) of the Internal Revenue Code. A three-year graded vesting period will apply to matching contributions made by the Company after January 1, 2012.</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Amended Plan permits non-employee members of the Board to participate and to defer up to 100% of their cash and equity compensation to a non-qualified account.</w:t>
      </w:r>
    </w:p>
    <w:p>
      <w:pPr>
        <w:spacing w:after="0" w:line="387"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September 15, 2011, the Board approved an amendment to the Company's 401(k) plan to provide three-year graded vesting for matching contributions made by the Company to participants' accounts after January 1, 2012.</w:t>
      </w:r>
    </w:p>
    <w:p>
      <w:pPr>
        <w:sectPr>
          <w:pgSz w:w="11900" w:h="16838" w:orient="portrait"/>
          <w:cols w:equalWidth="0" w:num="1">
            <w:col w:w="11420"/>
          </w:cols>
          <w:pgMar w:left="240" w:top="792"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39" w:lineRule="exact"/>
        <w:rPr>
          <w:sz w:val="20"/>
          <w:szCs w:val="20"/>
          <w:color w:val="auto"/>
        </w:rPr>
      </w:pPr>
    </w:p>
    <w:tbl>
      <w:tblPr>
        <w:tblLayout w:type="fixed"/>
        <w:tblInd w:w="1120" w:type="dxa"/>
        <w:tblCellMar>
          <w:top w:w="0" w:type="dxa"/>
          <w:left w:w="0" w:type="dxa"/>
          <w:bottom w:w="0" w:type="dxa"/>
          <w:right w:w="0" w:type="dxa"/>
        </w:tblCellMar>
      </w:tblPr>
      <w:tr>
        <w:trPr>
          <w:trHeight w:val="250"/>
        </w:trPr>
        <w:tc>
          <w:tcPr>
            <w:tcW w:w="394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Arial" w:cs="Arial" w:eastAsia="Arial" w:hAnsi="Arial"/>
                <w:sz w:val="20"/>
                <w:szCs w:val="20"/>
                <w:color w:val="auto"/>
                <w:w w:val="97"/>
              </w:rPr>
              <w:t>ITRON, INC.</w:t>
            </w:r>
          </w:p>
        </w:tc>
      </w:tr>
      <w:tr>
        <w:trPr>
          <w:trHeight w:val="608"/>
        </w:trPr>
        <w:tc>
          <w:tcPr>
            <w:tcW w:w="3940" w:type="dxa"/>
            <w:vAlign w:val="bottom"/>
          </w:tcPr>
          <w:p>
            <w:pPr>
              <w:ind w:left="3340"/>
              <w:spacing w:after="0"/>
              <w:rPr>
                <w:sz w:val="20"/>
                <w:szCs w:val="20"/>
                <w:color w:val="auto"/>
              </w:rPr>
            </w:pPr>
            <w:r>
              <w:rPr>
                <w:rFonts w:ascii="Arial" w:cs="Arial" w:eastAsia="Arial" w:hAnsi="Arial"/>
                <w:sz w:val="18"/>
                <w:szCs w:val="18"/>
                <w:color w:val="auto"/>
              </w:rPr>
              <w:t>By:</w:t>
            </w:r>
          </w:p>
        </w:tc>
        <w:tc>
          <w:tcPr>
            <w:tcW w:w="5260" w:type="dxa"/>
            <w:vAlign w:val="bottom"/>
          </w:tcPr>
          <w:p>
            <w:pPr>
              <w:jc w:val="center"/>
              <w:spacing w:after="0"/>
              <w:rPr>
                <w:sz w:val="20"/>
                <w:szCs w:val="20"/>
                <w:color w:val="auto"/>
              </w:rPr>
            </w:pPr>
            <w:r>
              <w:rPr>
                <w:rFonts w:ascii="Arial" w:cs="Arial" w:eastAsia="Arial" w:hAnsi="Arial"/>
                <w:sz w:val="20"/>
                <w:szCs w:val="20"/>
                <w:color w:val="auto"/>
                <w:w w:val="95"/>
              </w:rPr>
              <w:t>/s/ STEVEN M. HELMBRECHT</w:t>
            </w:r>
          </w:p>
        </w:tc>
      </w:tr>
      <w:tr>
        <w:trPr>
          <w:trHeight w:val="23"/>
        </w:trPr>
        <w:tc>
          <w:tcPr>
            <w:tcW w:w="394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54"/>
        </w:trPr>
        <w:tc>
          <w:tcPr>
            <w:tcW w:w="3940" w:type="dxa"/>
            <w:vAlign w:val="bottom"/>
          </w:tcPr>
          <w:p>
            <w:pPr>
              <w:spacing w:after="0"/>
              <w:rPr>
                <w:sz w:val="20"/>
                <w:szCs w:val="20"/>
                <w:color w:val="auto"/>
              </w:rPr>
            </w:pPr>
            <w:r>
              <w:rPr>
                <w:rFonts w:ascii="Arial" w:cs="Arial" w:eastAsia="Arial" w:hAnsi="Arial"/>
                <w:sz w:val="20"/>
                <w:szCs w:val="20"/>
                <w:color w:val="auto"/>
              </w:rPr>
              <w:t>Dated: September 20, 2011</w:t>
            </w:r>
          </w:p>
        </w:tc>
        <w:tc>
          <w:tcPr>
            <w:tcW w:w="5260" w:type="dxa"/>
            <w:vAlign w:val="bottom"/>
          </w:tcPr>
          <w:p>
            <w:pPr>
              <w:jc w:val="center"/>
              <w:spacing w:after="0"/>
              <w:rPr>
                <w:sz w:val="20"/>
                <w:szCs w:val="20"/>
                <w:color w:val="auto"/>
              </w:rPr>
            </w:pPr>
            <w:r>
              <w:rPr>
                <w:rFonts w:ascii="Arial" w:cs="Arial" w:eastAsia="Arial" w:hAnsi="Arial"/>
                <w:sz w:val="20"/>
                <w:szCs w:val="20"/>
                <w:color w:val="auto"/>
                <w:w w:val="90"/>
              </w:rPr>
              <w:t>Steven M. Helmbrecht</w:t>
            </w:r>
          </w:p>
        </w:tc>
      </w:tr>
      <w:tr>
        <w:trPr>
          <w:trHeight w:val="284"/>
        </w:trPr>
        <w:tc>
          <w:tcPr>
            <w:tcW w:w="394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20"/>
                <w:szCs w:val="20"/>
                <w:color w:val="auto"/>
                <w:w w:val="90"/>
              </w:rPr>
              <w:t>Sr. Vice President and Chief Financial Officer</w:t>
            </w:r>
          </w:p>
        </w:tc>
      </w:tr>
    </w:tbl>
    <w:p>
      <w:pPr>
        <w:spacing w:after="0" w:line="1" w:lineRule="exact"/>
        <w:rPr>
          <w:sz w:val="20"/>
          <w:szCs w:val="20"/>
          <w:color w:val="auto"/>
        </w:rPr>
      </w:pPr>
    </w:p>
    <w:sectPr>
      <w:pgSz w:w="11900" w:h="16838" w:orient="portrait"/>
      <w:cols w:equalWidth="0" w:num="1">
        <w:col w:w="11300"/>
      </w:cols>
      <w:pgMar w:left="240" w:top="10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2019-12-10T06:41:30Z</dcterms:created>
  <dcterms:modified xsi:type="dcterms:W3CDTF">2019-12-10T06:41:30Z</dcterms:modified>
</cp:coreProperties>
</file>