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9"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CB2C30"/>
        </w:rPr>
        <w:t>Itron, Inc.</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99060</wp:posOffset>
            </wp:positionV>
            <wp:extent cx="106299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445770"/>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28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1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7960" w:type="dxa"/>
            <w:vAlign w:val="bottom"/>
            <w:gridSpan w:val="5"/>
          </w:tcPr>
          <w:p>
            <w:pPr>
              <w:jc w:val="center"/>
              <w:ind w:right="309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tc>
      </w:tr>
      <w:tr>
        <w:trPr>
          <w:trHeight w:val="469"/>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31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40" w:type="dxa"/>
            <w:vAlign w:val="bottom"/>
            <w:tcBorders>
              <w:top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ITRI</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12b-2</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w:t>
            </w:r>
          </w:p>
        </w:tc>
        <w:tc>
          <w:tcPr>
            <w:tcW w:w="1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w:t>
            </w:r>
          </w:p>
        </w:tc>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Act.</w:t>
            </w:r>
          </w:p>
        </w:tc>
      </w:tr>
      <w:tr>
        <w:trPr>
          <w:trHeight w:val="301"/>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480" w:type="dxa"/>
            <w:vAlign w:val="bottom"/>
          </w:tcPr>
          <w:p>
            <w:pPr>
              <w:spacing w:after="0"/>
              <w:rPr>
                <w:sz w:val="24"/>
                <w:szCs w:val="24"/>
                <w:color w:val="auto"/>
              </w:rPr>
            </w:pP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24, 2026, there were outstanding 44,339,347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80" w:type="dxa"/>
            <w:vAlign w:val="bottom"/>
            <w:gridSpan w:val="3"/>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80" w:type="dxa"/>
            <w:vAlign w:val="bottom"/>
            <w:gridSpan w:val="3"/>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vMerge w:val="restart"/>
          </w:tcPr>
          <w:p>
            <w:pPr>
              <w:spacing w:after="0"/>
              <w:rPr>
                <w:sz w:val="24"/>
                <w:szCs w:val="24"/>
                <w:color w:val="auto"/>
              </w:rPr>
            </w:pPr>
          </w:p>
        </w:tc>
        <w:tc>
          <w:tcPr>
            <w:tcW w:w="102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vMerge w:val="continue"/>
          </w:tcPr>
          <w:p>
            <w:pPr>
              <w:spacing w:after="0"/>
              <w:rPr>
                <w:sz w:val="14"/>
                <w:szCs w:val="14"/>
                <w:color w:val="auto"/>
              </w:rPr>
            </w:pPr>
          </w:p>
        </w:tc>
        <w:tc>
          <w:tcPr>
            <w:tcW w:w="10200" w:type="dxa"/>
            <w:vAlign w:val="bottom"/>
            <w:gridSpan w:val="18"/>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8"/>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(Unaudited)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0" w:type="dxa"/>
            <w:vAlign w:val="bottom"/>
            <w:gridSpan w:val="6"/>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5480" w:type="dxa"/>
            <w:vAlign w:val="bottom"/>
            <w:gridSpan w:val="3"/>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8"/>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8"/>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8"/>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vMerge w:val="restart"/>
          </w:tcPr>
          <w:p>
            <w:pPr>
              <w:spacing w:after="0"/>
              <w:rPr>
                <w:sz w:val="12"/>
                <w:szCs w:val="12"/>
                <w:color w:val="auto"/>
              </w:rPr>
            </w:pPr>
          </w:p>
        </w:tc>
        <w:tc>
          <w:tcPr>
            <w:tcW w:w="102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3"/>
        </w:trPr>
        <w:tc>
          <w:tcPr>
            <w:tcW w:w="60" w:type="dxa"/>
            <w:vAlign w:val="bottom"/>
            <w:vMerge w:val="continue"/>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7420" w:type="dxa"/>
            <w:vAlign w:val="bottom"/>
            <w:gridSpan w:val="10"/>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8"/>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8"/>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8"/>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8"/>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60" w:type="dxa"/>
            <w:vAlign w:val="bottom"/>
            <w:gridSpan w:val="19"/>
            <w:vMerge w:val="restart"/>
          </w:tcPr>
          <w:p>
            <w:pPr>
              <w:ind w:left="60"/>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6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0260" w:type="dxa"/>
            <w:vAlign w:val="bottom"/>
            <w:gridSpan w:val="19"/>
            <w:vMerge w:val="continue"/>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2"/>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2"/>
        </w:trPr>
        <w:tc>
          <w:tcPr>
            <w:tcW w:w="78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523,141</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Service revenues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84,010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607,151</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cost of revenues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346,442</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Service cost of revenues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389,932</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217,219</w:t>
            </w:r>
          </w:p>
        </w:tc>
        <w:tc>
          <w:tcPr>
            <w:tcW w:w="0" w:type="dxa"/>
            <w:vAlign w:val="bottom"/>
          </w:tcPr>
          <w:p>
            <w:pPr>
              <w:spacing w:after="0"/>
              <w:rPr>
                <w:sz w:val="1"/>
                <w:szCs w:val="1"/>
                <w:color w:val="auto"/>
              </w:rPr>
            </w:pPr>
          </w:p>
        </w:tc>
      </w:tr>
      <w:tr>
        <w:trPr>
          <w:trHeight w:val="256"/>
        </w:trPr>
        <w:tc>
          <w:tcPr>
            <w:tcW w:w="78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86,911</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sale of business</w:t>
            </w: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168,742</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141,006</w:t>
            </w:r>
          </w:p>
        </w:tc>
        <w:tc>
          <w:tcPr>
            <w:tcW w:w="0" w:type="dxa"/>
            <w:vAlign w:val="bottom"/>
          </w:tcPr>
          <w:p>
            <w:pPr>
              <w:spacing w:after="0"/>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36"/>
        </w:trPr>
        <w:tc>
          <w:tcPr>
            <w:tcW w:w="7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82,279</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(16,929)</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65,350</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Itron, Inc.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4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45,338</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46,172</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65,350</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0" w:type="dxa"/>
            <w:vAlign w:val="bottom"/>
          </w:tcPr>
          <w:p>
            <w:pPr>
              <w:spacing w:after="0"/>
              <w:rPr>
                <w:sz w:val="1"/>
                <w:szCs w:val="1"/>
                <w:color w:val="auto"/>
              </w:rPr>
            </w:pPr>
          </w:p>
        </w:tc>
      </w:tr>
      <w:tr>
        <w:trPr>
          <w:trHeight w:val="236"/>
        </w:trPr>
        <w:tc>
          <w:tcPr>
            <w:tcW w:w="7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78,898</w:t>
            </w:r>
          </w:p>
        </w:tc>
        <w:tc>
          <w:tcPr>
            <w:tcW w:w="0" w:type="dxa"/>
            <w:vAlign w:val="bottom"/>
          </w:tcPr>
          <w:p>
            <w:pPr>
              <w:spacing w:after="0"/>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 net of tax</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Itron, Inc.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687"/>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5940" w:type="dxa"/>
            <w:vAlign w:val="bottom"/>
            <w:gridSpan w:val="2"/>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60" w:type="dxa"/>
            <w:vAlign w:val="bottom"/>
          </w:tcPr>
          <w:p>
            <w:pPr>
              <w:spacing w:after="0"/>
              <w:rPr>
                <w:sz w:val="22"/>
                <w:szCs w:val="22"/>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8"/>
        </w:trPr>
        <w:tc>
          <w:tcPr>
            <w:tcW w:w="1280" w:type="dxa"/>
            <w:vAlign w:val="bottom"/>
            <w:tcBorders>
              <w:top w:val="single" w:sz="8" w:color="auto"/>
            </w:tcBorders>
          </w:tcPr>
          <w:p>
            <w:pPr>
              <w:spacing w:after="0"/>
              <w:rPr>
                <w:sz w:val="18"/>
                <w:szCs w:val="18"/>
                <w:color w:val="auto"/>
              </w:rPr>
            </w:pPr>
          </w:p>
        </w:tc>
        <w:tc>
          <w:tcPr>
            <w:tcW w:w="5480" w:type="dxa"/>
            <w:vAlign w:val="bottom"/>
            <w:tcBorders>
              <w:top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1,020,397</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367,794</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242,886</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191,241</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1,822,318</w:t>
            </w:r>
          </w:p>
        </w:tc>
      </w:tr>
      <w:tr>
        <w:trPr>
          <w:trHeight w:val="203"/>
        </w:trPr>
        <w:tc>
          <w:tcPr>
            <w:tcW w:w="67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112,193</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265,183</w:t>
            </w: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63,352</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29,341</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83,337</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1,695,003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1,344,983</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3,720,707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12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156,288</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58,864</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122,245</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debt, net</w:t>
            </w:r>
          </w:p>
        </w:tc>
        <w:tc>
          <w:tcPr>
            <w:tcW w:w="4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459,522</w:t>
            </w: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Unearned revenue</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187,822</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1,012,227</w:t>
            </w:r>
          </w:p>
        </w:tc>
      </w:tr>
      <w:tr>
        <w:trPr>
          <w:trHeight w:val="203"/>
        </w:trPr>
        <w:tc>
          <w:tcPr>
            <w:tcW w:w="6760" w:type="dxa"/>
            <w:vAlign w:val="bottom"/>
            <w:gridSpan w:val="2"/>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1,573,835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788,805</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warranty</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61,998</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19,623</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91,885</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2,349,256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1,982,511</w:t>
            </w:r>
          </w:p>
        </w:tc>
      </w:tr>
      <w:tr>
        <w:trPr>
          <w:trHeight w:val="203"/>
        </w:trPr>
        <w:tc>
          <w:tcPr>
            <w:tcW w:w="6760" w:type="dxa"/>
            <w:vAlign w:val="bottom"/>
            <w:gridSpan w:val="2"/>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4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7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no par value, 150,000 shares authorized, 44,322 and 44,929 shares</w:t>
            </w: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3"/>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issued and outstanding</w:t>
            </w:r>
          </w:p>
        </w:tc>
        <w:tc>
          <w:tcPr>
            <w:tcW w:w="4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1,511,342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1,661,350</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(56,505)</w:t>
            </w:r>
          </w:p>
        </w:tc>
      </w:tr>
      <w:tr>
        <w:trPr>
          <w:trHeight w:val="230"/>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111,751</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1,607,221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1,716,596</w:t>
            </w:r>
          </w:p>
        </w:tc>
      </w:tr>
      <w:tr>
        <w:trPr>
          <w:trHeight w:val="230"/>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21,600</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1,628,948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1,738,196</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3,978,204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3,720,707</w:t>
            </w:r>
          </w:p>
        </w:tc>
      </w:tr>
      <w:tr>
        <w:trPr>
          <w:trHeight w:val="20"/>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8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5"/>
                <w:szCs w:val="5"/>
                <w:color w:val="auto"/>
              </w:rPr>
            </w:pPr>
          </w:p>
        </w:tc>
        <w:tc>
          <w:tcPr>
            <w:tcW w:w="120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8"/>
        </w:trPr>
        <w:tc>
          <w:tcPr>
            <w:tcW w:w="2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2026</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1,661,350</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111,751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1,716,596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1,738,196</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53,586</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(12,826)</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20,070</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46"/>
        </w:trPr>
        <w:tc>
          <w:tcPr>
            <w:tcW w:w="28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Payments on call spread for convertible</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(70,373)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(70,373)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(70,373)</w:t>
            </w:r>
          </w:p>
        </w:tc>
        <w:tc>
          <w:tcPr>
            <w:tcW w:w="0" w:type="dxa"/>
            <w:vAlign w:val="bottom"/>
          </w:tcPr>
          <w:p>
            <w:pPr>
              <w:spacing w:after="0"/>
              <w:rPr>
                <w:sz w:val="1"/>
                <w:szCs w:val="1"/>
                <w:color w:val="auto"/>
              </w:rPr>
            </w:pPr>
          </w:p>
        </w:tc>
      </w:tr>
      <w:tr>
        <w:trPr>
          <w:trHeight w:val="19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offering, net of tax</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Excise tax related to shares repurchased</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21"/>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44,322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1,511,342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1,607,221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1,628,948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8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5"/>
                <w:szCs w:val="5"/>
                <w:color w:val="auto"/>
              </w:rPr>
            </w:pPr>
          </w:p>
        </w:tc>
        <w:tc>
          <w:tcPr>
            <w:tcW w:w="120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6"/>
        </w:trPr>
        <w:tc>
          <w:tcPr>
            <w:tcW w:w="2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2025</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1,689,835</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(189,304)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1,390,600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1,411,428</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65,350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13,548</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0" w:type="dxa"/>
            <w:vAlign w:val="bottom"/>
          </w:tcPr>
          <w:p>
            <w:pPr>
              <w:spacing w:after="0"/>
              <w:rPr>
                <w:sz w:val="1"/>
                <w:szCs w:val="1"/>
                <w:color w:val="auto"/>
              </w:rPr>
            </w:pPr>
          </w:p>
        </w:tc>
      </w:tr>
      <w:tr>
        <w:trPr>
          <w:trHeight w:val="190"/>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45,572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1,708,588</w:t>
            </w:r>
          </w:p>
        </w:tc>
        <w:tc>
          <w:tcPr>
            <w:tcW w:w="100" w:type="dxa"/>
            <w:vAlign w:val="bottom"/>
          </w:tcPr>
          <w:p>
            <w:pPr>
              <w:spacing w:after="0"/>
              <w:rPr>
                <w:sz w:val="16"/>
                <w:szCs w:val="16"/>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(96,383)</w:t>
            </w:r>
          </w:p>
        </w:tc>
        <w:tc>
          <w:tcPr>
            <w:tcW w:w="10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(123,830)</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1,488,375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20,704</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1,509,079</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53,586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65,350</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12,068</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taxes,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Loss on sale of business</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Restructuring, non-cash</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adjustments, net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 and sale of business: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6,414</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(10,099)</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10,529</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(48,692)</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Unearned revenue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18,041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39,113</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Restructuring</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(8,328)</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operating,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0" w:type="dxa"/>
            <w:vAlign w:val="bottom"/>
          </w:tcPr>
          <w:p>
            <w:pPr>
              <w:spacing w:after="0"/>
              <w:rPr>
                <w:sz w:val="1"/>
                <w:szCs w:val="1"/>
                <w:color w:val="auto"/>
              </w:rPr>
            </w:pPr>
          </w:p>
        </w:tc>
      </w:tr>
      <w:tr>
        <w:trPr>
          <w:trHeight w:val="189"/>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85,501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72,117</w:t>
            </w:r>
          </w:p>
        </w:tc>
        <w:tc>
          <w:tcPr>
            <w:tcW w:w="0" w:type="dxa"/>
            <w:vAlign w:val="bottom"/>
          </w:tcPr>
          <w:p>
            <w:pPr>
              <w:spacing w:after="0"/>
              <w:rPr>
                <w:sz w:val="1"/>
                <w:szCs w:val="1"/>
                <w:color w:val="auto"/>
              </w:rPr>
            </w:pPr>
          </w:p>
        </w:tc>
      </w:tr>
      <w:tr>
        <w:trPr>
          <w:trHeight w:val="115"/>
        </w:trPr>
        <w:tc>
          <w:tcPr>
            <w:tcW w:w="78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(515,055)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investing,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9"/>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(521,572)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(4,634)</w:t>
            </w:r>
          </w:p>
        </w:tc>
        <w:tc>
          <w:tcPr>
            <w:tcW w:w="0" w:type="dxa"/>
            <w:vAlign w:val="bottom"/>
          </w:tcPr>
          <w:p>
            <w:pPr>
              <w:spacing w:after="0"/>
              <w:rPr>
                <w:sz w:val="1"/>
                <w:szCs w:val="1"/>
                <w:color w:val="auto"/>
              </w:rPr>
            </w:pPr>
          </w:p>
        </w:tc>
      </w:tr>
      <w:tr>
        <w:trPr>
          <w:trHeight w:val="115"/>
        </w:trPr>
        <w:tc>
          <w:tcPr>
            <w:tcW w:w="78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805,000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on debt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on call spread for convertible offering</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debt fees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financing,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89"/>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131,420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0" w:type="dxa"/>
            <w:vAlign w:val="bottom"/>
          </w:tcPr>
          <w:p>
            <w:pPr>
              <w:spacing w:after="0"/>
              <w:rPr>
                <w:sz w:val="1"/>
                <w:szCs w:val="1"/>
                <w:color w:val="auto"/>
              </w:rPr>
            </w:pPr>
          </w:p>
        </w:tc>
      </w:tr>
      <w:tr>
        <w:trPr>
          <w:trHeight w:val="115"/>
        </w:trPr>
        <w:tc>
          <w:tcPr>
            <w:tcW w:w="78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72,030</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1,020,397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1,051,237</w:t>
            </w:r>
          </w:p>
        </w:tc>
        <w:tc>
          <w:tcPr>
            <w:tcW w:w="0" w:type="dxa"/>
            <w:vAlign w:val="bottom"/>
          </w:tcPr>
          <w:p>
            <w:pPr>
              <w:spacing w:after="0"/>
              <w:rPr>
                <w:sz w:val="1"/>
                <w:szCs w:val="1"/>
                <w:color w:val="auto"/>
              </w:rPr>
            </w:pPr>
          </w:p>
        </w:tc>
      </w:tr>
      <w:tr>
        <w:trPr>
          <w:trHeight w:val="22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712,850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1,123,267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Income taxes, net</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34,663</w:t>
            </w:r>
          </w:p>
        </w:tc>
        <w:tc>
          <w:tcPr>
            <w:tcW w:w="0" w:type="dxa"/>
            <w:vAlign w:val="bottom"/>
          </w:tcPr>
          <w:p>
            <w:pPr>
              <w:spacing w:after="0"/>
              <w:rPr>
                <w:sz w:val="1"/>
                <w:szCs w:val="1"/>
                <w:color w:val="auto"/>
              </w:rPr>
            </w:pPr>
          </w:p>
        </w:tc>
      </w:tr>
      <w:tr>
        <w:trPr>
          <w:trHeight w:val="195"/>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Interest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6,608</w:t>
            </w:r>
          </w:p>
        </w:tc>
        <w:tc>
          <w:tcPr>
            <w:tcW w:w="0" w:type="dxa"/>
            <w:vAlign w:val="bottom"/>
          </w:tcPr>
          <w:p>
            <w:pPr>
              <w:spacing w:after="0"/>
              <w:rPr>
                <w:sz w:val="1"/>
                <w:szCs w:val="1"/>
                <w:color w:val="auto"/>
              </w:rPr>
            </w:pPr>
          </w:p>
        </w:tc>
      </w:tr>
      <w:tr>
        <w:trPr>
          <w:trHeight w:val="115"/>
        </w:trPr>
        <w:tc>
          <w:tcPr>
            <w:tcW w:w="78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Non-cash operating, investing and financing activities: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tax effect of call spread offering</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for the three months ended March 31, 2026 and 2025, Consolidated Statements of Equity for the three months ended March 31, 2026 and 2025, the Consolidated Statements of Cash Flows for the three months ended March 31, 2026 and 2025, and the Consolidated Balance Sheets as of March 31, 2026 and December 31, 2025, of Itron, Inc. and its subsidiaries. All entries required for the fair presentation of the financial statements are of a normal recurring nature, except as disclosed. The results of operations for the three months ended March 31, 2026 are not necessarily indicative of the results expected for the full year or for any other period.</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2025 filed with the SEC in our Annual Report on Form 10-K on February 17, 2026 (2025 Annual Report). There have been no significant changes in financial statement preparation or significant accounting policies since December 31, 2025.</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may struggle to keep pace with rapidly changing demand. Temporary imbalance in supply and demand may create business uncertainties that include increased costs and lack of availability. Efforts continue with suppliers to improve supply resiliency, including the approval of alternative sources. Additionally, inflation in our raw materials and component costs, freight charges, sanctions, tariffs,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limited direct business exposure in areas with current conflict, such as Ukraine or Iran, military actions globally and any resulting sanctions or tariffs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military action, sanctions, tariffs, and resulting market and/or supply disruptions are impossible to predict but could be substantial, and our management continues to monitor these events closely</w:t>
      </w:r>
      <w:r>
        <w:rPr>
          <w:rFonts w:ascii="Times New Roman" w:cs="Times New Roman" w:eastAsia="Times New Roman" w:hAnsi="Times New Roman"/>
          <w:sz w:val="18"/>
          <w:szCs w:val="18"/>
          <w:color w:val="333333"/>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2024-04, </w:t>
      </w:r>
      <w:r>
        <w:rPr>
          <w:rFonts w:ascii="Times New Roman" w:cs="Times New Roman" w:eastAsia="Times New Roman" w:hAnsi="Times New Roman"/>
          <w:sz w:val="18"/>
          <w:szCs w:val="18"/>
          <w:i w:val="1"/>
          <w:iCs w:val="1"/>
          <w:color w:val="auto"/>
        </w:rPr>
        <w:t>Debt—Debt with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Options (Subtopic 470-20): Induced Conversions of Convertible Debt Instruments. </w:t>
      </w:r>
      <w:r>
        <w:rPr>
          <w:rFonts w:ascii="Times New Roman" w:cs="Times New Roman" w:eastAsia="Times New Roman" w:hAnsi="Times New Roman"/>
          <w:sz w:val="18"/>
          <w:szCs w:val="18"/>
          <w:color w:val="auto"/>
        </w:rPr>
        <w:t>The new guidance clarifies the accounting for modifications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conversion features when evaluating whether a transaction should be accounted for as an induced conversion or extinguishment of convertible debt. The ASU is effective for fiscal years beginning after December 15, 2025, including interim periods within those fiscal years. We will utilize this guidance for any future induced conversions or extinguishments of our convertible notes. At this time, we do not expect the adoption of this ASU to have a material impact on our consolidated financial statements.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which modernizes the internal-use software guidance that is accounted for under Subtopic 350-40.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eliminate the previous stage-based model (preliminary project stage, application development stage, and post-implementation stage) and replaces it with a principles-based approach that better aligns with modern software development practice, including agile and iterative methodologies. Under the new guidance, entities may begin capitalizing internal-use software development costs when (1) management has authorized and committed to funding the software project, and (2) it is probable that the project will be completed and the software will be used to perform the function intended. The Accounting Standards Codification (ASC) also supersedes the separate guidance on website development costs guidance and incorporate it into the internal-use software framework. Effective January 1, 2026, we early adopted ASU 2025-06 on a prospective basis for our fiscal year beginning January 1, 2026, including interim periods. We do not expect the guidance to have a material impact on our consolidated financial statements or related disclosures.</w:t>
      </w: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The new guidance is intended to enhance transparency and disclosures by requiring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entities to disclose additional information about specific expense categories in the notes to financial statements at interim and annual reporting periods. The FASB further clarified the effective date in January 2025 with the issuance of ASU 2025-01, </w:t>
      </w:r>
      <w:r>
        <w:rPr>
          <w:rFonts w:ascii="Times New Roman" w:cs="Times New Roman" w:eastAsia="Times New Roman" w:hAnsi="Times New Roman"/>
          <w:sz w:val="18"/>
          <w:szCs w:val="18"/>
          <w:i w:val="1"/>
          <w:iCs w:val="1"/>
          <w:color w:val="auto"/>
        </w:rPr>
        <w:t>Income Statement—Reporting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Income—Expense Disaggregation Disclosures (Subtopic 220-40): Clarifying the Effective Date. </w:t>
      </w:r>
      <w:r>
        <w:rPr>
          <w:rFonts w:ascii="Times New Roman" w:cs="Times New Roman" w:eastAsia="Times New Roman" w:hAnsi="Times New Roman"/>
          <w:sz w:val="18"/>
          <w:szCs w:val="18"/>
          <w:color w:val="auto"/>
        </w:rPr>
        <w:t>The ASU is effective for our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31, 2027, and for interim reporting periods beginning in the first quarter of 2028, with early adoption permitted. We are in the process of evaluating the impact that the adoption of this ASU will have on our consolidated financial statements and related disclosures.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Scope Refinements and Scope Clarification for Share-Based Noncash Consideration from a Customer in a Revenue Contract</w:t>
      </w:r>
      <w:r>
        <w:rPr>
          <w:rFonts w:ascii="Times New Roman" w:cs="Times New Roman" w:eastAsia="Times New Roman" w:hAnsi="Times New Roman"/>
          <w:sz w:val="18"/>
          <w:szCs w:val="18"/>
          <w:color w:val="auto"/>
        </w:rPr>
        <w:t>. The ASU adds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scope exception from derivative accounting for non-exchange-traded contracts with underlyings that are based on operations or activities specific to one of the parties to the contract. The ASU also clarifies that when an entity has a right to receive a share-based payment from its customer in exchange for the transfer of goods or services, the share-based payment should be accounted for as noncash consideration within the scope of ASC 606. ASU 2025-07 is effective for us beginning with our interim financial reports for the first quarter of 2027. This standard is not expected to have any significant impact on our results of operations, financial position, cash flow, or related disclosures.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December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which is intended to improve the navigability of the guidance in ASC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and clarify when it applies. Under the amendment, an entity is subject to ASC 270 if it provides interim financial statements and notes in accordance with GAAP. The amendment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our interim financial reports for the first quarter of 2028, with early adoption permitted. We are currently evaluating the impact this standard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65,474</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45,338</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convertible notes</w:t>
            </w: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3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45,470</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46,172</w:t>
            </w:r>
          </w:p>
        </w:tc>
        <w:tc>
          <w:tcPr>
            <w:tcW w:w="0" w:type="dxa"/>
            <w:vAlign w:val="bottom"/>
          </w:tcPr>
          <w:p>
            <w:pPr>
              <w:spacing w:after="0"/>
              <w:rPr>
                <w:sz w:val="1"/>
                <w:szCs w:val="1"/>
                <w:color w:val="auto"/>
              </w:rPr>
            </w:pPr>
          </w:p>
        </w:tc>
      </w:tr>
      <w:tr>
        <w:trPr>
          <w:trHeight w:val="23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4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120,000 and 16,000 stock-based awards were excluded from the calculation of diluted EPS for the three months ended March 31, 2026 and 2025 because they were anti-dilutive. These stock-based awards could be dilutive in future periods.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 and Share Hedges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Notes, Warrants and Call Option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conjunction with the issuance of our 2021 Notes, which were fully repaid on March 16, 2026,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months ended March 31, 2026, the quarterly average closing prices of our common stock did not exceed the warrant strike price, and therefore 3.7 million shares were considered anti-dilutive for GAAP. The warrants will fully expire in October 2026.</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 and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June 2024 (the 2024 Notes),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March 31, 2026 were used as the basis for determining the dilutive effect on EPS. The quarterly average closing prices for our common stock did not exceed the conversion price of $131.24, and therefore all associated shares were anti-dilutive.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(the 2024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 Exercise of the 2024 capped call transactions would reduce the number of shares of our common stock outstanding and therefore would be anti-dilutive.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2026 Notes and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February 2026 (the 2026 Notes),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March 31, 2026 were used as the basis for determining the dilutive effect on EPS. The quarterly average closing prices for our common stock did not exceed the conversion price of $123.77, and therefore all associated shares were anti-dilutive.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2026 Notes, we entered into privately negotiated capped call transactions (the 2026 capped call transactions) on our common stock with certain commercial banks. The 2026 capped call transactions cover, subject to anti-dilution adjustments substantially similar to those in the 2026 Notes, approximately 6.5 million shares of our common stock, the same number of shares initially underlying the convertible notes, at a strike price of approximately $123.77, subject to customary adjustments. The cap price of the 2026 capped call transactions will initially be $190.42 per share, which represents a premium of 100% over the last reported stock price per share of the Company's common stock on February 23, 2026, and is subject to certain adjustments under the terms of the 2026 capped call transactions. The 2026 capped call transactions will expire upon the maturity of the 2026 Notes, subject to earlier exercise or termination. Exercise of the 2026 capped call transactions would reduce the number of shares of our common stock outstanding and therefore would be anti-dilutive.</w:t>
      </w:r>
    </w:p>
    <w:p>
      <w:pPr>
        <w:spacing w:after="0" w:line="2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Accounts receivable, net</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9"/>
                <w:szCs w:val="19"/>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 of allowance of $1,157 and $1,113)</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362,785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342,491</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30,385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25,303</w:t>
            </w:r>
          </w:p>
        </w:tc>
      </w:tr>
      <w:tr>
        <w:trPr>
          <w:trHeight w:val="237"/>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367,794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Allowance for credit losses account activity</w:t>
            </w:r>
          </w:p>
        </w:tc>
        <w:tc>
          <w:tcPr>
            <w:tcW w:w="1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3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1,113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doubtful accounts, net</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recovered (written-off), net</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0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1,157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Inventories</w:t>
            </w:r>
          </w:p>
        </w:tc>
        <w:tc>
          <w:tcPr>
            <w:tcW w:w="1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67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300" w:type="dxa"/>
            <w:vAlign w:val="bottom"/>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20" w:type="dxa"/>
            <w:vAlign w:val="bottom"/>
          </w:tcPr>
          <w:p>
            <w:pPr>
              <w:spacing w:after="0"/>
              <w:rPr>
                <w:sz w:val="19"/>
                <w:szCs w:val="19"/>
                <w:color w:val="auto"/>
              </w:rPr>
            </w:pPr>
          </w:p>
        </w:tc>
        <w:tc>
          <w:tcPr>
            <w:tcW w:w="17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184,087</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184,727</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0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44,094</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44,617</w:t>
            </w:r>
          </w:p>
        </w:tc>
        <w:tc>
          <w:tcPr>
            <w:tcW w:w="0" w:type="dxa"/>
            <w:vAlign w:val="bottom"/>
          </w:tcPr>
          <w:p>
            <w:pPr>
              <w:spacing w:after="0"/>
              <w:rPr>
                <w:sz w:val="1"/>
                <w:szCs w:val="1"/>
                <w:color w:val="auto"/>
              </w:rPr>
            </w:pPr>
          </w:p>
        </w:tc>
      </w:tr>
      <w:tr>
        <w:trPr>
          <w:trHeight w:val="212"/>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239,892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242,886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Property, plant, and equipment, net</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9"/>
                <w:szCs w:val="19"/>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2"/>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312,479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310,271</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123,339</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107,254</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9,654</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19,226</w:t>
            </w:r>
          </w:p>
        </w:tc>
      </w:tr>
      <w:tr>
        <w:trPr>
          <w:trHeight w:val="207"/>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w:t>
            </w:r>
          </w:p>
        </w:tc>
        <w:tc>
          <w:tcPr>
            <w:tcW w:w="3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563,027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569,744</w:t>
            </w: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(440,801)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(457,551)</w:t>
            </w:r>
          </w:p>
        </w:tc>
      </w:tr>
      <w:tr>
        <w:trPr>
          <w:trHeight w:val="212"/>
        </w:trPr>
        <w:tc>
          <w:tcPr>
            <w:tcW w:w="67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122,226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112,193</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Depreciation expense</w:t>
            </w: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7,589</w:t>
            </w:r>
          </w:p>
        </w:tc>
      </w:tr>
    </w:tbl>
    <w:p>
      <w:pPr>
        <w:spacing w:after="0" w:line="3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tab/>
        <w:t>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our intangible assets, other than goodwill,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9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21,175</w:t>
            </w: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535,699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359,837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59,944</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0" w:type="dxa"/>
            <w:vAlign w:val="bottom"/>
          </w:tcPr>
          <w:p>
            <w:pPr>
              <w:spacing w:after="0"/>
              <w:rPr>
                <w:sz w:val="1"/>
                <w:szCs w:val="1"/>
                <w:color w:val="auto"/>
              </w:rPr>
            </w:pPr>
          </w:p>
        </w:tc>
      </w:tr>
      <w:tr>
        <w:trPr>
          <w:trHeight w:val="209"/>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643,393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(366,255)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277,138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442,081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(358,744)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83,337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22222"/>
        </w:rPr>
        <w:t xml:space="preserve">On January 5, 2026, we completed the acquisition of </w:t>
      </w:r>
      <w:r>
        <w:rPr>
          <w:rFonts w:ascii="Times New Roman" w:cs="Times New Roman" w:eastAsia="Times New Roman" w:hAnsi="Times New Roman"/>
          <w:sz w:val="18"/>
          <w:szCs w:val="18"/>
          <w:color w:val="000000"/>
        </w:rPr>
        <w:t>100%</w:t>
      </w:r>
      <w:r>
        <w:rPr>
          <w:rFonts w:ascii="Times New Roman" w:cs="Times New Roman" w:eastAsia="Times New Roman" w:hAnsi="Times New Roman"/>
          <w:sz w:val="18"/>
          <w:szCs w:val="18"/>
          <w:color w:val="222222"/>
        </w:rPr>
        <w:t xml:space="preserve"> of the outstanding equity of Locusview, Ltd. and subsidiaries (collectively, Locusview) a privately held utility-focused software and services company that is based in the United States and Israel. The purchase resulted in the addition of intangible assets of </w:t>
      </w:r>
      <w:r>
        <w:rPr>
          <w:rFonts w:ascii="Times New Roman" w:cs="Times New Roman" w:eastAsia="Times New Roman" w:hAnsi="Times New Roman"/>
          <w:sz w:val="18"/>
          <w:szCs w:val="18"/>
          <w:color w:val="000000"/>
        </w:rPr>
        <w:t>$204.5 million including $179.0 million identified customer contracts and relationships and $25.5 million of core-developed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technology. The customer contracts and relationships and core-developed technology will be amortized over the ten-year and five-year useful lives, respectively, using the straight-line method. Refer to Note 5: Goodwill and Note 16: Business Combinations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Estimated Annual</w:t>
            </w:r>
          </w:p>
        </w:tc>
        <w:tc>
          <w:tcPr>
            <w:tcW w:w="0" w:type="dxa"/>
            <w:vAlign w:val="bottom"/>
          </w:tcPr>
          <w:p>
            <w:pPr>
              <w:spacing w:after="0"/>
              <w:rPr>
                <w:sz w:val="1"/>
                <w:szCs w:val="1"/>
                <w:color w:val="auto"/>
              </w:rPr>
            </w:pPr>
          </w:p>
        </w:tc>
      </w:tr>
      <w:tr>
        <w:trPr>
          <w:trHeight w:val="214"/>
        </w:trPr>
        <w:tc>
          <w:tcPr>
            <w:tcW w:w="96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09"/>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(amount remaining at March 31,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31,457</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38,623</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33,031</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30,926</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30,001</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113,100</w:t>
            </w:r>
          </w:p>
        </w:tc>
        <w:tc>
          <w:tcPr>
            <w:tcW w:w="0" w:type="dxa"/>
            <w:vAlign w:val="bottom"/>
          </w:tcPr>
          <w:p>
            <w:pPr>
              <w:spacing w:after="0"/>
              <w:rPr>
                <w:sz w:val="1"/>
                <w:szCs w:val="1"/>
                <w:color w:val="auto"/>
              </w:rPr>
            </w:pPr>
          </w:p>
        </w:tc>
      </w:tr>
      <w:tr>
        <w:trPr>
          <w:trHeight w:val="235"/>
        </w:trPr>
        <w:tc>
          <w:tcPr>
            <w:tcW w:w="9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277,138</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Amortization Expense</w:t>
            </w: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w:t>
            </w: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all amortization expense within amortization of intangible assets in the Consolidated Statements of Operations, except core-developed technology, which is included in cost of revenues. These expenses relate to intangible assets acquired as part of business combinations.</w:t>
      </w:r>
    </w:p>
    <w:p>
      <w:pPr>
        <w:spacing w:after="0" w:line="26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changes in the carrying amount of goodwill for the three months ended March 31, 2026:</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Resiliency Solutions</w:t>
            </w: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3"/>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January 1, 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927,720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162,326</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1,344,983</w:t>
            </w:r>
          </w:p>
        </w:tc>
      </w:tr>
      <w:tr>
        <w:trPr>
          <w:trHeight w:val="216"/>
        </w:trPr>
        <w:tc>
          <w:tcPr>
            <w:tcW w:w="324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Goodwill acquired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357,040</w:t>
            </w:r>
          </w:p>
        </w:tc>
      </w:tr>
      <w:tr>
        <w:trPr>
          <w:trHeight w:val="216"/>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w:t>
            </w:r>
          </w:p>
        </w:tc>
      </w:tr>
      <w:tr>
        <w:trPr>
          <w:trHeight w:val="20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balance at March 31, 2026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921,654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161,401</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611,948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1,695,003</w:t>
            </w:r>
          </w:p>
        </w:tc>
      </w:tr>
      <w:tr>
        <w:trPr>
          <w:trHeight w:val="23"/>
        </w:trPr>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24" w:lineRule="exact"/>
        <w:rPr>
          <w:sz w:val="20"/>
          <w:szCs w:val="20"/>
          <w:color w:val="auto"/>
        </w:rPr>
      </w:pPr>
    </w:p>
    <w:p>
      <w:pPr>
        <w:ind w:firstLine="8"/>
        <w:spacing w:after="0" w:line="238" w:lineRule="auto"/>
        <w:tabs>
          <w:tab w:leader="none" w:pos="168"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January 5, 2026, we acquired Locusview, Ltd. The purchase resulted in the recognition of $357.0 million in goodwill allocated to our Resiliency Solutions reportable segment. Refer to Note 4: Intangible Assets and Note 16: Business Combinations for additional information on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Credit facility</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 Convertible notes</w:t>
            </w:r>
          </w:p>
        </w:tc>
        <w:tc>
          <w:tcPr>
            <w:tcW w:w="32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Convertible notes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2026 Convertible notes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Pr>
          <w:p>
            <w:pPr>
              <w:spacing w:after="0"/>
              <w:rPr>
                <w:sz w:val="17"/>
                <w:szCs w:val="17"/>
                <w:color w:val="auto"/>
              </w:rPr>
            </w:pPr>
          </w:p>
        </w:tc>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1,610,000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1,265,000</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debt, gross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unamortized prepaid debt fees - current portion of debt</w:t>
            </w:r>
          </w:p>
        </w:tc>
        <w:tc>
          <w:tcPr>
            <w:tcW w:w="32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34"/>
        </w:trPr>
        <w:tc>
          <w:tcPr>
            <w:tcW w:w="20" w:type="dxa"/>
            <w:vAlign w:val="bottom"/>
          </w:tcPr>
          <w:p>
            <w:pPr>
              <w:spacing w:after="0"/>
              <w:rPr>
                <w:sz w:val="19"/>
                <w:szCs w:val="19"/>
                <w:color w:val="auto"/>
              </w:rPr>
            </w:pPr>
          </w:p>
        </w:tc>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debt, net</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459,522</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gross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prepaid debt fees - long-term debt</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36,165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16,195</w:t>
            </w:r>
          </w:p>
        </w:tc>
      </w:tr>
      <w:tr>
        <w:trPr>
          <w:trHeight w:val="234"/>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1,573,835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788,805</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2025 Credit Facility</w:t>
      </w:r>
    </w:p>
    <w:p>
      <w:pPr>
        <w:spacing w:after="0" w:line="254"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September 25, 2025, we entered into a third amended and restated credit agreement (the 2025 credit facility) providing for committed credit facilities in the amount of $750 million. The 2025 credit facility consists of a multi-currency revolving line of credit (the revolver) in the amount of $750 million. The revolver includes a standby letter of credit sub-facility in the amount of $300 million, and a swingline sub-facility in the amount of $50 million. The 2025 credit facility amends and restates, in its entirety, our amended and restated credit agreement dated January 5, 2018.</w:t>
      </w:r>
    </w:p>
    <w:p>
      <w:pPr>
        <w:spacing w:after="0" w:line="207"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Any outstanding principal under the revolver is due at maturity on September 25, 2030. Principal amounts paid prior to the maturity date may be reborrowed prior to such date. However, that date may be advanced to April 15, 2030 if we do not settle or extend a sufficient portion of our outstanding convertible notes, as detailed in the credit agreement.</w:t>
      </w:r>
    </w:p>
    <w:p>
      <w:pPr>
        <w:spacing w:after="0" w:line="203"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Under the 2025 credit facility, we may elect applicable market interest rates for any outstanding revolving loans. We also pay an applicable margin, which is based on its total net leverage ratio as defined in the credit agreement. The applicable rates per annum may be based on the following: (1) the Term Secured Overnight Financing Rate (SOFR), plus an applicable margin or (2) the Alternate Base Rate, plus an applicable margin. The Alternate Base Rate election is equal to the greatest of three rates: (i) the prime rate, (ii) the Federal Reserve effective rate plus 0.50%, or (iii) SOFR plus 1.00%. Committed amounts not borrowed under the revolver are subject to a commitment fee (paid quarterly in arrears). The spreads applicable to SOFR and the annual committee fee rates are, as follows: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Leverage Ratio</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Fee</w:t>
            </w:r>
          </w:p>
        </w:tc>
      </w:tr>
      <w:tr>
        <w:trPr>
          <w:trHeight w:val="213"/>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3.50</w:t>
            </w:r>
          </w:p>
        </w:tc>
        <w:tc>
          <w:tcPr>
            <w:tcW w:w="1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+ 175.0 bps</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bps</w:t>
            </w:r>
          </w:p>
        </w:tc>
      </w:tr>
      <w:tr>
        <w:trPr>
          <w:trHeight w:val="21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2.51 to 3.50</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+ 150.0 bps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25.0 bps</w:t>
            </w:r>
          </w:p>
        </w:tc>
      </w:tr>
      <w:tr>
        <w:trPr>
          <w:trHeight w:val="21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1.51 to 2.50</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+ 137.5 bps</w:t>
            </w: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bps</w:t>
            </w:r>
          </w:p>
        </w:tc>
      </w:tr>
      <w:tr>
        <w:trPr>
          <w:trHeight w:val="21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or equal to 1.50</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+ 125.0 bps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17.5 bps</w:t>
            </w:r>
          </w:p>
        </w:tc>
      </w:tr>
    </w:tbl>
    <w:p>
      <w:pPr>
        <w:spacing w:after="0" w:line="311"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2025 credit facility permits us and certain of our foreign subsidiaries to borrow in U.S. dollars, euros, or, with lender approval, other currencies readily convertible into U.S. dollars. All obligations under the 2025 credit facility are guaranteed by Itron, Inc. and material U.S. domestic subsidiaries and are secured by a pledge of substantially all of the assets of Itron, Inc. and material U.S. domestic subsidiaries. This included a pledge of 100% of the capital stock of material U.S. domestic subsidiaries and up to 66% of the voting stock (100% of the non-voting stock) of first-tier foreign subsidiaries. In addition, the obligations of any foreign subsidiary who is a foreign borrower, as defined by the 2025 credit facility, are guaranteed by the foreign subsidiary and by its direct and indirect foreign parents. The 2025 credit facility includes debt covenants, which contained certain financial thresholds and placed certain restrictions on the incurrence of debt, investments, and the issuance of dividends. We are in compliance with the debt covenants under the 2025 credit facility at March 31, 2026.</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there were no outstanding loan balances under the 2025 credit facility and $43.4 million was utilized by outstanding standby letters of credit, resulting in $706.6 million available for additional borrowings. As of March 31, 2026, $256.6 million was available for additional standby letters of credit under the letter of credit sub-facility and no amounts were outstanding under the swingline sub-facility.</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Notes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12, 2021, we closed the sale of $460 million of convertible notes in a private placement to qualified institutional buyers, resulting in net proceeds to us of $448.5 million after deducting initial purchasers' discounts of the offering. The 2021 Notes did not bear regular interest, and the principal amount did not accrete. The 2021 Notes matured on March 15, 2026 and were repaid in full on March 16, 2026.</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21, 2024, we closed the sale of $805 million of convertible notes in a private placement to qualified institutional buyers, resulting in net proceeds to us of $784 million after deducting initial purchasers' discounts of the offering. The 2024 Notes accrue interest at a rate of 1.375% per annum, payable semi-annually in arrears on January 15 and July 15 of each year, beginning on January 15, 2025. The 2024 Notes mature on July 15, 2030, unless earlier repurchased, redeemed, or converted in accordance with their terms.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2024 Notes is 7.6199 shares of our common stock per $1,000 principal amount of notes, which is equivalent to an initial conversion price of approximately $131.24 per share. The conversion rate of the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April 15, 2030, the 2024 Notes are convertible at the option of the holders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April 15, 2030, until the close of business on the second scheduled trading day immediately preceding July 15, 2030, holders of the notes may convert all or a portion of their notes at any time. Upon conversion, we will pay cash up to the aggregate principal amount of the notes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July 20, 2028 and prior to April 15, 2030, we may redeem for cash all or part of the 2024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However, we may not redeem less than all of the outstanding notes unless at least $100.0 million aggregate principal amount of notes are outstanding and not called for redemption as of the time we send related redemption notices. The redemption price of each note to be redeemed will be the principal amount of such note, plus accrued and unpaid special interest, if any. Upon the occurrence of a fundamental change (as defined in the indenture governing the 2024 Notes), subject to a limited exception described in the indenture governing the notes, holders may require us to repurchase all or a portion of their notes for cash at a price equal to plus accrued and unpaid special interest to, but not including, the fundamental change repurchase date (as defined in the indenture governing the 2024 Notes).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Notes are senior unsecured obligations and rank equally in right of payment with all of our existing and future unsubordinated debt and senior in right of payment to any future debt that is expressly subordinated in right of payment to the notes. The notes will be effectively subordinated to any of our existing and future secured debt to the extent of the assets securing such indebtedness. The notes will be structurally subordinated to all existing debt and any future debt and any other liabilities of our subsidiaries.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23, 2026, we closed the sale of $805 million of convertible notes in a private placement to qualified institutional buyers, resulting in net proceeds to us of $784 million after deducting initial purchasers' discounts of the offering. The 2026 Notes do not bear regular interest, and the principal amount does not accrete. The 2026 Notes mature on March 15, 2032, unless earlier repurchased, redeemed, or converted in accordance with their terms.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2026 Notes is 8.0793 shares of our common stock per $1,000 principal amount of notes, which is equivalent to an initial conversion price of approximately $123.77 per share. The conversion rate of the notes is subject to adjustment upon the occurrence of certain specified events. In addition, upon the occurrence of a make-whole fundamental change (as defined in the indenture) or upon delivery of a notice of redemption, we will, in certain circumstances, increase the conversion rate for a holder that elects to convert its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15, 2031, the 2026 Notes are convertible at the option of the holders only under the following circumstances: (1) during any calendar quarter commencing after the calendar quarter ending on June 30, 2026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2031, until the close of business on the second scheduled trading day immediately preceding March 15, 2032, holders of the notes may convert all or a portion of their notes at any time. Upon conversion, we will pay cash up to the aggregate principal amount of the notes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sinking fund is provided for the 2026 Notes. Subsequent to March 20, 2030 and prior to December 15, 2031, we may redeem for cash all or part of the 2026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However, we may not redeem less than all of the outstanding notes unless at least $100.0 million aggregate principal amount of notes are outstanding and not called for redemption as of the time we send related redemption notices. The redemption price of each note to be redeemed will be the principal amount of such note, plus accrued and unpaid additional interest, if any. Upon the occurrence of a fundamental change (as defined in the indenture governing the 2026 Notes), subject to a limited exception described in the indenture governing the notes, holders may require us to repurchase all or a portion of their notes for cash at a price equal to 100% of the principal amounts of the 2026 Notes plus accrued and unpaid additional interest to, but not including, the fundamental change repurchase date (as defined in the indenture governing the 2026 Notes).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2026 Notes are senior unsecured obligations and rank equally in right of payment with all of our existing and future unsubordinated debt and senior in right of payment to any future debt that is expressly subordinated in right of payment to the notes. The notes will be effectively subordinated to any of our existing and future secured debt to the extent of the assets securing such indebtedness. The notes will be structurally subordinated to all existing debt and any future debt and any other liabilities of our subsidiaries.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debt in aggregate over the next five years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1"/>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(amount remaining at March 31, 2026)</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237"/>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and Note 13: Fair Value of Financial Instruments for additional disclosures on our derivative instruments.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March 31, 2026, a total of 37 contracts were offsetting our exposures from the euro, pound sterling, Indonesian rupiah, Canadian dollar, Australian dollar, and various other currencies, with notional amounts ranging from $100,000 to $28.7 million.</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monitor and assess our interest rate and foreign exchange risk and may institute additional derivative instruments to manage such risk in the future.</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India, and Indonesia. The defined benefit obligation is calculated annually by using the projected unit credit method. The measurement date for the pension plans was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Plan assets in other long-term assets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w:t>
            </w:r>
          </w:p>
        </w:tc>
      </w:tr>
      <w:tr>
        <w:trPr>
          <w:trHeight w:val="21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60,163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61,998</w:t>
            </w:r>
          </w:p>
        </w:tc>
      </w:tr>
      <w:tr>
        <w:trPr>
          <w:trHeight w:val="23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64,705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 the following components: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0"/>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w:t>
            </w:r>
          </w:p>
        </w:tc>
      </w:tr>
      <w:tr>
        <w:trPr>
          <w:trHeight w:val="20"/>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13,991,273 shares of common stock authorized for issuance subject to stock splits, dividends, and other similar events, and at March 31, 2026, 2,831,821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under the Plan is reduced by (i) one share for every one share subject to a stock option or share appreciation right granted and (ii) 1.7 shares for every one share of common stock that was subject to an award other than an option or share appreciation right.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award phantom stock units, which are settled in cash upon vesting and accounted for as liability-based awards, with no impact to the shares available for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433,847 shares of common stock were available for future issuance at March 31,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 activity and stock-based grants other than restricted stock units were not significant for the three months ended March 31, 2026 and 2025.</w:t>
      </w:r>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Phantom stock units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12"/>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Related tax benefit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4,072</w:t>
            </w:r>
          </w:p>
        </w:tc>
      </w:tr>
      <w:tr>
        <w:trPr>
          <w:trHeight w:val="20"/>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4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80" w:type="dxa"/>
            <w:vAlign w:val="bottom"/>
            <w:vMerge w:val="restart"/>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48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44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Price per Share</w:t>
            </w:r>
          </w:p>
        </w:tc>
        <w:tc>
          <w:tcPr>
            <w:tcW w:w="14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4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1280" w:type="dxa"/>
            <w:vAlign w:val="bottom"/>
            <w:tcBorders>
              <w:top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w w:val="98"/>
              </w:rPr>
              <w:t>Years</w:t>
            </w: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64.55</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March 31, 2025</w:t>
            </w:r>
          </w:p>
        </w:tc>
        <w:tc>
          <w:tcPr>
            <w:tcW w:w="12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69.35</w:t>
            </w: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3.4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 January 1, 2026</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3.1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31, 2026</w:t>
            </w: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March 31, 2026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all stock-based compensation expense related to nonvested stock options has been recognized.</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1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fair value</w:t>
            </w:r>
          </w:p>
        </w:tc>
        <w:tc>
          <w:tcPr>
            <w:tcW w:w="2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60" w:type="dxa"/>
            <w:vAlign w:val="bottom"/>
            <w:vMerge w:val="continue"/>
          </w:tcPr>
          <w:p>
            <w:pPr>
              <w:spacing w:after="0"/>
              <w:rPr>
                <w:sz w:val="18"/>
                <w:szCs w:val="18"/>
                <w:color w:val="auto"/>
              </w:rPr>
            </w:pPr>
          </w:p>
        </w:tc>
        <w:tc>
          <w:tcPr>
            <w:tcW w:w="21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2025</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37,264</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31, 2025</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2026</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42,802</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88.56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31, 2026</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but not released, March 31, 2026</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Shares released is presented as gross shares and does not reflect shares withheld by us for employee payroll tax obligations.</w:t>
      </w:r>
    </w:p>
    <w:p>
      <w:pPr>
        <w:spacing w:after="0" w:line="2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March 31, 2026, total unrecognized compensation expense on restricted stock units was $74.9 million, which is expected to be recognized over a weighted average period of approximately 1.7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29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1"/>
        </w:trPr>
        <w:tc>
          <w:tcPr>
            <w:tcW w:w="76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1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7"/>
        </w:trPr>
        <w:tc>
          <w:tcPr>
            <w:tcW w:w="7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110.31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105.52</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rate for the three months ended March 31, 2026 of 20% differed from the federal statutory rate of 21% due to the impact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rate for the three months ended March 31, 2025 of 21% was in line with the federal statutory rate of 21% and overall was impacted by the effect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sweeping legislative package formally titled "An act to provide for reconciliation pursuant to title II of H. Con. Res. 14" (the "Act"), and commonly referred to as the One Big Beautiful Bill Act, was signed into law on July 4, 2025. The legislation included numerous changes to existing tax law that took effect in 2026. There were also changes that were retroactive to the beginning of 2025, including the deductibility of current and previously capitalized domestic research and development costs. These changes did not have a significant impact on our consolidated financial statements.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took effect for calendar year 2024. The OECD released further guidance on January 6, 2026, which included new and revised safe harbor rules, including a new permanent safe harbor, and the framework for a "side-by-side" agreement that would exempt US-based multinational companies from all top-up taxes, other than qualified domestic top-up taxes imposed on subsidiaries in their countries of residence. Enactment through legislation will be required in order for this additional guidance to be effective and is expected to only be effective for years after 2025. These enactments or amendments could adversely affect our tax rate and ultimately result in a negative impact on our operating results and cash flows. Consistent with calculations for calendar years 2024 and 2025, the Company anticipates it will meet the safe harbors in most jurisdictions in 2026, and any remaining top-up tax should be immaterial.</w:t>
      </w: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benefits and interest income on tax overpayments as components of income tax expense. The net interest and penalties expense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10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1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w:t>
            </w: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penalties</w:t>
            </w:r>
          </w:p>
        </w:tc>
        <w:tc>
          <w:tcPr>
            <w:tcW w:w="3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bl>
    <w:p>
      <w:pPr>
        <w:spacing w:after="0" w:line="32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0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6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68,851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68,926</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6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68,913</w:t>
            </w:r>
          </w:p>
        </w:tc>
      </w:tr>
    </w:tbl>
    <w:p>
      <w:pPr>
        <w:spacing w:after="0" w:line="2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March 31, 2026,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income tax returns in various jurisdictions. The material jurisdictions where we are subject to examination include, among others, the United States, Canada, France, Germany, India, Italy, Indonesia, and the United Kingdom.</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typically covers the installation phase of a contract and may, on occasion, cover the operations and maintenance phase of outsourcing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(43,393)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(43,824)</w:t>
            </w:r>
          </w:p>
        </w:tc>
      </w:tr>
      <w:tr>
        <w:trPr>
          <w:trHeight w:val="235"/>
        </w:trPr>
        <w:tc>
          <w:tcPr>
            <w:tcW w:w="6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706,607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706,176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256,176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3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98,128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98,128</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(25,815)</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2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67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72,313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522,438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522,098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were called, we would be obligated to reimburse the issuer of the standby LOC or bond. As of April 28, 2026, we are not aware of any valid claims against our outstanding standby LOCs or bonds.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terms of our indemnifications generally do not limit the maximum potential payments. It is not possible to predict the maximum potential amount of future payments under these or similar agreements.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22,141</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New product warranties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 and expirations, net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Claims activity</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22,517</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w:t>
            </w:r>
          </w:p>
        </w:tc>
      </w:tr>
      <w:tr>
        <w:trPr>
          <w:trHeight w:val="212"/>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warranty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7,583</w:t>
            </w:r>
          </w:p>
        </w:tc>
      </w:tr>
      <w:tr>
        <w:trPr>
          <w:trHeight w:val="21"/>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expense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expense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r>
    </w:tbl>
    <w:p>
      <w:pPr>
        <w:spacing w:after="0" w:line="3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March 31, 2026 or December 31, 2025.</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Effective November 10, 2025, Itron's Board of Directors authorized a repurchase up to $250 million of our common stock over an 18-month period (the 2025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w:t>
      </w:r>
      <w:r>
        <w:rPr>
          <w:rFonts w:ascii="Times New Roman" w:cs="Times New Roman" w:eastAsia="Times New Roman" w:hAnsi="Times New Roman"/>
          <w:sz w:val="18"/>
          <w:szCs w:val="18"/>
          <w:color w:val="222222"/>
        </w:rPr>
        <w:t>In February 2026, we repurchased</w:t>
      </w:r>
      <w:r>
        <w:rPr>
          <w:rFonts w:ascii="Times New Roman" w:cs="Times New Roman" w:eastAsia="Times New Roman" w:hAnsi="Times New Roman"/>
          <w:sz w:val="18"/>
          <w:szCs w:val="18"/>
          <w:color w:val="auto"/>
        </w:rPr>
        <w:t xml:space="preserve"> 1,050,309 </w:t>
      </w:r>
      <w:r>
        <w:rPr>
          <w:rFonts w:ascii="Times New Roman" w:cs="Times New Roman" w:eastAsia="Times New Roman" w:hAnsi="Times New Roman"/>
          <w:sz w:val="18"/>
          <w:szCs w:val="18"/>
          <w:color w:val="222222"/>
        </w:rPr>
        <w:t>shares of common stock for a total of</w:t>
      </w:r>
      <w:r>
        <w:rPr>
          <w:rFonts w:ascii="Times New Roman" w:cs="Times New Roman" w:eastAsia="Times New Roman" w:hAnsi="Times New Roman"/>
          <w:sz w:val="18"/>
          <w:szCs w:val="18"/>
          <w:color w:val="auto"/>
        </w:rPr>
        <w:t xml:space="preserve"> $100 million</w:t>
      </w:r>
      <w:r>
        <w:rPr>
          <w:rFonts w:ascii="Times New Roman" w:cs="Times New Roman" w:eastAsia="Times New Roman" w:hAnsi="Times New Roman"/>
          <w:sz w:val="18"/>
          <w:szCs w:val="18"/>
          <w:color w:val="222222"/>
        </w:rPr>
        <w: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From November 3 through November 6, 2025, Itron repurchased 942,577 shares of its common stock for a total of $100 million, fully utilizing the authorized capacity under the 2024 Stock Repurchase Program.</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2021 Call Option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paid an aggregate amount of $84.1 million for the 2021 call option transactions. The 2021 call option transactions covered, subject to anti-dilution adjustments substantially similar to those in the 2021 Notes, approximately 3.7 million shares of our common stock, the same number of shares initially underlying the 2021 Notes, at a strike price of approximately $126.00, subject to customary adjustments. The 2021 call option transactions expired upon the maturity of the 2021 Notes. The 2021 call option transactions met the criteria in ASC 815-40 to be classified within Stockholders' Equity, and therefore were not revalued after their issuance. We made a tax election to integrate the 2021 Notes and the 2021 call option transactions. We retained the identification statements in our books and records, together with a schedule providing the accruals on the synthetic debt instruments. The accounting impact of this tax election made the call options deductible as original issue discount for tax purposes over the term of the 2021 Notes, and resulted in a $20.6 million deferred tax asset recognized through equity.</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concurrently with entering into the 2021 call option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begin to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 The warrants will fully expire in October 2026.</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2024 Notes and the 2024 capped call transactions. We are retaining the identification statements in our books and records, together with a schedule providing the accruals on the synthetic debt instruments. The accounting impact of this tax election makes the capped call transactions deductible as original issue discount for tax purposes over the term of the 2024 Notes, and results in a $26.7 million deferred tax asset recognized through equity.</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2026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2026 Notes, we entered into privately negotiated capped call transactions on our common stock with certain commercial banks. The 2026 capped call transactions cover, subject to anti-dilution adjustments substantially similar to those in the 2026 Notes, approximately 6.5 million shares of our common stock, the same number of shares initially underlying the convertible notes, at a strike price of approximately $123.77, subject to customary adjustments. The cap price of the 2026 capped call transactions will initially be $190.42 per share, which represents a premium of 100% over the last reported stock price per share of the Company's common stock on February 23, 2026, and is subject to certain adjustments under the terms of the 2026 capped call transactions. The 2026 capped call transactions will expire upon the maturity of the 2026 Notes, subject to earlier exercise or termination.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2026 Notes and the 2026 capped call transactions. We are retaining the identification statements in our books and records, together with a schedule providing the accruals on the synthetic debt instruments. The accounting impact of this tax election makes the capped call transactions deductible as original issue discount for tax purposes over the term of the 2026 Notes, and results in a $22.4 million deferred tax asset recognized through equity.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accumulated other comprehensive income (loss)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(109,931)</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13,598</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13,548</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(96,383)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(56,505)</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(12,718)</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(12,826)</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(69,331)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income tax (provision) benefit, and net-of-tax amounts related to each component of other comprehensive income (OCI)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13,620</w:t>
            </w:r>
          </w:p>
        </w:tc>
      </w:tr>
      <w:tr>
        <w:trPr>
          <w:trHeight w:val="213"/>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tax (provision) benefit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13,598</w:t>
            </w:r>
          </w:p>
        </w:tc>
      </w:tr>
      <w:tr>
        <w:trPr>
          <w:trHeight w:val="213"/>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values at March 31, 2026 and December 31, 2025 do not reflect subsequent changes in the economy, interest rates, tax rates, and other variables that may affect the determination of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2000" w:type="dxa"/>
            <w:vAlign w:val="bottom"/>
            <w:gridSpan w:val="3"/>
          </w:tcPr>
          <w:p>
            <w:pPr>
              <w:jc w:val="center"/>
              <w:ind w:right="9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80" w:type="dxa"/>
            <w:vAlign w:val="bottom"/>
          </w:tcPr>
          <w:p>
            <w:pPr>
              <w:jc w:val="center"/>
              <w:ind w:right="479"/>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center"/>
              <w:ind w:right="10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20" w:type="dxa"/>
            <w:vAlign w:val="bottom"/>
          </w:tcPr>
          <w:p>
            <w:pPr>
              <w:jc w:val="right"/>
              <w:ind w:right="5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8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6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8"/>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4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20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1,573,835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1,574,596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1,248,327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1,277,442</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facility - multicurrency revolving line of credit (revolver): </w:t>
      </w:r>
      <w:r>
        <w:rPr>
          <w:rFonts w:ascii="Times New Roman" w:cs="Times New Roman" w:eastAsia="Times New Roman" w:hAnsi="Times New Roman"/>
          <w:sz w:val="18"/>
          <w:szCs w:val="18"/>
          <w:color w:val="auto"/>
        </w:rPr>
        <w:t>The revolver is not traded publicly. When there are amounts borrowed and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which are determined based upon a hypothetical market participant, are calculated using a discounted cash flow model with Level 2 inputs, including estimates of incremental borrowing rates for debt with similar terms, maturities, and credit profiles. Refer to Note 6: Debt for further discussion of our debt.</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The convertible notes are not listed on any securities exchange but may be actively traded. The fair value is estimated using 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as it is based on quoted prices for these instruments in active markets.</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four reportable segments: Device Solutions, Networked Solutions, Outcomes, and Resiliency Solutions. Resiliency Solutions is a new reportable segment starting in the fourth quarter of 2025. We define these segments based on the structure in which internally reported financial information is regularly provided to the chief operating decision maker (CODM) to analyze financial performance, make strategic decisions, and allocate resources. The Company's CODM is the chief executive officer.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Examples from the Device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designed to operate outside of Itron end-to-end solutions and designed to meet market requirements; and the implementation and installation of associated devices.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endpoints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network design services, and associated headend management and application software designed and sold as a complete solution for acquiring and transporting robust application-specific data. Networked Solutions includes products, software and services for the implementation, installation, and management of communicating endpoints and data networks. The Industrial Internet of Things (IIoT) solutions supported by this segment include automated meter reading (AMR) and advanced metering infrastructure (AMI) for electricity, water, and gas; distributed energy resource management (DERMs); grid edge devices; distribution automation communications; smart lighting; and smart city sensors and applications. Our IIoT platform allows utility and smart city applications to be run and managed on a flexible, secure, and interoperable multi-purpose network.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including use of distributed compute to manage, organize,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analyze, and interpret raw, anonymized data using artificial intelligence, machine learning, statistical modeling, and other analytics. This delivers new value for utilities, municipalities, and cities through improving decision making, maximizing operational profitability, engaging consumers, ensuring safety, enhancing resource efficiency, and improving grid resiliency and reliability. Outcomes supports high-value use cases, such as data management, grid planning and operations, AMI operations, gas distribution safety, non-revenue water reduction, revenue assurance, distributed energy resources (DER) management, energy forecasting, consumer engagement, and smart payment. Utilities leverage these outcomes to unlock the capabilities of their networks and devices, improve the productivity of their workforce, increase the reliability of their operations, manage and optimize the proliferation of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Resiliency Solutions </w:t>
      </w:r>
      <w:r>
        <w:rPr>
          <w:rFonts w:ascii="Times New Roman" w:cs="Times New Roman" w:eastAsia="Times New Roman" w:hAnsi="Times New Roman"/>
          <w:sz w:val="18"/>
          <w:szCs w:val="18"/>
          <w:color w:val="auto"/>
        </w:rPr>
        <w:t>– This segment primarily includes software and services for worker safety, emergency preparedness and response, damage prevention,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Digital Construction Management for critical infrastructure providers and their supporting contractors. These solutions enable utilities to plan smarter, respond faster, and operate more safely and are enhanced through the use of artificial intelligence-based models to predict events to aid in compliance, incident remedy, and prevention.</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Intersegment revenues are minimal. Certain operating expenses are allocated to the reportable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These amounts are not included in the significant segment expense amounts below. Goodwill impairment charges are recognized in Corporate unallocated. No asset information for reportable segments is provided to the CODM. We do not manage the performance of the segments on a balance sheet basis. Other income (expense) primarily includes interest income, interest expense, and amortization of prepaid debt fees.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CODM assesses the segments' performance primarily by using each segment's adjusted operating income, predominantly in the annual budget and periodic forecasting processes. The CODM considers budget-to-actual and forecast-to-actual variances for these measures when making decisions about the allocation of operating and capital resources to each segment, including evaluating pricing strategy. Prior to the fourth quarter of 2025, the CODM used gross margin as the primary segment performance metric. Starting in the fourth quarter of 2025, the CODM believes adjusted segment operating income provides a more complete metric for allocating resources and assessing segment performance in line with our recent business acquisition and exclusion of amortization of core-developed technology.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reportable segments and Corporate unallocated and the reconciliation to income before income taxes was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Outcomes</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Resiliency</w:t>
            </w:r>
          </w:p>
        </w:tc>
        <w:tc>
          <w:tcPr>
            <w:tcW w:w="260" w:type="dxa"/>
            <w:vAlign w:val="bottom"/>
          </w:tcPr>
          <w:p>
            <w:pPr>
              <w:spacing w:after="0"/>
              <w:rPr>
                <w:sz w:val="13"/>
                <w:szCs w:val="13"/>
                <w:color w:val="auto"/>
              </w:rPr>
            </w:pPr>
          </w:p>
        </w:tc>
        <w:tc>
          <w:tcPr>
            <w:tcW w:w="9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820" w:type="dxa"/>
            <w:vAlign w:val="bottom"/>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477,801</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64,038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109,181</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586,982</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Adjusted cost of revenues </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sales, general and administrative</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research and development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segment operating income (loss)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173,714</w:t>
            </w:r>
          </w:p>
        </w:tc>
        <w:tc>
          <w:tcPr>
            <w:tcW w:w="0" w:type="dxa"/>
            <w:vAlign w:val="bottom"/>
          </w:tcPr>
          <w:p>
            <w:pPr>
              <w:spacing w:after="0"/>
              <w:rPr>
                <w:sz w:val="1"/>
                <w:szCs w:val="1"/>
                <w:color w:val="auto"/>
              </w:rPr>
            </w:pPr>
          </w:p>
        </w:tc>
      </w:tr>
      <w:tr>
        <w:trPr>
          <w:trHeight w:val="257"/>
        </w:trPr>
        <w:tc>
          <w:tcPr>
            <w:tcW w:w="4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adjusted segment operating income (loss)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core-developed technology intangible assets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(103,642)</w:t>
            </w:r>
          </w:p>
        </w:tc>
        <w:tc>
          <w:tcPr>
            <w:tcW w:w="0" w:type="dxa"/>
            <w:vAlign w:val="bottom"/>
          </w:tcPr>
          <w:p>
            <w:pPr>
              <w:spacing w:after="0"/>
              <w:rPr>
                <w:sz w:val="1"/>
                <w:szCs w:val="1"/>
                <w:color w:val="auto"/>
              </w:rPr>
            </w:pPr>
          </w:p>
        </w:tc>
      </w:tr>
      <w:tr>
        <w:trPr>
          <w:trHeight w:val="21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3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income before income taxes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60" w:hanging="134"/>
        <w:spacing w:after="0" w:line="227" w:lineRule="auto"/>
        <w:tabs>
          <w:tab w:leader="none" w:pos="16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amortization of core-developed technology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-104140</wp:posOffset>
            </wp:positionV>
            <wp:extent cx="763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60" w:type="dxa"/>
            <w:vAlign w:val="bottom"/>
          </w:tcPr>
          <w:p>
            <w:pPr>
              <w:spacing w:after="0"/>
              <w:rPr>
                <w:sz w:val="13"/>
                <w:szCs w:val="13"/>
                <w:color w:val="auto"/>
              </w:rPr>
            </w:pPr>
          </w:p>
        </w:tc>
        <w:tc>
          <w:tcPr>
            <w:tcW w:w="9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10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125,387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523,141</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84,010</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607,151</w:t>
            </w: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Adjusted cost of revenues </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sales, general and administrative</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research and development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segment operating income (loss)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160,910</w:t>
            </w:r>
          </w:p>
        </w:tc>
        <w:tc>
          <w:tcPr>
            <w:tcW w:w="0" w:type="dxa"/>
            <w:vAlign w:val="bottom"/>
          </w:tcPr>
          <w:p>
            <w:pPr>
              <w:spacing w:after="0"/>
              <w:rPr>
                <w:sz w:val="1"/>
                <w:szCs w:val="1"/>
                <w:color w:val="auto"/>
              </w:rPr>
            </w:pPr>
          </w:p>
        </w:tc>
      </w:tr>
      <w:tr>
        <w:trPr>
          <w:trHeight w:val="257"/>
        </w:trPr>
        <w:tc>
          <w:tcPr>
            <w:tcW w:w="6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adjusted segment operating income (loss)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core-developed technology intangible assets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(84,697)</w:t>
            </w:r>
          </w:p>
        </w:tc>
        <w:tc>
          <w:tcPr>
            <w:tcW w:w="0" w:type="dxa"/>
            <w:vAlign w:val="bottom"/>
          </w:tcPr>
          <w:p>
            <w:pPr>
              <w:spacing w:after="0"/>
              <w:rPr>
                <w:sz w:val="1"/>
                <w:szCs w:val="1"/>
                <w:color w:val="auto"/>
              </w:rPr>
            </w:pPr>
          </w:p>
        </w:tc>
      </w:tr>
      <w:tr>
        <w:trPr>
          <w:trHeight w:val="213"/>
        </w:trPr>
        <w:tc>
          <w:tcPr>
            <w:tcW w:w="6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0" w:type="dxa"/>
            <w:vAlign w:val="bottom"/>
          </w:tcPr>
          <w:p>
            <w:pPr>
              <w:spacing w:after="0"/>
              <w:rPr>
                <w:sz w:val="1"/>
                <w:szCs w:val="1"/>
                <w:color w:val="auto"/>
              </w:rPr>
            </w:pPr>
          </w:p>
        </w:tc>
      </w:tr>
      <w:tr>
        <w:trPr>
          <w:trHeight w:val="23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income before income taxes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60" w:hanging="134"/>
        <w:spacing w:after="0" w:line="227" w:lineRule="auto"/>
        <w:tabs>
          <w:tab w:leader="none" w:pos="16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amortization of core-developed technology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-104140</wp:posOffset>
            </wp:positionV>
            <wp:extent cx="7632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no single customer represented more than 10% of total company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486,212</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101,207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96,326</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24,613</w:t>
            </w:r>
          </w:p>
        </w:tc>
      </w:tr>
      <w:tr>
        <w:trPr>
          <w:trHeight w:val="207"/>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586,982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607,151</w:t>
            </w:r>
          </w:p>
        </w:tc>
      </w:tr>
      <w:tr>
        <w:trPr>
          <w:trHeight w:val="23"/>
        </w:trPr>
        <w:tc>
          <w:tcPr>
            <w:tcW w:w="7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and amortization expense recognized in cost of revenues is allocated to the reportable segments based upon each segment's use of the assets. All amortization expense recognized in operating expenses is recognized within Corporate unallocated. Depreciation and amortization of intangible assets expense associated with our reportable segments and Corporate unallocated was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Resiliency Solutions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r>
      <w:tr>
        <w:trPr>
          <w:trHeight w:val="207"/>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12,068</w:t>
            </w:r>
          </w:p>
        </w:tc>
      </w:tr>
      <w:tr>
        <w:trPr>
          <w:trHeight w:val="23"/>
        </w:trPr>
        <w:tc>
          <w:tcPr>
            <w:tcW w:w="7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6"/>
                <w:szCs w:val="16"/>
                <w:color w:val="auto"/>
              </w:rPr>
            </w:pPr>
          </w:p>
        </w:tc>
        <w:tc>
          <w:tcPr>
            <w:tcW w:w="2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Contract Liabilities, Less</w:t>
            </w:r>
          </w:p>
        </w:tc>
        <w:tc>
          <w:tcPr>
            <w:tcW w:w="0" w:type="dxa"/>
            <w:vAlign w:val="bottom"/>
          </w:tcPr>
          <w:p>
            <w:pPr>
              <w:spacing w:after="0"/>
              <w:rPr>
                <w:sz w:val="1"/>
                <w:szCs w:val="1"/>
                <w:color w:val="auto"/>
              </w:rPr>
            </w:pPr>
          </w:p>
        </w:tc>
      </w:tr>
      <w:tr>
        <w:trPr>
          <w:trHeight w:val="214"/>
        </w:trPr>
        <w:tc>
          <w:tcPr>
            <w:tcW w:w="9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0" w:type="dxa"/>
            <w:vAlign w:val="bottom"/>
          </w:tcPr>
          <w:p>
            <w:pPr>
              <w:spacing w:after="0"/>
              <w:rPr>
                <w:sz w:val="1"/>
                <w:szCs w:val="1"/>
                <w:color w:val="auto"/>
              </w:rPr>
            </w:pPr>
          </w:p>
        </w:tc>
      </w:tr>
      <w:tr>
        <w:trPr>
          <w:trHeight w:val="21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151,350</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due to business combination</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22,442</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(82,784)</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Cumulative catch-up adjustments</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126,066</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2"/>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March 31, 2026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203,131</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 2026, total contract assets were $83.7 million, including $17.2 million in long-term contract assets and total contract liabilities were $235.1 million. On March 31, 2026, total contract assets were $74.0 million, including $16.9 million in long-term contract assets and total contract liabilities were $277.1 million. The contract assets primarily relate to contracts that include a retention clause and allocations related to contracts with multiple performance obligations. The contract liabilities primarily relate to deferred revenue, such as extended warranty and maintenance agreements. The cumulative catch-up adjustments relate to contract modifications, measure-of-progress changes, and changes in the estimate of the transaction price. Refer to Note 16: Business Combinations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$1.0 billion for the next 12 months and approximately $1.0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extended warranty period and hardware, which is recognized as units are delivered. The estimate of when remaining performance obligations will be recognized requires significant judgment.</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14: Segment Information and the Consolidated Statements of Operations for disclosure regarding the disaggregation of revenue into categories, which depict how revenue and cash flows are affected by economic factors. Specifically, our reportable segments and geographical regions, as disclosed, and categories for products, which include hardware and software and services, are presented.</w:t>
      </w:r>
    </w:p>
    <w:p>
      <w:pPr>
        <w:spacing w:after="0" w:line="2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222222"/>
        </w:rPr>
        <w:t>Locusview, Ltd.</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On January 5, 2026, we completed the acquisition of </w:t>
      </w:r>
      <w:r>
        <w:rPr>
          <w:rFonts w:ascii="Times New Roman" w:cs="Times New Roman" w:eastAsia="Times New Roman" w:hAnsi="Times New Roman"/>
          <w:sz w:val="18"/>
          <w:szCs w:val="18"/>
          <w:color w:val="000000"/>
        </w:rPr>
        <w:t>100%</w:t>
      </w:r>
      <w:r>
        <w:rPr>
          <w:rFonts w:ascii="Times New Roman" w:cs="Times New Roman" w:eastAsia="Times New Roman" w:hAnsi="Times New Roman"/>
          <w:sz w:val="18"/>
          <w:szCs w:val="18"/>
          <w:color w:val="222222"/>
        </w:rPr>
        <w:t xml:space="preserve"> of the outstanding equity of Locusview, Ltd. and subsidiaries (collectively, Locusview) a privately held utility-focused software and services company that is based in the United States and Israel. The acquisition provides value to Itron through the leverage of Locusview's digital construction management solutions to enhance Itron's Resiliency Solutions offerings to its customers.</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preliminary purchase price allocated to acquired assets and liabilities was $546.6 million, which was funded through cash on hand. The purchase price is subject to further adjustment based on final working capital and other closing considerations to be determined following the transaction's close.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preliminary allocation of the purchase price: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4"/>
        </w:trPr>
        <w:tc>
          <w:tcPr>
            <w:tcW w:w="7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(In years)</w:t>
            </w:r>
          </w:p>
        </w:tc>
        <w:tc>
          <w:tcPr>
            <w:tcW w:w="0" w:type="dxa"/>
            <w:vAlign w:val="bottom"/>
          </w:tcPr>
          <w:p>
            <w:pPr>
              <w:spacing w:after="0"/>
              <w:rPr>
                <w:sz w:val="1"/>
                <w:szCs w:val="1"/>
                <w:color w:val="auto"/>
              </w:rPr>
            </w:pP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43,974</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16,167</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7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Identifiable intangible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25,500</w:t>
            </w:r>
          </w:p>
        </w:tc>
        <w:tc>
          <w:tcPr>
            <w:tcW w:w="18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179,000</w:t>
            </w:r>
          </w:p>
        </w:tc>
        <w:tc>
          <w:tcPr>
            <w:tcW w:w="188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identified intangible assets subject to amortization</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204,500</w:t>
            </w:r>
          </w:p>
        </w:tc>
        <w:tc>
          <w:tcPr>
            <w:tcW w:w="18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256"/>
        </w:trPr>
        <w:tc>
          <w:tcPr>
            <w:tcW w:w="7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356,963</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(27,559)</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(47,462)</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assets acquired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546,583</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acquired accounts receivable of $10.7 million approximates the carrying value due to the short-term nature of the expected timeframe to collect the amounts due and the contractual cash flows expected to be collected related to these receivables.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for the identified core-developed technology intangible asset was estimated using the relief from royalty method, which values the assets by estimating the savings achieved by ownership of trademark or technology when compared with the cost of licensing it from an independent owner.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customer relationships was estimated using the income approach. Under the income approach, the fair value reflects the present value of the projected cash flows that are expected to be generated.</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Deferred revenue of $22.4 million was recognized under ASC 606 in accordance with ASU 2021-08, </w:t>
      </w:r>
      <w:r>
        <w:rPr>
          <w:rFonts w:ascii="Times New Roman" w:cs="Times New Roman" w:eastAsia="Times New Roman" w:hAnsi="Times New Roman"/>
          <w:sz w:val="18"/>
          <w:szCs w:val="18"/>
          <w:i w:val="1"/>
          <w:iCs w:val="1"/>
          <w:color w:val="auto"/>
        </w:rPr>
        <w:t>Business Combinations (Topic 805),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 Assets and Contract Liabilities from Contracts with Customers</w:t>
      </w:r>
      <w:r>
        <w:rPr>
          <w:rFonts w:ascii="Times New Roman" w:cs="Times New Roman" w:eastAsia="Times New Roman" w:hAnsi="Times New Roman"/>
          <w:sz w:val="18"/>
          <w:szCs w:val="18"/>
          <w:color w:val="auto"/>
        </w:rPr>
        <w:t>; therefore, a reduction in deferred revenues related to the estimated fair values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acquired deferred revenues was not required.</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of $357.0 million arising from the acquisition consists of the fair value in excess of identifiable assets to gain access to expanded customer base, distribution channels, technology, and market presence, which are expected to create cost savings, revenue growth, or competitive advantages, as well as certain intangible assets that do not qualify for separate recognition. All the goodwill balance was assigned to the Resiliency Solutions reporting segment. Refer to Note 5: Goodwill. None of the goodwill balance will be deducted for income tax purposes.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acquired assets and assumed liabilities of Locusview are included on our Consolidated Balance Sheets as of March 31, 2026, and the results of its operations are reported on our Consolidated Statements of Operations and Comprehensive Income for the period from January 5, 2026 to March 31, 2026. We concluded the acquisition of Locusview was not significant, and, as such, pro forma financial information was not required.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to acquired assets and liabilities assumed is preliminary. The areas that remain provisional primarily relate to (i) the assessment of deferred revenue, (ii) income taxes, (iii) accrued liabilities, and (iv) the finalization of net working capital, which will be settled during the second quarter of 2026 and may impact the total purchase consideration.</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Urbint, Inc.</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3, 2025, we completed the acquisition of 100% of the outstanding equity of Urbint, Inc. (Urbint), a privately held software and services company, based in Florida, serving utilities. The acquisition provides value to Itron through the leverage of Urbint's artificial intelligence (AI)-powered operational resilience solutions to enhance our offerings to our customers. Upon acquisition, Urbint became a wholly owned subsidiary of Itron and operates within the Resiliency Solutions segment. The purchase price allocated to acquired assets and liabilities was $330.6 million, which was funded through cash on hand.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acquisition date, we made certain measurement period adjustments to the preliminary purchase price allocation, which resulted in an increase to goodwill of $67,000. The increase was due to a $97,000 decrease of certain tangible assets acquired, an increase to assumed liabilities of $52,000, and an $82,000 decrease in the aggregation consideration in connection with post close net working capital adjustments that were finalized in the first quarter of 2026.</w:t>
      </w:r>
    </w:p>
    <w:p>
      <w:pPr>
        <w:spacing w:after="0" w:line="166"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The measurement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adjustments did not have a material impact on our results of operations for the period. The purchase price allocation remains preliminary as we continue to finalize certain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amounts and assess deferred revenue.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2025 filed with the Securities and Exchange Commission (SEC) in our Annual Report on Form 10-K on February 17, 2026 (2025 Annual Report).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w:t>
      </w:r>
      <w:r>
        <w:rPr>
          <w:rFonts w:ascii="Times New Roman" w:cs="Times New Roman" w:eastAsia="Times New Roman" w:hAnsi="Times New Roman"/>
          <w:sz w:val="18"/>
          <w:szCs w:val="18"/>
          <w:i w:val="1"/>
          <w:iCs w:val="1"/>
          <w:color w:val="auto"/>
        </w:rPr>
        <w:t>http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2025 Annual Report and other reports on file with the SEC. We undertake no obligation to update or revise any forward-looking statement, whether written or oral.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technology, solutions,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four reportable segments: Device Solutions, Networked Solutions, Outcomes, and Resiliency Solutions. Resiliency Solutions is a new reportable segment, which began in the fourth quarter of 2025. The product and operating definitions of the four segments are as follows: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Examples from the Device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designed to operate outside of Itron end-to-end solutions and designed to meet market requirements; and the implementation and installation of associated devices.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endpoints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network design services, and associated headend management and application software designed and sold as a complete solution for acquiring and transporting robust application-specific data. Networked Solutions includes products, software and services for the implementation, installation, and management of communicating endpoints and data networks. The IIoT solutions supported by this segment include automated meter reading (AMR) and advanced metering infrastructure (AMI) for electricity, water, and gas; distributed energy resource management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(DERMs); grid edge devices; distribution automation communications; smart lighting; and smart city sensors and applications. Our IIoT platform allows utility and smart city applications to be run and managed on a flexible, secure, and interoperable multi-purpose network.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including use of distributed compute to manage, organize,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analyze, and interpret raw, anonymized data using artificial intelligence, machine learning, statistical modeling, and other analytics. This delivers new value for utilities, municipalities, and cities through improving decision making, maximizing operational profitability, engaging consumers, ensuring safety, enhancing resource efficiency, and improving grid resiliency and reliability. Outcomes supports high-value use cases, such as data management, grid planning and operations, AMI operations, gas distribution safety, non-revenue water reduction, revenue assurance, distributed energy resources (DER) management, energy forecasting, consumer engagement, and smart payment. Utilities leverage these outcomes to unlock the capabilities of their networks and devices, improve the productivity of their workforce, increase the reliability of their operations, manage and optimize the proliferation of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Resiliency Solutions </w:t>
      </w:r>
      <w:r>
        <w:rPr>
          <w:rFonts w:ascii="Times New Roman" w:cs="Times New Roman" w:eastAsia="Times New Roman" w:hAnsi="Times New Roman"/>
          <w:sz w:val="18"/>
          <w:szCs w:val="18"/>
          <w:color w:val="auto"/>
        </w:rPr>
        <w:t>– This segment primarily includes software and services for worker safety, emergency preparedness and response, damage prevention,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Digital Construction Management for critical infrastructure providers and their supporting contractors. These solutions enable utilities to plan smarter, respond faster, and operate more safely and are enhanced through the use of artificial intelligence-based models to predict events to aid in compliance, incident remedy, and prevention.</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adjusted operating income (margin) as the primary measure of segment performance. In addition, we believe adjusted gross profit (margin) provides further understanding of our segments' performance. Intersegment revenues are minimal. Certain operating expenses are allocated to the reportable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adjusted gross profit, adjusted operating income,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constant currency</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42-45 for information about these non-GAAP measures and the detailed reconciliation of items that impacted non-GAAP operating expenses, non-GAAP operating income, non-GAAP net income, non-GAAP diluted EPS, adjusted EBITDA, and free cash flow in the periods presented.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three</w:t>
      </w:r>
      <w:r>
        <w:rPr>
          <w:rFonts w:ascii="Times New Roman" w:cs="Times New Roman" w:eastAsia="Times New Roman" w:hAnsi="Times New Roman"/>
          <w:sz w:val="18"/>
          <w:szCs w:val="18"/>
          <w:i w:val="1"/>
          <w:iCs w:val="1"/>
          <w:color w:val="222222"/>
        </w:rPr>
        <w:t xml:space="preserve"> months ended </w:t>
      </w:r>
      <w:r>
        <w:rPr>
          <w:rFonts w:ascii="Times New Roman" w:cs="Times New Roman" w:eastAsia="Times New Roman" w:hAnsi="Times New Roman"/>
          <w:sz w:val="18"/>
          <w:szCs w:val="18"/>
          <w:i w:val="1"/>
          <w:iCs w:val="1"/>
          <w:color w:val="000000"/>
        </w:rPr>
        <w:t>March 31, 2026 compared with the three months ended March 31, 2025</w:t>
      </w:r>
    </w:p>
    <w:p>
      <w:pPr>
        <w:spacing w:after="0" w:line="65" w:lineRule="exact"/>
        <w:rPr>
          <w:sz w:val="20"/>
          <w:szCs w:val="20"/>
          <w:color w:val="auto"/>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Revenues were $587.0 million compared with $607.2 million in 2025, a decrease of $20.2 million, or </w:t>
      </w:r>
      <w:r>
        <w:rPr>
          <w:rFonts w:ascii="Times New Roman" w:cs="Times New Roman" w:eastAsia="Times New Roman" w:hAnsi="Times New Roman"/>
          <w:sz w:val="18"/>
          <w:szCs w:val="18"/>
          <w:color w:val="000000"/>
        </w:rPr>
        <w:t>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Gross margin was </w:t>
      </w:r>
      <w:r>
        <w:rPr>
          <w:rFonts w:ascii="Times New Roman" w:cs="Times New Roman" w:eastAsia="Times New Roman" w:hAnsi="Times New Roman"/>
          <w:sz w:val="18"/>
          <w:szCs w:val="18"/>
          <w:color w:val="000000"/>
        </w:rPr>
        <w:t>40.3%</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35.8%</w:t>
      </w:r>
      <w:r>
        <w:rPr>
          <w:rFonts w:ascii="Times New Roman" w:cs="Times New Roman" w:eastAsia="Times New Roman" w:hAnsi="Times New Roman"/>
          <w:sz w:val="18"/>
          <w:szCs w:val="18"/>
          <w:color w:val="222222"/>
        </w:rPr>
        <w:t xml:space="preserve"> in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increased $27.7 million compared with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Net income attributable to Itron, Inc. was $53.5 million compared with net income of $65.5 million in </w:t>
      </w:r>
      <w:r>
        <w:rPr>
          <w:rFonts w:ascii="Times New Roman" w:cs="Times New Roman" w:eastAsia="Times New Roman" w:hAnsi="Times New Roman"/>
          <w:sz w:val="18"/>
          <w:szCs w:val="18"/>
          <w:color w:val="222222"/>
        </w:rPr>
        <w:t>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GAAP diluted EPS decreased by $0.24 to $1.18 in 2026</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Non-GAAP net income attributable to Itron, Inc. was </w:t>
      </w:r>
      <w:r>
        <w:rPr>
          <w:rFonts w:ascii="Times New Roman" w:cs="Times New Roman" w:eastAsia="Times New Roman" w:hAnsi="Times New Roman"/>
          <w:sz w:val="18"/>
          <w:szCs w:val="18"/>
          <w:color w:val="000000"/>
        </w:rPr>
        <w:t>$67.7 million</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$70.1 million</w:t>
      </w:r>
      <w:r>
        <w:rPr>
          <w:rFonts w:ascii="Times New Roman" w:cs="Times New Roman" w:eastAsia="Times New Roman" w:hAnsi="Times New Roman"/>
          <w:sz w:val="18"/>
          <w:szCs w:val="18"/>
          <w:color w:val="222222"/>
        </w:rPr>
        <w:t xml:space="preserve"> in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$1.49, a decrease of $0.03 compared with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Adjusted EBITDA was $92.0 million compared with $87.9 million in </w:t>
      </w:r>
      <w:r>
        <w:rPr>
          <w:rFonts w:ascii="Times New Roman" w:cs="Times New Roman" w:eastAsia="Times New Roman" w:hAnsi="Times New Roman"/>
          <w:sz w:val="18"/>
          <w:szCs w:val="18"/>
          <w:color w:val="222222"/>
        </w:rPr>
        <w:t>2025</w:t>
      </w:r>
    </w:p>
    <w:p>
      <w:pPr>
        <w:spacing w:after="0" w:line="63" w:lineRule="exact"/>
        <w:rPr>
          <w:rFonts w:ascii="Times New Roman" w:cs="Times New Roman" w:eastAsia="Times New Roman" w:hAnsi="Times New Roman"/>
          <w:sz w:val="18"/>
          <w:szCs w:val="18"/>
          <w:color w:val="222222"/>
        </w:rPr>
      </w:pPr>
    </w:p>
    <w:p>
      <w:pPr>
        <w:ind w:left="260" w:hanging="171"/>
        <w:spacing w:after="0" w:line="282" w:lineRule="auto"/>
        <w:tabs>
          <w:tab w:leader="none" w:pos="255"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Total backlog was $4.4 billion, and twelve-month backlog was $1.6 billion at </w:t>
      </w:r>
      <w:r>
        <w:rPr>
          <w:rFonts w:ascii="Times New Roman" w:cs="Times New Roman" w:eastAsia="Times New Roman" w:hAnsi="Times New Roman"/>
          <w:sz w:val="18"/>
          <w:szCs w:val="18"/>
          <w:color w:val="000000"/>
        </w:rPr>
        <w:t>March 31, 2026, compared with</w:t>
      </w:r>
      <w:r>
        <w:rPr>
          <w:rFonts w:ascii="Times New Roman" w:cs="Times New Roman" w:eastAsia="Times New Roman" w:hAnsi="Times New Roman"/>
          <w:sz w:val="18"/>
          <w:szCs w:val="18"/>
          <w:color w:val="222222"/>
        </w:rPr>
        <w:t xml:space="preserve"> $4.7 billion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22222"/>
        </w:rPr>
        <w:t xml:space="preserve"> $1.6 billion </w:t>
      </w:r>
      <w:r>
        <w:rPr>
          <w:rFonts w:ascii="Times New Roman" w:cs="Times New Roman" w:eastAsia="Times New Roman" w:hAnsi="Times New Roman"/>
          <w:sz w:val="18"/>
          <w:szCs w:val="18"/>
          <w:color w:val="000000"/>
        </w:rPr>
        <w:t>at March 31,</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2025</w:t>
      </w: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222222"/>
        </w:rPr>
        <w:t>2026 Convertible Notes</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23, 2026, we closed the sale of $805 million </w:t>
      </w:r>
      <w:r>
        <w:rPr>
          <w:rFonts w:ascii="Times New Roman" w:cs="Times New Roman" w:eastAsia="Times New Roman" w:hAnsi="Times New Roman"/>
          <w:sz w:val="18"/>
          <w:szCs w:val="18"/>
          <w:color w:val="222222"/>
        </w:rPr>
        <w:t>of convertible notes (the 2026 Notes)</w:t>
      </w:r>
      <w:r>
        <w:rPr>
          <w:rFonts w:ascii="Times New Roman" w:cs="Times New Roman" w:eastAsia="Times New Roman" w:hAnsi="Times New Roman"/>
          <w:sz w:val="18"/>
          <w:szCs w:val="18"/>
          <w:color w:val="auto"/>
        </w:rPr>
        <w:t xml:space="preserve"> in a private placement to qualified institutional buyers, resulting in net proceeds to us of $784 million after deducting initial purchasers' discounts of the offering. The 2026 Notes do not bear regular interest, and the principal amount does not accrete. The 2026 Notes mature on March 15, 2032, unless earlier repurchased, redeemed, or converted in accordance with their terms. Refer to Item 1: Financial Statements (Unaudited), Note 6: Debt for further details.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222222"/>
        </w:rPr>
        <w:t>Stock Repurchase Program</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Effective November 10, 2025, Itron's Board of Directors authorized a repurchase up to $250 million of our common stock over an 18-month period (the 2025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w:t>
      </w:r>
      <w:r>
        <w:rPr>
          <w:rFonts w:ascii="Times New Roman" w:cs="Times New Roman" w:eastAsia="Times New Roman" w:hAnsi="Times New Roman"/>
          <w:sz w:val="18"/>
          <w:szCs w:val="18"/>
          <w:color w:val="222222"/>
        </w:rPr>
        <w:t>In February 2026, we repurchased</w:t>
      </w:r>
      <w:r>
        <w:rPr>
          <w:rFonts w:ascii="Times New Roman" w:cs="Times New Roman" w:eastAsia="Times New Roman" w:hAnsi="Times New Roman"/>
          <w:sz w:val="18"/>
          <w:szCs w:val="18"/>
          <w:color w:val="auto"/>
        </w:rPr>
        <w:t xml:space="preserve"> 1,050,309 </w:t>
      </w:r>
      <w:r>
        <w:rPr>
          <w:rFonts w:ascii="Times New Roman" w:cs="Times New Roman" w:eastAsia="Times New Roman" w:hAnsi="Times New Roman"/>
          <w:sz w:val="18"/>
          <w:szCs w:val="18"/>
          <w:color w:val="222222"/>
        </w:rPr>
        <w:t>shares under the 2025 Stock Repurchase Program at an average price of</w:t>
      </w:r>
      <w:r>
        <w:rPr>
          <w:rFonts w:ascii="Times New Roman" w:cs="Times New Roman" w:eastAsia="Times New Roman" w:hAnsi="Times New Roman"/>
          <w:sz w:val="18"/>
          <w:szCs w:val="18"/>
          <w:color w:val="auto"/>
        </w:rPr>
        <w:t xml:space="preserve"> $95.21 </w:t>
      </w:r>
      <w:r>
        <w:rPr>
          <w:rFonts w:ascii="Times New Roman" w:cs="Times New Roman" w:eastAsia="Times New Roman" w:hAnsi="Times New Roman"/>
          <w:sz w:val="18"/>
          <w:szCs w:val="18"/>
          <w:color w:val="222222"/>
        </w:rPr>
        <w:t xml:space="preserve">(excluding commissions) for a total of </w:t>
      </w:r>
      <w:r>
        <w:rPr>
          <w:rFonts w:ascii="Times New Roman" w:cs="Times New Roman" w:eastAsia="Times New Roman" w:hAnsi="Times New Roman"/>
          <w:sz w:val="18"/>
          <w:szCs w:val="18"/>
          <w:color w:val="000000"/>
        </w:rPr>
        <w:t>$100 million</w:t>
      </w:r>
      <w:r>
        <w:rPr>
          <w:rFonts w:ascii="Times New Roman" w:cs="Times New Roman" w:eastAsia="Times New Roman" w:hAnsi="Times New Roman"/>
          <w:sz w:val="18"/>
          <w:szCs w:val="18"/>
          <w:color w:val="222222"/>
        </w:rPr>
        <w:t>. This repurchase was completed in conjunction with the sale of the 2026 Notes.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Business Acquisitions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22222"/>
        </w:rPr>
        <w:t xml:space="preserve">On January 5, 2026, we completed the acquisition of </w:t>
      </w:r>
      <w:r>
        <w:rPr>
          <w:rFonts w:ascii="Times New Roman" w:cs="Times New Roman" w:eastAsia="Times New Roman" w:hAnsi="Times New Roman"/>
          <w:sz w:val="18"/>
          <w:szCs w:val="18"/>
          <w:color w:val="000000"/>
        </w:rPr>
        <w:t>100%</w:t>
      </w:r>
      <w:r>
        <w:rPr>
          <w:rFonts w:ascii="Times New Roman" w:cs="Times New Roman" w:eastAsia="Times New Roman" w:hAnsi="Times New Roman"/>
          <w:sz w:val="18"/>
          <w:szCs w:val="18"/>
          <w:color w:val="222222"/>
        </w:rPr>
        <w:t xml:space="preserve"> of the outstanding equity of Locusview, Ltd. and subsidiaries (collectively, Locusview) a privately held utility-focused software and services company that is based in the United States and Israel. The acquisition provides value to Itron through the leverage of Locusview's digital construction management solutions to enhance Itron's Resiliency Solutions offerings to its customers. </w:t>
      </w:r>
      <w:r>
        <w:rPr>
          <w:rFonts w:ascii="Times New Roman" w:cs="Times New Roman" w:eastAsia="Times New Roman" w:hAnsi="Times New Roman"/>
          <w:sz w:val="18"/>
          <w:szCs w:val="18"/>
          <w:color w:val="000000"/>
        </w:rPr>
        <w:t>The preliminary</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purchase price allocated to acquired assets and liabilities was $546.6 million, which was funded through cash on hand. The purchase price is subject to further adjustment based on final working capital and other closing considerations to be determined following the transaction's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GAAP, Non-GAAP Highlights and Annual Recurring Revenue: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20" w:type="dxa"/>
            <w:vAlign w:val="bottom"/>
            <w:tcBorders>
              <w:bottom w:val="single" w:sz="8" w:color="auto"/>
            </w:tcBorders>
          </w:tcPr>
          <w:p>
            <w:pPr>
              <w:spacing w:after="0"/>
              <w:rPr>
                <w:sz w:val="18"/>
                <w:szCs w:val="18"/>
                <w:color w:val="auto"/>
              </w:rPr>
            </w:pPr>
          </w:p>
        </w:tc>
        <w:tc>
          <w:tcPr>
            <w:tcW w:w="74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1"/>
        </w:trPr>
        <w:tc>
          <w:tcPr>
            <w:tcW w:w="20" w:type="dxa"/>
            <w:vAlign w:val="bottom"/>
          </w:tcPr>
          <w:p>
            <w:pPr>
              <w:spacing w:after="0"/>
              <w:rPr>
                <w:sz w:val="14"/>
                <w:szCs w:val="14"/>
                <w:color w:val="auto"/>
              </w:rPr>
            </w:pPr>
          </w:p>
        </w:tc>
        <w:tc>
          <w:tcPr>
            <w:tcW w:w="744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744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477,801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523,141</w:t>
            </w:r>
          </w:p>
        </w:tc>
        <w:tc>
          <w:tcPr>
            <w:tcW w:w="12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(9)%</w:t>
            </w:r>
          </w:p>
        </w:tc>
      </w:tr>
      <w:tr>
        <w:trPr>
          <w:trHeight w:val="213"/>
        </w:trPr>
        <w:tc>
          <w:tcPr>
            <w:tcW w:w="2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Service revenues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109,181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84,010</w:t>
            </w:r>
          </w:p>
        </w:tc>
        <w:tc>
          <w:tcPr>
            <w:tcW w:w="122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30%</w:t>
            </w:r>
          </w:p>
        </w:tc>
      </w:tr>
      <w:tr>
        <w:trPr>
          <w:trHeight w:val="212"/>
        </w:trPr>
        <w:tc>
          <w:tcPr>
            <w:tcW w:w="20" w:type="dxa"/>
            <w:vAlign w:val="bottom"/>
            <w:shd w:val="clear" w:color="auto" w:fill="CCEEFF"/>
          </w:tcPr>
          <w:p>
            <w:pPr>
              <w:spacing w:after="0"/>
              <w:rPr>
                <w:sz w:val="18"/>
                <w:szCs w:val="18"/>
                <w:color w:val="auto"/>
              </w:rPr>
            </w:pPr>
          </w:p>
        </w:tc>
        <w:tc>
          <w:tcPr>
            <w:tcW w:w="744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586,982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607,151</w:t>
            </w:r>
          </w:p>
        </w:tc>
        <w:tc>
          <w:tcPr>
            <w:tcW w:w="12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7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236,319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217,219</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20" w:type="dxa"/>
            <w:vAlign w:val="bottom"/>
          </w:tcPr>
          <w:p>
            <w:pPr>
              <w:spacing w:after="0"/>
              <w:rPr>
                <w:sz w:val="18"/>
                <w:szCs w:val="18"/>
                <w:color w:val="auto"/>
              </w:rPr>
            </w:pPr>
          </w:p>
        </w:tc>
        <w:tc>
          <w:tcPr>
            <w:tcW w:w="7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168,742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141,006</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20" w:type="dxa"/>
            <w:vAlign w:val="bottom"/>
            <w:shd w:val="clear" w:color="auto" w:fill="CCEEFF"/>
          </w:tcPr>
          <w:p>
            <w:pPr>
              <w:spacing w:after="0"/>
              <w:rPr>
                <w:sz w:val="19"/>
                <w:szCs w:val="19"/>
                <w:color w:val="auto"/>
              </w:rPr>
            </w:pPr>
          </w:p>
        </w:tc>
        <w:tc>
          <w:tcPr>
            <w:tcW w:w="7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67,577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76,213</w:t>
            </w:r>
          </w:p>
        </w:tc>
        <w:tc>
          <w:tcPr>
            <w:tcW w:w="12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(11)%</w:t>
            </w:r>
          </w:p>
        </w:tc>
      </w:tr>
      <w:tr>
        <w:trPr>
          <w:trHeight w:val="213"/>
        </w:trPr>
        <w:tc>
          <w:tcPr>
            <w:tcW w:w="20" w:type="dxa"/>
            <w:vAlign w:val="bottom"/>
          </w:tcPr>
          <w:p>
            <w:pPr>
              <w:spacing w:after="0"/>
              <w:rPr>
                <w:sz w:val="18"/>
                <w:szCs w:val="18"/>
                <w:color w:val="auto"/>
              </w:rPr>
            </w:pPr>
          </w:p>
        </w:tc>
        <w:tc>
          <w:tcPr>
            <w:tcW w:w="7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6,066</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20" w:type="dxa"/>
            <w:vAlign w:val="bottom"/>
            <w:shd w:val="clear" w:color="auto" w:fill="CCEEFF"/>
          </w:tcPr>
          <w:p>
            <w:pPr>
              <w:spacing w:after="0"/>
              <w:rPr>
                <w:sz w:val="19"/>
                <w:szCs w:val="19"/>
                <w:color w:val="auto"/>
              </w:rPr>
            </w:pPr>
          </w:p>
        </w:tc>
        <w:tc>
          <w:tcPr>
            <w:tcW w:w="7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(13,609)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(16,929)</w:t>
            </w:r>
          </w:p>
        </w:tc>
        <w:tc>
          <w:tcPr>
            <w:tcW w:w="12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(20)%</w:t>
            </w:r>
          </w:p>
        </w:tc>
      </w:tr>
      <w:tr>
        <w:trPr>
          <w:trHeight w:val="213"/>
        </w:trPr>
        <w:tc>
          <w:tcPr>
            <w:tcW w:w="20" w:type="dxa"/>
            <w:vAlign w:val="bottom"/>
          </w:tcPr>
          <w:p>
            <w:pPr>
              <w:spacing w:after="0"/>
              <w:rPr>
                <w:sz w:val="18"/>
                <w:szCs w:val="18"/>
                <w:color w:val="auto"/>
              </w:rPr>
            </w:pPr>
          </w:p>
        </w:tc>
        <w:tc>
          <w:tcPr>
            <w:tcW w:w="7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attributable to Itron, Inc.</w:t>
            </w: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53,459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65,474</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(18)%</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744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w:t>
            </w:r>
            <w:r>
              <w:rPr>
                <w:rFonts w:ascii="Times New Roman" w:cs="Times New Roman" w:eastAsia="Times New Roman" w:hAnsi="Times New Roman"/>
                <w:sz w:val="20"/>
                <w:szCs w:val="20"/>
                <w:b w:val="1"/>
                <w:bCs w:val="1"/>
                <w:color w:val="auto"/>
                <w:vertAlign w:val="superscript"/>
              </w:rPr>
              <w:t>(1)</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154,359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136,950</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20" w:type="dxa"/>
            <w:vAlign w:val="bottom"/>
          </w:tcPr>
          <w:p>
            <w:pPr>
              <w:spacing w:after="0"/>
              <w:rPr>
                <w:sz w:val="18"/>
                <w:szCs w:val="18"/>
                <w:color w:val="auto"/>
              </w:rPr>
            </w:pPr>
          </w:p>
        </w:tc>
        <w:tc>
          <w:tcPr>
            <w:tcW w:w="7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84,455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80,269</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20" w:type="dxa"/>
            <w:vAlign w:val="bottom"/>
            <w:shd w:val="clear" w:color="auto" w:fill="CCEEFF"/>
          </w:tcPr>
          <w:p>
            <w:pPr>
              <w:spacing w:after="0"/>
              <w:rPr>
                <w:sz w:val="19"/>
                <w:szCs w:val="19"/>
                <w:color w:val="auto"/>
              </w:rPr>
            </w:pPr>
          </w:p>
        </w:tc>
        <w:tc>
          <w:tcPr>
            <w:tcW w:w="7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67,692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70,110</w:t>
            </w:r>
          </w:p>
        </w:tc>
        <w:tc>
          <w:tcPr>
            <w:tcW w:w="12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r>
      <w:tr>
        <w:trPr>
          <w:trHeight w:val="213"/>
        </w:trPr>
        <w:tc>
          <w:tcPr>
            <w:tcW w:w="20" w:type="dxa"/>
            <w:vAlign w:val="bottom"/>
          </w:tcPr>
          <w:p>
            <w:pPr>
              <w:spacing w:after="0"/>
              <w:rPr>
                <w:sz w:val="18"/>
                <w:szCs w:val="18"/>
                <w:color w:val="auto"/>
              </w:rPr>
            </w:pPr>
          </w:p>
        </w:tc>
        <w:tc>
          <w:tcPr>
            <w:tcW w:w="7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91,964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87,931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744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GAAP Margins and EPS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4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Product gross margin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44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gross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Total gross margin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7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7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744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 xml:space="preserve">Non-GAAP EPS </w:t>
            </w:r>
            <w:r>
              <w:rPr>
                <w:rFonts w:ascii="Times New Roman" w:cs="Times New Roman" w:eastAsia="Times New Roman" w:hAnsi="Times New Roman"/>
                <w:sz w:val="20"/>
                <w:szCs w:val="20"/>
                <w:b w:val="1"/>
                <w:bCs w:val="1"/>
                <w:color w:val="auto"/>
                <w:vertAlign w:val="superscript"/>
              </w:rPr>
              <w:t>(1)</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EPS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135" w:lineRule="exact"/>
        <w:rPr>
          <w:sz w:val="20"/>
          <w:szCs w:val="20"/>
          <w:color w:val="auto"/>
        </w:rPr>
      </w:pPr>
    </w:p>
    <w:p>
      <w:pPr>
        <w:ind w:left="340" w:right="20" w:hanging="332"/>
        <w:spacing w:after="0" w:line="225"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42-45 for information about these non-GAAP measures and reconciliations to the most comparable GAAP measures.</w:t>
      </w:r>
    </w:p>
    <w:p>
      <w:pPr>
        <w:spacing w:after="0" w:line="21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Effective with our 2025 Annual Report, we transitioned our reported performance metric below from endpoints under management to annual recurring revenue (ARR). ARR is not evenly distributed across endpoints under management, and this change is intended to provide a more accurate and transparent view of our ongoing operations by highlighting predictable,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revenue streams.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ARR is a widely recognized indicator of long-term financial stability and growth and offers improved comparability, transparency, and insight into revenue sustainability. Endpoints under management does not reflect the flexibility afforded to our customers to deploy multiple applications, services, outcomes, and higher margin recurring offerings that can be associated with an endpoint over its useful life. The adoption of ARR better reflects the value of ongoing customer relationships across all of our solutions, including those offered by our new Resiliency Solutions segment.</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Definition of Annual Recurring Revenue</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ARR is an operating metric and represents an annualized calculation of quarterly recurring revenue. This metric primarily includes subscription and maintenance revenues (see examples of ARR components below). ARR should be viewed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independently of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revenue</w:t>
      </w:r>
      <w:r>
        <w:rPr>
          <w:rFonts w:ascii="Times New Roman" w:cs="Times New Roman" w:eastAsia="Times New Roman" w:hAnsi="Times New Roman"/>
          <w:sz w:val="18"/>
          <w:szCs w:val="18"/>
          <w:color w:val="auto"/>
        </w:rPr>
        <w:t xml:space="preserve"> as ARR is an operating metric and is not intended to be combined with or replace these items. ARR is not a forecast of future revenue, which can be impacted by contract start and end dates, cancellation and renewal rates, upgrades or downgrades, foreign exchange rate fluctuations, acquisitions or divestitures, and does not include revenue from appliance hardware, perpetual software, or professional services. Our calculation of ARR does not give effect to the impact of any anticipated future price increases or decreases. We consider ARR a useful measure of the value of the recurring components of our business because it reflects both our ability to attract new customers for our solutions and our success at retaining and expanding our relationships with existing customers. Our measure of ARR may be different than similarly titled metrics used by other companies.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Annual recurring revenue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 component examples:</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subscription-based SaaS contracts</w:t>
      </w:r>
    </w:p>
    <w:p>
      <w:pPr>
        <w:spacing w:after="0" w:line="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term-based subscription license contracts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services subscriptions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or other support contracts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PaaS subscriptions (platform-as-a-service)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wp:posOffset>
            </wp:positionV>
            <wp:extent cx="21602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9" w:lineRule="exact"/>
        <w:rPr>
          <w:sz w:val="20"/>
          <w:szCs w:val="20"/>
          <w:color w:val="auto"/>
        </w:rPr>
      </w:pPr>
    </w:p>
    <w:p>
      <w:pPr>
        <w:ind w:left="640"/>
        <w:spacing w:after="0"/>
        <w:tabs>
          <w:tab w:leader="none" w:pos="238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43" w:lineRule="exact"/>
        <w:rPr>
          <w:sz w:val="20"/>
          <w:szCs w:val="20"/>
          <w:color w:val="auto"/>
        </w:rPr>
      </w:pPr>
    </w:p>
    <w:p>
      <w:pPr>
        <w:spacing w:after="0"/>
        <w:tabs>
          <w:tab w:leader="none" w:pos="1260" w:val="left"/>
          <w:tab w:leader="none" w:pos="1740" w:val="left"/>
          <w:tab w:leader="none" w:pos="3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414</w:t>
        <w:tab/>
        <w:t>$</w:t>
      </w:r>
      <w:r>
        <w:rPr>
          <w:sz w:val="20"/>
          <w:szCs w:val="20"/>
          <w:color w:val="auto"/>
        </w:rPr>
        <w:tab/>
      </w:r>
      <w:r>
        <w:rPr>
          <w:rFonts w:ascii="Times New Roman" w:cs="Times New Roman" w:eastAsia="Times New Roman" w:hAnsi="Times New Roman"/>
          <w:sz w:val="17"/>
          <w:szCs w:val="17"/>
          <w:color w:val="auto"/>
        </w:rPr>
        <w:t>324</w:t>
      </w:r>
    </w:p>
    <w:p>
      <w:pPr>
        <w:spacing w:after="0" w:line="2037" w:lineRule="exact"/>
        <w:rPr>
          <w:sz w:val="20"/>
          <w:szCs w:val="20"/>
          <w:color w:val="auto"/>
        </w:rPr>
      </w:pPr>
    </w:p>
    <w:p>
      <w:pPr>
        <w:sectPr>
          <w:pgSz w:w="11900" w:h="16838" w:orient="portrait"/>
          <w:cols w:equalWidth="0" w:num="2">
            <w:col w:w="7140" w:space="720"/>
            <w:col w:w="3380"/>
          </w:cols>
          <w:pgMar w:left="320" w:top="121" w:right="33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8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4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607,151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(20,169)</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19,100</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2026 vs. Three months ended March 31, 2025</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22222"/>
        </w:rPr>
        <w:t xml:space="preserve">Total revenues decreased $20.2 million compared with the same period in </w:t>
      </w:r>
      <w:r>
        <w:rPr>
          <w:rFonts w:ascii="Times New Roman" w:cs="Times New Roman" w:eastAsia="Times New Roman" w:hAnsi="Times New Roman"/>
          <w:sz w:val="18"/>
          <w:szCs w:val="18"/>
          <w:color w:val="000000"/>
        </w:rPr>
        <w:t>2025. Product revenues decreased by $45.3 million, and service revenues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increased by $25.2 million. </w:t>
      </w:r>
      <w:r>
        <w:rPr>
          <w:rFonts w:ascii="Times New Roman" w:cs="Times New Roman" w:eastAsia="Times New Roman" w:hAnsi="Times New Roman"/>
          <w:sz w:val="18"/>
          <w:szCs w:val="18"/>
          <w:color w:val="222222"/>
        </w:rPr>
        <w:t>Device Solutions decreased by $1.5 million; Networked Solutions decreased by</w:t>
      </w:r>
      <w:r>
        <w:rPr>
          <w:rFonts w:ascii="Times New Roman" w:cs="Times New Roman" w:eastAsia="Times New Roman" w:hAnsi="Times New Roman"/>
          <w:sz w:val="18"/>
          <w:szCs w:val="18"/>
          <w:color w:val="000000"/>
        </w:rPr>
        <w:t xml:space="preserve"> $52.1 million</w:t>
      </w:r>
      <w:r>
        <w:rPr>
          <w:rFonts w:ascii="Times New Roman" w:cs="Times New Roman" w:eastAsia="Times New Roman" w:hAnsi="Times New Roman"/>
          <w:sz w:val="18"/>
          <w:szCs w:val="18"/>
          <w:color w:val="222222"/>
        </w:rPr>
        <w:t>; and Outcomes increased by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$17.4 million when compared with the same period last year. Resiliency Solutions provided revenues of $16.0 million during the quarter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22222"/>
        </w:rPr>
        <w:t xml:space="preserve"> C</w:t>
      </w:r>
      <w:r>
        <w:rPr>
          <w:rFonts w:ascii="Times New Roman" w:cs="Times New Roman" w:eastAsia="Times New Roman" w:hAnsi="Times New Roman"/>
          <w:sz w:val="18"/>
          <w:szCs w:val="18"/>
          <w:color w:val="000000"/>
        </w:rPr>
        <w:t>hanges in</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exchange rates favorably impacted total revenues by </w:t>
      </w:r>
      <w:r>
        <w:rPr>
          <w:rFonts w:ascii="Times New Roman" w:cs="Times New Roman" w:eastAsia="Times New Roman" w:hAnsi="Times New Roman"/>
          <w:sz w:val="18"/>
          <w:szCs w:val="18"/>
          <w:color w:val="222222"/>
        </w:rPr>
        <w:t>$13.7 million, of which $10.1 million favorably impacted Device Solutions and $2.4 million favorably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impacted Networked Solutions.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Three months ended March 31, 2026 vs. Three months ended March 31, 2025</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222222"/>
        </w:rPr>
        <w:t xml:space="preserve">Gross margin was 40.3%, compared with 35.8%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 xml:space="preserve">. Product sales gross margin increased to 37.2%, compared with 33.8%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 xml:space="preserve"> and gross margin on service revenues increased to 53.8%, compared with 48.2%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Reportable Segment Results section below for further detail on total company revenues and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1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2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18,446</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0" w:type="dxa"/>
            <w:vAlign w:val="bottom"/>
          </w:tcPr>
          <w:p>
            <w:pPr>
              <w:spacing w:after="0"/>
              <w:rPr>
                <w:sz w:val="1"/>
                <w:szCs w:val="1"/>
                <w:color w:val="auto"/>
              </w:rPr>
            </w:pPr>
          </w:p>
        </w:tc>
      </w:tr>
      <w:tr>
        <w:trPr>
          <w:trHeight w:val="213"/>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7"/>
        </w:trPr>
        <w:tc>
          <w:tcPr>
            <w:tcW w:w="3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168,742</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141,006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26,107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27,736</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increased $27.7 million for the three months ended March 31, 2026 as compared with the same period in 2025. This was primarily the result of a $18.4 million increase in sales, general and administrative expenses primarily driven by increased labor and acquisition-related costs, a $4.9 million increase in research and development expenses primarily driven by increased labor costs, and a $3.7 million increase in amortization of intangible assets. Refer to Item 1: Financial Statements (Unaudited), Note 4: Intangible Assets included in this Quarterly Report on Form 10-Q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80" w:type="dxa"/>
            <w:vAlign w:val="bottom"/>
          </w:tcPr>
          <w:p>
            <w:pPr>
              <w:spacing w:after="0"/>
              <w:rPr>
                <w:sz w:val="18"/>
                <w:szCs w:val="18"/>
                <w:color w:val="auto"/>
              </w:rPr>
            </w:pPr>
          </w:p>
        </w:tc>
      </w:tr>
      <w:tr>
        <w:trPr>
          <w:trHeight w:val="237"/>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207"/>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4%</w:t>
            </w:r>
          </w:p>
        </w:tc>
      </w:tr>
      <w:tr>
        <w:trPr>
          <w:trHeight w:val="21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4%</w:t>
            </w:r>
          </w:p>
        </w:tc>
      </w:tr>
      <w:tr>
        <w:trPr>
          <w:trHeight w:val="207"/>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4%</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357%</w:t>
            </w:r>
          </w:p>
        </w:tc>
      </w:tr>
      <w:tr>
        <w:trPr>
          <w:trHeight w:val="210"/>
        </w:trPr>
        <w:tc>
          <w:tcPr>
            <w:tcW w:w="7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100" w:type="dxa"/>
            <w:vAlign w:val="bottom"/>
            <w:tcBorders>
              <w:bottom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three months ended March 31, 2026 was expense of $0.4 million, compared with income of $6.1 million in the same period in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other income for the three months ended March 31, 2026, as compared with the same period in 2025, was driven by the $6.1 million decrease in interest income primarily due to decreased interest-earning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our income tax expense was $13.6 million, compared with income tax expense of $16.9 million for the same period in 2025. Our tax rate for the three months ended March 31, 2026 of 20% differed from the federal statutory rate of 21% due to the impact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 Our tax rate for the three months ended March 31, 2025 of 21% was in line with the federal statutory rate of 21% and overall was impacted by the effect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sweeping legislative package formally titled "An act to provide for reconciliation pursuant to title II of H. Con. Res. 14" (the "Act"), and commonly referred to as the One Big Beautiful Bill Act, was signed into law on July 4, 2025. The legislation included numerous changes to existing tax law that took effect in 2026. There were also changes that were retroactive to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of 2025, including the deductibility of current and previously capitalized domestic research and development costs. These changes did not have a significant impact on our consolidated financial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took effect for calendar year 2024. The OECD released further guidance on January 6, 2026, which included new and revised safe harbor rules, including a new permanent safe harbor, and the framework for a "side-by-side" agreement that would exempt US-based multinational companies from all top-up taxes, other than qualified domestic top-up taxes imposed on subsidiaries in their countries of residence. Enactment through legislation will be required in order for this additional guidance to be effective and is expected to only be effective for years after 2025. These enactments or amendments could adversely affect our tax rate and ultimately result in a negative impact on our operating results and cash flows. Consistent with calculations for calendar year 2024 and 2025, the Company anticipates it will meet the safe harbors in most jurisdictions in 2026, and any remaining top-up tax should be immaterial.</w:t>
      </w: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discussion related to income taxes, see Item 1: Financial Statements (Unaudited), Note 10: Income Taxes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Results</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a description of our reportable segments, refer to Item 1: Financial Statements (Unaudited), Note 14: Segment Information included in this Quarterly Report on Form 10-Q. The following tables and discussion highlight significant changes in trends or components of each reportable segment:</w:t>
      </w:r>
    </w:p>
    <w:tbl>
      <w:tblPr>
        <w:tblLayout w:type="fixed"/>
        <w:tblInd w:w="0" w:type="dxa"/>
        <w:tblCellMar>
          <w:top w:w="0" w:type="dxa"/>
          <w:left w:w="0" w:type="dxa"/>
          <w:bottom w:w="0" w:type="dxa"/>
          <w:right w:w="0" w:type="dxa"/>
        </w:tblCellMar>
      </w:tblPr>
      <w:tr>
        <w:trPr>
          <w:trHeight w:val="165"/>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Resiliency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607,151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0" w:type="dxa"/>
            <w:vAlign w:val="bottom"/>
          </w:tcPr>
          <w:p>
            <w:pPr>
              <w:spacing w:after="0"/>
              <w:rPr>
                <w:sz w:val="1"/>
                <w:szCs w:val="1"/>
                <w:color w:val="auto"/>
              </w:rPr>
            </w:pPr>
          </w:p>
        </w:tc>
      </w:tr>
      <w:tr>
        <w:trPr>
          <w:trHeight w:val="162"/>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8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40" w:type="dxa"/>
            <w:vAlign w:val="bottom"/>
          </w:tcPr>
          <w:p>
            <w:pPr>
              <w:spacing w:after="0"/>
              <w:rPr>
                <w:sz w:val="14"/>
                <w:szCs w:val="14"/>
                <w:color w:val="auto"/>
              </w:rPr>
            </w:pPr>
          </w:p>
        </w:tc>
        <w:tc>
          <w:tcPr>
            <w:tcW w:w="114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0" w:type="dxa"/>
            <w:vAlign w:val="bottom"/>
          </w:tcPr>
          <w:p>
            <w:pPr>
              <w:spacing w:after="0"/>
              <w:rPr>
                <w:sz w:val="1"/>
                <w:szCs w:val="1"/>
                <w:color w:val="auto"/>
              </w:rPr>
            </w:pPr>
          </w:p>
        </w:tc>
      </w:tr>
      <w:tr>
        <w:trPr>
          <w:trHeight w:val="215"/>
        </w:trPr>
        <w:tc>
          <w:tcPr>
            <w:tcW w:w="6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4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10"/>
        </w:trPr>
        <w:tc>
          <w:tcPr>
            <w:tcW w:w="6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adjusted gross profit and margin</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3"/>
        </w:trPr>
        <w:tc>
          <w:tcPr>
            <w:tcW w:w="6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13"/>
        </w:trPr>
        <w:tc>
          <w:tcPr>
            <w:tcW w:w="6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Resiliency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7"/>
        </w:trPr>
        <w:tc>
          <w:tcPr>
            <w:tcW w:w="6920" w:type="dxa"/>
            <w:vAlign w:val="bottom"/>
            <w:tcBorders>
              <w:top w:val="single" w:sz="8" w:color="CCEEFF"/>
              <w:bottom w:val="single" w:sz="8" w:color="CCEEFF"/>
            </w:tcBorders>
            <w:shd w:val="clear" w:color="auto" w:fill="CCEEFF"/>
          </w:tcPr>
          <w:p>
            <w:pPr>
              <w:ind w:left="300"/>
              <w:spacing w:after="0" w:line="213" w:lineRule="exact"/>
              <w:rPr>
                <w:sz w:val="20"/>
                <w:szCs w:val="20"/>
                <w:color w:val="auto"/>
              </w:rPr>
            </w:pPr>
            <w:r>
              <w:rPr>
                <w:rFonts w:ascii="Times New Roman" w:cs="Times New Roman" w:eastAsia="Times New Roman" w:hAnsi="Times New Roman"/>
                <w:sz w:val="16"/>
                <w:szCs w:val="16"/>
                <w:color w:val="auto"/>
              </w:rPr>
              <w:t xml:space="preserve">Total adjusted gross profit and margin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gridSpan w:val="4"/>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0" w:type="dxa"/>
            <w:vAlign w:val="bottom"/>
          </w:tcPr>
          <w:p>
            <w:pPr>
              <w:spacing w:after="0"/>
              <w:rPr>
                <w:sz w:val="1"/>
                <w:szCs w:val="1"/>
                <w:color w:val="auto"/>
              </w:rPr>
            </w:pPr>
          </w:p>
        </w:tc>
      </w:tr>
      <w:tr>
        <w:trPr>
          <w:trHeight w:val="162"/>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8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40" w:type="dxa"/>
            <w:vAlign w:val="bottom"/>
          </w:tcPr>
          <w:p>
            <w:pPr>
              <w:spacing w:after="0"/>
              <w:rPr>
                <w:sz w:val="14"/>
                <w:szCs w:val="14"/>
                <w:color w:val="auto"/>
              </w:rPr>
            </w:pPr>
          </w:p>
        </w:tc>
        <w:tc>
          <w:tcPr>
            <w:tcW w:w="1140" w:type="dxa"/>
            <w:vAlign w:val="bottom"/>
            <w:gridSpan w:val="3"/>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0" w:type="dxa"/>
            <w:vAlign w:val="bottom"/>
          </w:tcPr>
          <w:p>
            <w:pPr>
              <w:spacing w:after="0"/>
              <w:rPr>
                <w:sz w:val="1"/>
                <w:szCs w:val="1"/>
                <w:color w:val="auto"/>
              </w:rPr>
            </w:pPr>
          </w:p>
        </w:tc>
      </w:tr>
      <w:tr>
        <w:trPr>
          <w:trHeight w:val="215"/>
        </w:trPr>
        <w:tc>
          <w:tcPr>
            <w:tcW w:w="6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4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09"/>
        </w:trPr>
        <w:tc>
          <w:tcPr>
            <w:tcW w:w="6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adjusted operating income and operating margin</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13"/>
        </w:trPr>
        <w:tc>
          <w:tcPr>
            <w:tcW w:w="6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3"/>
        </w:trPr>
        <w:tc>
          <w:tcPr>
            <w:tcW w:w="6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Resiliency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7"/>
        </w:trPr>
        <w:tc>
          <w:tcPr>
            <w:tcW w:w="69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segment adjusted operating income and operating margin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Refer to the Non-GAAP Measures section below on pages 42-45 for additional information on adjusted gross profit and margin</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78"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segment financial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8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34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124,377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(1,494)</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gross profit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6,266</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rPr>
              <w:t>6,421</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2026 vs. Three months ended March 31,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decreased $1.5 million, or 1%. Changes in foreign currency exchange rates favorably impacted revenues by $10.1 million. Revenues were lower due to the planned decrease in electric residential sales in Europe, Middle East, and Africa (EMEA) and lower North American project deployments.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Gross Margin - Three months ended March 31, 2026 vs. Three months ended March 31,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three months ended March 31, 2026, adjusted gross margin was 35.4%, compared with 30.0% for the same period in 2025. The 540 basis point increase over the prior year was primarily driven by improved customer and product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Operating Income - Three months ended March 31, 2026 vs. Three months ended March 31,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Adjusted operating income increased $6.4 million, or 21%, for the first three months of 2026, compared with the same period in 2025. The increase was a result of increased adjusted gross profit.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segment financial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8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34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350,663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(52,069)</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gross profit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2026 vs. Three months ended March 31, 2025</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Revenues decreased $52.1 million, or 13%, for the first three months of 2026, compared with the same period in 2025. The decline was primarily due to timing of customer deployments. Changes in foreign currency exchange rates favorably impacted revenues by $2.4 million.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Gross Margin - Three months ended March 31, 2026 vs. Three months ended March 31, 2025</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Adjusted gross margin was 40.8% for the 2026 period, compared with 36.9% in 2025. The 390 basis point increase was primarily related to favorable customer mix and operational 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Operating Income - Three months ended March 31, 2026 vs. Three months ended March 31,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Adjusted operating income decreased $6.0 million, or 5%, for the first three months of 2026, compared with the same period in 2025. The decrease was a result of lower adjusted gross profit.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820" w:type="dxa"/>
            <w:vAlign w:val="bottom"/>
            <w:tcBorders>
              <w:bottom w:val="single" w:sz="8" w:color="auto"/>
            </w:tcBorders>
            <w:gridSpan w:val="4"/>
            <w:vMerge w:val="continue"/>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104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17,362</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gross profit</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40,024</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2026 vs. Three months ended March 31,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increased $17.4 million, or 22%, for the first three months of 2026, compared with 2025. This increase was driven by higher recurring revenue, as well as increased professional services and hardware sales. Changes in foreign currency exchange rates favorably impacted revenues by $1.3 million.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Gross Margin - Three months ended March 31, 2026 vs. Three months ended March 31,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Adjusted gross margin increased to 41.7% for the period ending in 2026, compared with 39.2% for last year. The 250 basis point increase was driven by improved revenue mix and lower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Operating Income - Three months ended March 31, 2026 vs. Three months ended March 31,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Adjusted operating income for the first three months of 2026 increased $8.0 million, or 56%, compared with the same period last year. This increase was a result of increased adjusted gross profit, partially offset by increased labor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Resiliency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Resiliency Solutions segment financial results were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00" w:type="dxa"/>
            <w:vAlign w:val="bottom"/>
          </w:tcPr>
          <w:p>
            <w:pPr>
              <w:spacing w:after="0"/>
              <w:rPr>
                <w:sz w:val="20"/>
                <w:szCs w:val="20"/>
                <w:color w:val="auto"/>
              </w:rPr>
            </w:pPr>
          </w:p>
        </w:tc>
        <w:tc>
          <w:tcPr>
            <w:tcW w:w="3020" w:type="dxa"/>
            <w:vAlign w:val="bottom"/>
            <w:gridSpan w:val="4"/>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Foreign Currency</w:t>
            </w:r>
          </w:p>
        </w:tc>
        <w:tc>
          <w:tcPr>
            <w:tcW w:w="1620" w:type="dxa"/>
            <w:vAlign w:val="bottom"/>
            <w:gridSpan w:val="2"/>
            <w:vMerge w:val="restart"/>
          </w:tcPr>
          <w:p>
            <w:pPr>
              <w:jc w:val="center"/>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Constant Currency</w:t>
            </w: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Resiliency Solutions Segment</w:t>
            </w:r>
          </w:p>
        </w:tc>
        <w:tc>
          <w:tcPr>
            <w:tcW w:w="106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16,032</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gross profit</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11,698</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2026 vs. Three months ended March 31,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were $16.0 million for the first three months of 2026. Revenues consisted primarily of managed services revenue, as well as hardware and professional services revenue related to deploying customer environments.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Gross Margin - Three months ended March 31, 2026 vs. Three months ended March 31,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Adjusted gross margin was 73.0% for the first three months of 2026. Costs included in calculating gross margin primarily consist of hosting fees, labor costs for managed services and professional services delivery, and certain hardware costs.</w:t>
      </w:r>
    </w:p>
    <w:p>
      <w:pPr>
        <w:spacing w:after="0" w:line="206" w:lineRule="exact"/>
        <w:rPr>
          <w:sz w:val="20"/>
          <w:szCs w:val="20"/>
          <w:color w:val="auto"/>
        </w:rPr>
      </w:pPr>
    </w:p>
    <w:p>
      <w:pPr>
        <w:ind w:right="3320" w:firstLine="20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Operating Income - Three months ended March 31, 2026 vs. Three months ended March 31, 2025 </w:t>
      </w:r>
      <w:r>
        <w:rPr>
          <w:rFonts w:ascii="Times New Roman" w:cs="Times New Roman" w:eastAsia="Times New Roman" w:hAnsi="Times New Roman"/>
          <w:sz w:val="18"/>
          <w:szCs w:val="18"/>
          <w:color w:val="auto"/>
        </w:rPr>
        <w:t>Adjusted operating income was $4.3 million for the first three months of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Three months ended March 31, 2026 vs. Three months ended March 31, 2025</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the first three months of 2026, Corporate unallocated expenses increased $18.9 million, or 22%, compared with the 2025 period. This increase was primarily the result of a $14.0 million increase in sales, general and administrative expenses driven by increased labor and acquisition-related costs, and a $3.7 million increase in amortization of intangible assets. Refer to Item 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(Unaudited), Note 4: Intangible Assets included in this Quarterly Report on Form 10-Q for additional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will vary based on actual currency rates at the time of shipment, availability of critical supply components, and adjusted customer project timing. Backlog is not a complete measure of our future revenues as we also receive book-and-ship orders and frame contracts. Bookings and backlog vary from period to period primarily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Item 1: Financial Statements (Unaudited), Note 15: Revenues included in this Quarterly Report on Form 10-Q.</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3620" w:type="dxa"/>
            <w:vAlign w:val="bottom"/>
            <w:vMerge w:val="restart"/>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Quarterly</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360" w:type="dxa"/>
            <w:vAlign w:val="bottom"/>
          </w:tcPr>
          <w:p>
            <w:pPr>
              <w:spacing w:after="0"/>
              <w:rPr>
                <w:sz w:val="16"/>
                <w:szCs w:val="16"/>
                <w:color w:val="auto"/>
              </w:rPr>
            </w:pP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162"/>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6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360" w:type="dxa"/>
            <w:vAlign w:val="bottom"/>
          </w:tcPr>
          <w:p>
            <w:pPr>
              <w:spacing w:after="0"/>
              <w:rPr>
                <w:sz w:val="14"/>
                <w:szCs w:val="14"/>
                <w:color w:val="auto"/>
              </w:rPr>
            </w:pPr>
          </w:p>
        </w:tc>
        <w:tc>
          <w:tcPr>
            <w:tcW w:w="1360" w:type="dxa"/>
            <w:vAlign w:val="bottom"/>
          </w:tcPr>
          <w:p>
            <w:pPr>
              <w:jc w:val="center"/>
              <w:ind w:right="199"/>
              <w:spacing w:after="0" w:line="162" w:lineRule="exact"/>
              <w:rPr>
                <w:sz w:val="20"/>
                <w:szCs w:val="20"/>
                <w:color w:val="auto"/>
              </w:rPr>
            </w:pPr>
            <w:r>
              <w:rPr>
                <w:rFonts w:ascii="Times New Roman" w:cs="Times New Roman" w:eastAsia="Times New Roman" w:hAnsi="Times New Roman"/>
                <w:sz w:val="16"/>
                <w:szCs w:val="16"/>
                <w:b w:val="1"/>
                <w:bCs w:val="1"/>
                <w:color w:val="auto"/>
              </w:rPr>
              <w:t>12-Month</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vMerge w:val="continue"/>
          </w:tcPr>
          <w:p>
            <w:pPr>
              <w:spacing w:after="0"/>
              <w:rPr>
                <w:sz w:val="18"/>
                <w:szCs w:val="18"/>
                <w:color w:val="auto"/>
              </w:rPr>
            </w:pPr>
          </w:p>
        </w:tc>
        <w:tc>
          <w:tcPr>
            <w:tcW w:w="3620" w:type="dxa"/>
            <w:vAlign w:val="bottom"/>
            <w:tcBorders>
              <w:bottom w:val="single" w:sz="8" w:color="auto"/>
            </w:tcBorders>
          </w:tcPr>
          <w:p>
            <w:pPr>
              <w:jc w:val="center"/>
              <w:ind w:left="265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2026</w:t>
            </w:r>
          </w:p>
        </w:tc>
        <w:tc>
          <w:tcPr>
            <w:tcW w:w="362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476</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4,433</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36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737</w:t>
            </w:r>
          </w:p>
        </w:tc>
        <w:tc>
          <w:tcPr>
            <w:tcW w:w="4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4,501</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2025</w:t>
            </w:r>
          </w:p>
        </w:tc>
        <w:tc>
          <w:tcPr>
            <w:tcW w:w="36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4,311</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2025</w:t>
            </w:r>
          </w:p>
        </w:tc>
        <w:tc>
          <w:tcPr>
            <w:tcW w:w="36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454</w:t>
            </w:r>
          </w:p>
        </w:tc>
        <w:tc>
          <w:tcPr>
            <w:tcW w:w="4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4,514</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2025</w:t>
            </w:r>
          </w:p>
        </w:tc>
        <w:tc>
          <w:tcPr>
            <w:tcW w:w="36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530</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4,659</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72,117</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2,786</w:t>
            </w:r>
          </w:p>
        </w:tc>
      </w:tr>
      <w:tr>
        <w:trPr>
          <w:trHeight w:val="234"/>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(307,547)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72,030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were $712.9 million at March 31, 2026, compared with $1.02 billion at December 31, 2025. The $307.5 million decrease in cash and cash equivalents during the 2026 period was primarily cash used for the acquisition of Locusview and repayment of our 2021 convertible notes, partially offset by net proceeds provided by the 2026 convertible notes sale and lower income tax payments.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during the three months in 2026 was $85.5 million compared with $72.1 million during the same period in 2025. The increase was primarily due to lower income tax payments in 2026, partially offset by decreased earnings in 2026 and working capital (current assets less current liabilities) conversion compared with the same period in 2025.</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investing activities was $521.6 million compared with $4.6 million in 2025, resulting in additional net outflow of $516.9 million. The change was primarily related to net cash used for the acquisition of Locusview of $515 million in 2026, along with an increase of $1.9 million used for purchases of property, plant, and equipment in 2026 compared with the same period in 2025.</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in 2026 was $131.4 million, compared with $1.8 million for the same period in 2025. The change is due primarily to the sale of 2026 of the convertible notes, net of total debt issuance cost, totaling $784 million, partially offset by the repayment of our 2021 convertible notes of $460 million, common stock repurchased totaling $100.0 million, and the purchase of the capped call for the convertible offering of $92.8 million.</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at March 31, 2026 was a decrease of $2.9 million, compared with an increase of $2.8 million for the same period in 2025. Our foreign currency exposure relates to non-U.S. dollar denominated balances in our international subsidiary operations.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85,501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72,117</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(6,527)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(4,639)</w:t>
            </w:r>
          </w:p>
        </w:tc>
      </w:tr>
      <w:tr>
        <w:trPr>
          <w:trHeight w:val="237"/>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Free cash flow</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78,974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67,478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increased due to higher operating cash flow, partially offset by increased spending on property, plant, and equipment. See the cash flow discussion of operating and investing activities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March 31, 2026 and December 31, 2025 that we believe could reasonably likely have a current or future effect on our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25, 2025, we entered into a third amended and restated credit agreement (the 2025 credit facility) providing for committed credit facilities in the amount of $750 million. The 2025 credit facility consists of a multi-currency revolving line of credit (the revolver) in the amount of $750 million. The revolver includes a standby letter of credit sub-facility in the amount of $300 million, and a swingline sub-facility in the amount of $50 million. As of March 31, 2026, no amount was outstanding under the 2025 credit facility and $43.4 million was utilized by outstanding standby letters of credit, resulting in $706.6 million available for borrowing. As of March 31, 2026, $256.6 million was available for additional standby letters of credit under the letter of credit sub-facility and no amounts were outstanding under the swingline sub-facility. Any outstanding principal under the revolver is due at maturity on September 25, 2030. Principal amounts paid prior to the maturity date may be reborrowed prior to such date. However, that date may be advanced to April 15, 2030 if we do not settle or extend a sufficient portion of our outstanding convertible notes, as detailed in the 2025 credit facility.</w:t>
      </w: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21, 2024, we closed the sale of $805 million in convertible notes (the 2024 Notes) in a private placement to qualified institutional buyers. These convertible notes accrue interest at a rate of 1.375% per annum, payable semi-annually in arrears 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January 15 and July 15 of each year, with the first payment made January 15, 2025. The 2024 Notes will mature on July 15, 2030, unless earlier repurchased, redeemed, or converted in accordance with their terms.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2222"/>
        </w:rPr>
        <w:t>On February 23, 2026, we closed the sale of $805 million of convertible notes (the 2026 Notes) in a private placement to qualified institutional buyers. The 2026 Notes do not bear regular interest. The Notes will mature on March 15, 2032, unless earlier repurchased, redeemed, or converted in accordance with their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our borrowings, refer to Item 1: Financial Statements (Unaudited), Note 6: Debt included in this Quarterly Report on Form 10-Q.</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2025 credit facility, refer to Item 1: Financial Statements (Unaudited), Note 11: Commitments and Contingencies included in this Quarterly Report on Form 10-Q.</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were substantially complete as of March 31, 2025. For the three months ended March 31, 2026, we paid out $3.7 million related to all our restructuring projects. As of March 31, 2026, $14.7 million was accrued for these restructuring projects, of which $11.4 million is expected to be paid within the next 12 months.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November 10, 2025, Itron's Board of Directors authorized a repurchase up to $250 million of our common stock over an 18-month period (the 2025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In February 2026, Itron repurchased 1,050,309 shares of its common stock for a total of $100 million under the 2025 Stock Repurchase Program.</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including anticipated impacts of the Act, we expect to pay, net of refunds, $7 million in state taxes and $18 million in local and foreign taxes during 2026. We expect net refunds of approximately $24 million in U.S. federal taxes. For a discussion of our tax provision and unrecognized tax benefits, see Item 1: Financial Statements (Unaudited), Note 10: Income Taxes included in this Quarterly Report on Form 10-Q.</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there was $64.0 million of cash and short-term investments held by certain foreign subsidiaries in which we are permanently reinvested for tax purposes. As a result of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Times New Roman" w:cs="Times New Roman" w:eastAsia="Times New Roman" w:hAnsi="Times New Roman"/>
          <w:sz w:val="18"/>
          <w:szCs w:val="18"/>
          <w:color w:val="222222"/>
        </w:rPr>
        <w:t>our dependence on certain key vendors and components,</w:t>
      </w:r>
      <w:r>
        <w:rPr>
          <w:rFonts w:ascii="Times New Roman" w:cs="Times New Roman" w:eastAsia="Times New Roman" w:hAnsi="Times New Roman"/>
          <w:sz w:val="18"/>
          <w:szCs w:val="18"/>
          <w:color w:val="auto"/>
        </w:rPr>
        <w:t xml:space="preserve"> changes in estimated liabilities for product warranties and/or litigation, supply constraints, future business combinations, capital market fluctuations, international risks, and other factors described under Part I, Item 1A: Risk Factors of our 2025 Annual Report, as well as Part I, Item 3: Quantitative and Qualitative Disclosures About Market Risk included in this Quarterly Report on Form 10-Q.</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2025 Annual Report and have not changed materially.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adjusted gross profit, adjusted operating income,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depreciation of property, plant, and equipment and certain discrete cash and non-cash charges, such as restructuring, loss on sale of business, strategic initiative expenses,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Non-GAAP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operating income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loss on sale of business, strategic initiative expenses, and acquisition and integration related expenses. We define non-GAAP operating income as operating income excluding the expenses related to the amortization of intangible assets, restructuring, loss on sale of business, strategic initiative expenses, and acquisition and integration related expenses. Acquisition and integration related expenses include costs, which are incurred to affect and integrate business combinations, such as professional fees; certain employee retention and salaries related to integration; employee severance;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Non-GAAP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diluted EPS </w:t>
      </w:r>
      <w:r>
        <w:rPr>
          <w:rFonts w:ascii="Times New Roman" w:cs="Times New Roman" w:eastAsia="Times New Roman" w:hAnsi="Times New Roman"/>
          <w:sz w:val="18"/>
          <w:szCs w:val="18"/>
          <w:color w:val="auto"/>
        </w:rPr>
        <w:t>– We define non-GAAP net income as net income attributable to Itron, Inc. excluding the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amortization of intangible assets, amortization of debt placement fees, restructuring, loss on sale of business, strategic initiative expenses, acquisition and integration related expenses, and the tax effect of excluding these expenses. We define non-GAAP diluted EPS as non-GAAP net income divided by diluted weighted-average shares outstanding during the period calculated on a GAAP basis and then reduced to reflect any anti-dilutive impact of the convertible notes hedge transactions.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 We define adjusted EBITDA as net income (a) minus interest income, (b) plus interest expense,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loss on sale of business, strategic initiative expenses,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Adjusted gross profit </w:t>
      </w:r>
      <w:r>
        <w:rPr>
          <w:rFonts w:ascii="Times New Roman" w:cs="Times New Roman" w:eastAsia="Times New Roman" w:hAnsi="Times New Roman"/>
          <w:sz w:val="18"/>
          <w:szCs w:val="18"/>
          <w:color w:val="auto"/>
        </w:rPr>
        <w:t>– We define adjusted gross profit as gross profit excluding the amortization expense of core-developed technology intangible assets.</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operating income </w:t>
      </w:r>
      <w:r>
        <w:rPr>
          <w:rFonts w:ascii="Times New Roman" w:cs="Times New Roman" w:eastAsia="Times New Roman" w:hAnsi="Times New Roman"/>
          <w:sz w:val="18"/>
          <w:szCs w:val="18"/>
          <w:color w:val="auto"/>
        </w:rPr>
        <w:t>– We define adjusted operating income as operating income excluding the amortization of core-developed technology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100" w:type="dxa"/>
            <w:vAlign w:val="bottom"/>
          </w:tcPr>
          <w:p>
            <w:pPr>
              <w:spacing w:after="0"/>
              <w:rPr>
                <w:sz w:val="18"/>
                <w:szCs w:val="18"/>
                <w:color w:val="auto"/>
              </w:rPr>
            </w:pPr>
          </w:p>
        </w:tc>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0"/>
        </w:trPr>
        <w:tc>
          <w:tcPr>
            <w:tcW w:w="100" w:type="dxa"/>
            <w:vAlign w:val="bottom"/>
          </w:tcPr>
          <w:p>
            <w:pPr>
              <w:spacing w:after="0"/>
              <w:rPr>
                <w:sz w:val="18"/>
                <w:szCs w:val="18"/>
                <w:color w:val="auto"/>
              </w:rPr>
            </w:pPr>
          </w:p>
        </w:tc>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100" w:type="dxa"/>
            <w:vAlign w:val="bottom"/>
            <w:shd w:val="clear" w:color="auto" w:fill="CCEEFF"/>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expenses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141,006</w:t>
            </w:r>
          </w:p>
        </w:tc>
      </w:tr>
      <w:tr>
        <w:trPr>
          <w:trHeight w:val="216"/>
        </w:trPr>
        <w:tc>
          <w:tcPr>
            <w:tcW w:w="100" w:type="dxa"/>
            <w:vAlign w:val="bottom"/>
          </w:tcPr>
          <w:p>
            <w:pPr>
              <w:spacing w:after="0"/>
              <w:rPr>
                <w:sz w:val="18"/>
                <w:szCs w:val="18"/>
                <w:color w:val="auto"/>
              </w:rPr>
            </w:pPr>
          </w:p>
        </w:tc>
        <w:tc>
          <w:tcPr>
            <w:tcW w:w="77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w:t>
            </w:r>
          </w:p>
        </w:tc>
      </w:tr>
      <w:tr>
        <w:trPr>
          <w:trHeight w:val="216"/>
        </w:trPr>
        <w:tc>
          <w:tcPr>
            <w:tcW w:w="100" w:type="dxa"/>
            <w:vAlign w:val="bottom"/>
            <w:shd w:val="clear" w:color="auto" w:fill="CCEEFF"/>
          </w:tcPr>
          <w:p>
            <w:pPr>
              <w:spacing w:after="0"/>
              <w:rPr>
                <w:sz w:val="18"/>
                <w:szCs w:val="18"/>
                <w:color w:val="auto"/>
              </w:rPr>
            </w:pPr>
          </w:p>
        </w:tc>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13"/>
        </w:trPr>
        <w:tc>
          <w:tcPr>
            <w:tcW w:w="100" w:type="dxa"/>
            <w:vAlign w:val="bottom"/>
          </w:tcPr>
          <w:p>
            <w:pPr>
              <w:spacing w:after="0"/>
              <w:rPr>
                <w:sz w:val="18"/>
                <w:szCs w:val="18"/>
                <w:color w:val="auto"/>
              </w:rPr>
            </w:pPr>
          </w:p>
        </w:tc>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9"/>
        </w:trPr>
        <w:tc>
          <w:tcPr>
            <w:tcW w:w="100" w:type="dxa"/>
            <w:vAlign w:val="bottom"/>
            <w:shd w:val="clear" w:color="auto" w:fill="CCEEFF"/>
          </w:tcPr>
          <w:p>
            <w:pPr>
              <w:spacing w:after="0"/>
              <w:rPr>
                <w:sz w:val="19"/>
                <w:szCs w:val="19"/>
                <w:color w:val="auto"/>
              </w:rPr>
            </w:pPr>
          </w:p>
        </w:tc>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10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136,950</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100" w:type="dxa"/>
            <w:vAlign w:val="bottom"/>
            <w:shd w:val="clear" w:color="auto" w:fill="CCEEFF"/>
          </w:tcPr>
          <w:p>
            <w:pPr>
              <w:spacing w:after="0"/>
              <w:rPr>
                <w:sz w:val="18"/>
                <w:szCs w:val="18"/>
                <w:color w:val="auto"/>
              </w:rPr>
            </w:pPr>
          </w:p>
        </w:tc>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10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GAAP operating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67,577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76,213</w:t>
            </w:r>
          </w:p>
        </w:tc>
      </w:tr>
      <w:tr>
        <w:trPr>
          <w:trHeight w:val="219"/>
        </w:trPr>
        <w:tc>
          <w:tcPr>
            <w:tcW w:w="100" w:type="dxa"/>
            <w:vAlign w:val="bottom"/>
            <w:shd w:val="clear" w:color="auto" w:fill="CCEEFF"/>
          </w:tcPr>
          <w:p>
            <w:pPr>
              <w:spacing w:after="0"/>
              <w:rPr>
                <w:sz w:val="19"/>
                <w:szCs w:val="19"/>
                <w:color w:val="auto"/>
              </w:rPr>
            </w:pPr>
          </w:p>
        </w:tc>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w:t>
            </w:r>
          </w:p>
        </w:tc>
      </w:tr>
      <w:tr>
        <w:trPr>
          <w:trHeight w:val="213"/>
        </w:trPr>
        <w:tc>
          <w:tcPr>
            <w:tcW w:w="100" w:type="dxa"/>
            <w:vAlign w:val="bottom"/>
          </w:tcPr>
          <w:p>
            <w:pPr>
              <w:spacing w:after="0"/>
              <w:rPr>
                <w:sz w:val="18"/>
                <w:szCs w:val="18"/>
                <w:color w:val="auto"/>
              </w:rPr>
            </w:pPr>
          </w:p>
        </w:tc>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19"/>
        </w:trPr>
        <w:tc>
          <w:tcPr>
            <w:tcW w:w="100" w:type="dxa"/>
            <w:vAlign w:val="bottom"/>
            <w:shd w:val="clear" w:color="auto" w:fill="CCEEFF"/>
          </w:tcPr>
          <w:p>
            <w:pPr>
              <w:spacing w:after="0"/>
              <w:rPr>
                <w:sz w:val="19"/>
                <w:szCs w:val="19"/>
                <w:color w:val="auto"/>
              </w:rPr>
            </w:pPr>
          </w:p>
        </w:tc>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100" w:type="dxa"/>
            <w:vAlign w:val="bottom"/>
          </w:tcPr>
          <w:p>
            <w:pPr>
              <w:spacing w:after="0"/>
              <w:rPr>
                <w:sz w:val="18"/>
                <w:szCs w:val="18"/>
                <w:color w:val="auto"/>
              </w:rPr>
            </w:pPr>
          </w:p>
        </w:tc>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100" w:type="dxa"/>
            <w:vAlign w:val="bottom"/>
            <w:shd w:val="clear" w:color="auto" w:fill="CCEEFF"/>
          </w:tcPr>
          <w:p>
            <w:pPr>
              <w:spacing w:after="0"/>
              <w:rPr>
                <w:sz w:val="18"/>
                <w:szCs w:val="18"/>
                <w:color w:val="auto"/>
              </w:rPr>
            </w:pPr>
          </w:p>
        </w:tc>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10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income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84,455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80,269</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7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7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100" w:type="dxa"/>
            <w:vAlign w:val="bottom"/>
          </w:tcPr>
          <w:p>
            <w:pPr>
              <w:spacing w:after="0"/>
              <w:rPr>
                <w:sz w:val="18"/>
                <w:szCs w:val="18"/>
                <w:color w:val="auto"/>
              </w:rPr>
            </w:pPr>
          </w:p>
        </w:tc>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100" w:type="dxa"/>
            <w:vAlign w:val="bottom"/>
            <w:shd w:val="clear" w:color="auto" w:fill="CCEEFF"/>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65,474</w:t>
            </w:r>
          </w:p>
        </w:tc>
      </w:tr>
      <w:tr>
        <w:trPr>
          <w:trHeight w:val="213"/>
        </w:trPr>
        <w:tc>
          <w:tcPr>
            <w:tcW w:w="100" w:type="dxa"/>
            <w:vAlign w:val="bottom"/>
          </w:tcPr>
          <w:p>
            <w:pPr>
              <w:spacing w:after="0"/>
              <w:rPr>
                <w:sz w:val="18"/>
                <w:szCs w:val="18"/>
                <w:color w:val="auto"/>
              </w:rPr>
            </w:pPr>
          </w:p>
        </w:tc>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w:t>
            </w:r>
          </w:p>
        </w:tc>
      </w:tr>
      <w:tr>
        <w:trPr>
          <w:trHeight w:val="219"/>
        </w:trPr>
        <w:tc>
          <w:tcPr>
            <w:tcW w:w="100" w:type="dxa"/>
            <w:vAlign w:val="bottom"/>
            <w:shd w:val="clear" w:color="auto" w:fill="CCEEFF"/>
          </w:tcPr>
          <w:p>
            <w:pPr>
              <w:spacing w:after="0"/>
              <w:rPr>
                <w:sz w:val="19"/>
                <w:szCs w:val="19"/>
                <w:color w:val="auto"/>
              </w:rPr>
            </w:pPr>
          </w:p>
        </w:tc>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213"/>
        </w:trPr>
        <w:tc>
          <w:tcPr>
            <w:tcW w:w="100" w:type="dxa"/>
            <w:vAlign w:val="bottom"/>
          </w:tcPr>
          <w:p>
            <w:pPr>
              <w:spacing w:after="0"/>
              <w:rPr>
                <w:sz w:val="18"/>
                <w:szCs w:val="18"/>
                <w:color w:val="auto"/>
              </w:rPr>
            </w:pPr>
          </w:p>
        </w:tc>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19"/>
        </w:trPr>
        <w:tc>
          <w:tcPr>
            <w:tcW w:w="100" w:type="dxa"/>
            <w:vAlign w:val="bottom"/>
            <w:shd w:val="clear" w:color="auto" w:fill="CCEEFF"/>
          </w:tcPr>
          <w:p>
            <w:pPr>
              <w:spacing w:after="0"/>
              <w:rPr>
                <w:sz w:val="19"/>
                <w:szCs w:val="19"/>
                <w:color w:val="auto"/>
              </w:rPr>
            </w:pPr>
          </w:p>
        </w:tc>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100" w:type="dxa"/>
            <w:vAlign w:val="bottom"/>
          </w:tcPr>
          <w:p>
            <w:pPr>
              <w:spacing w:after="0"/>
              <w:rPr>
                <w:sz w:val="18"/>
                <w:szCs w:val="18"/>
                <w:color w:val="auto"/>
              </w:rPr>
            </w:pPr>
          </w:p>
        </w:tc>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100" w:type="dxa"/>
            <w:vAlign w:val="bottom"/>
            <w:shd w:val="clear" w:color="auto" w:fill="CCEEFF"/>
          </w:tcPr>
          <w:p>
            <w:pPr>
              <w:spacing w:after="0"/>
              <w:rPr>
                <w:sz w:val="19"/>
                <w:szCs w:val="19"/>
                <w:color w:val="auto"/>
              </w:rPr>
            </w:pPr>
          </w:p>
        </w:tc>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10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w:t>
            </w: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70,110</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diluted EPS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weighted average common shares outstanding - Diluted</w:t>
            </w: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46,172</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7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65,474</w:t>
            </w:r>
          </w:p>
        </w:tc>
      </w:tr>
      <w:tr>
        <w:trPr>
          <w:trHeight w:val="213"/>
        </w:trPr>
        <w:tc>
          <w:tcPr>
            <w:tcW w:w="78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(11,710)</w:t>
            </w:r>
          </w:p>
        </w:tc>
      </w:tr>
      <w:tr>
        <w:trPr>
          <w:trHeight w:val="219"/>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w:t>
            </w:r>
          </w:p>
        </w:tc>
      </w:tr>
      <w:tr>
        <w:trPr>
          <w:trHeight w:val="213"/>
        </w:trPr>
        <w:tc>
          <w:tcPr>
            <w:tcW w:w="78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provision</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16,929</w:t>
            </w:r>
          </w:p>
        </w:tc>
      </w:tr>
      <w:tr>
        <w:trPr>
          <w:trHeight w:val="219"/>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12,068</w:t>
            </w:r>
          </w:p>
        </w:tc>
      </w:tr>
      <w:tr>
        <w:trPr>
          <w:trHeight w:val="213"/>
        </w:trPr>
        <w:tc>
          <w:tcPr>
            <w:tcW w:w="78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Restructuring</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19"/>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78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Strategic initiative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7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Adjusted EBITDA</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91,964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87,931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7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72,117</w:t>
            </w:r>
          </w:p>
        </w:tc>
      </w:tr>
      <w:tr>
        <w:trPr>
          <w:trHeight w:val="213"/>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(4,639)</w:t>
            </w:r>
          </w:p>
        </w:tc>
      </w:tr>
      <w:tr>
        <w:trPr>
          <w:trHeight w:val="237"/>
        </w:trPr>
        <w:tc>
          <w:tcPr>
            <w:tcW w:w="7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Free Cash Flow</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amortization of core-developed technology intangible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reconcile the non-GAAP financial measure of adjusted gross profit with the most directly comparable GAAP financial measure.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6"/>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Outcomes</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Resiliency Solutions</w:t>
            </w:r>
          </w:p>
        </w:tc>
        <w:tc>
          <w:tcPr>
            <w:tcW w:w="100" w:type="dxa"/>
            <w:vAlign w:val="bottom"/>
          </w:tcPr>
          <w:p>
            <w:pPr>
              <w:spacing w:after="0"/>
              <w:rPr>
                <w:sz w:val="13"/>
                <w:szCs w:val="13"/>
                <w:color w:val="auto"/>
              </w:rPr>
            </w:pPr>
          </w:p>
        </w:tc>
        <w:tc>
          <w:tcPr>
            <w:tcW w:w="13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Segments Subtotal</w:t>
            </w:r>
          </w:p>
        </w:tc>
        <w:tc>
          <w:tcPr>
            <w:tcW w:w="0" w:type="dxa"/>
            <w:vAlign w:val="bottom"/>
          </w:tcPr>
          <w:p>
            <w:pPr>
              <w:spacing w:after="0"/>
              <w:rPr>
                <w:sz w:val="1"/>
                <w:szCs w:val="1"/>
                <w:color w:val="auto"/>
              </w:rPr>
            </w:pPr>
          </w:p>
        </w:tc>
      </w:tr>
      <w:tr>
        <w:trPr>
          <w:trHeight w:val="214"/>
        </w:trPr>
        <w:tc>
          <w:tcPr>
            <w:tcW w:w="3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124,377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350,663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95,910</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16,032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586,982</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80,358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207,590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56,511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350,663</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143,073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39,399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236,319</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40.3 %</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Amortization of core-developed technology</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1,870</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2,495</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143,073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40,024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238,814</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0" w:type="dxa"/>
            <w:vAlign w:val="bottom"/>
          </w:tcPr>
          <w:p>
            <w:pPr>
              <w:spacing w:after="0"/>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24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00" w:type="dxa"/>
            <w:vAlign w:val="bottom"/>
          </w:tcPr>
          <w:p>
            <w:pPr>
              <w:spacing w:after="0"/>
              <w:rPr>
                <w:sz w:val="13"/>
                <w:szCs w:val="13"/>
                <w:color w:val="auto"/>
              </w:rPr>
            </w:pPr>
          </w:p>
        </w:tc>
        <w:tc>
          <w:tcPr>
            <w:tcW w:w="13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Segments Subtotal</w:t>
            </w:r>
          </w:p>
        </w:tc>
        <w:tc>
          <w:tcPr>
            <w:tcW w:w="0" w:type="dxa"/>
            <w:vAlign w:val="bottom"/>
          </w:tcPr>
          <w:p>
            <w:pPr>
              <w:spacing w:after="0"/>
              <w:rPr>
                <w:sz w:val="1"/>
                <w:szCs w:val="1"/>
                <w:color w:val="auto"/>
              </w:rPr>
            </w:pPr>
          </w:p>
        </w:tc>
      </w:tr>
      <w:tr>
        <w:trPr>
          <w:trHeight w:val="214"/>
        </w:trPr>
        <w:tc>
          <w:tcPr>
            <w:tcW w:w="3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125,871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402,732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78,548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607,151</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47,796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389,932</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30,752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217,219</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35.8 %</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Amortization of core-developed technology</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37,753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148,714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30,752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217,219</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may be exposed to interest rate risk through variable rate debt instruments, namely the multicurrency revolving line of credit. At March 31, 2026, we had no outstanding variable rate debt.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Revenues denominated in functional currencies other than the U.S. dollar were 27% of total revenues for the three months ended March 31, 2026 compared with 25% for the same respective period in 2025.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March 31, 2026, a total of 37 contracts were offsetting our exposures from the euro, pound sterling, Indonesian rupiah, Canadian dollar, Australian dollar, and various other currencies, with notional amounts ranging from $100,000 to $28.7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2026,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March 31, 2026 that materially affected, or are reasonably likely to materially affect,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complete list of Risk Factors, refer to Part I, Item 1A: Risk Factors of our Annual Report on Form 10-K for the fiscal year ended December 31, 2025, which was filed with the Securities and Exchange Commission on February 17, 2026.</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Repurchase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Maximum Dollar</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15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8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May Yet Be</w:t>
            </w:r>
          </w:p>
        </w:tc>
        <w:tc>
          <w:tcPr>
            <w:tcW w:w="0" w:type="dxa"/>
            <w:vAlign w:val="bottom"/>
          </w:tcPr>
          <w:p>
            <w:pPr>
              <w:spacing w:after="0"/>
              <w:rPr>
                <w:sz w:val="1"/>
                <w:szCs w:val="1"/>
                <w:color w:val="auto"/>
              </w:rPr>
            </w:pPr>
          </w:p>
        </w:tc>
      </w:tr>
      <w:tr>
        <w:trPr>
          <w:trHeight w:val="162"/>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0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15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600" w:type="dxa"/>
            <w:vAlign w:val="bottom"/>
            <w:vMerge w:val="continue"/>
          </w:tcPr>
          <w:p>
            <w:pPr>
              <w:spacing w:after="0"/>
              <w:rPr>
                <w:sz w:val="18"/>
                <w:szCs w:val="18"/>
                <w:color w:val="auto"/>
              </w:rPr>
            </w:pPr>
          </w:p>
        </w:tc>
        <w:tc>
          <w:tcPr>
            <w:tcW w:w="1800" w:type="dxa"/>
            <w:vAlign w:val="bottom"/>
            <w:gridSpan w:val="3"/>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Shares Purchased </w:t>
            </w:r>
            <w:r>
              <w:rPr>
                <w:rFonts w:ascii="Times New Roman" w:cs="Times New Roman" w:eastAsia="Times New Roman" w:hAnsi="Times New Roman"/>
                <w:sz w:val="21"/>
                <w:szCs w:val="21"/>
                <w:b w:val="1"/>
                <w:bCs w:val="1"/>
                <w:color w:val="auto"/>
                <w:w w:val="95"/>
                <w:vertAlign w:val="superscript"/>
              </w:rPr>
              <w:t>(1)(3)</w:t>
            </w:r>
          </w:p>
        </w:tc>
        <w:tc>
          <w:tcPr>
            <w:tcW w:w="15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per Share </w:t>
            </w:r>
            <w:r>
              <w:rPr>
                <w:rFonts w:ascii="Times New Roman" w:cs="Times New Roman" w:eastAsia="Times New Roman" w:hAnsi="Times New Roman"/>
                <w:sz w:val="21"/>
                <w:szCs w:val="21"/>
                <w:b w:val="1"/>
                <w:bCs w:val="1"/>
                <w:color w:val="auto"/>
                <w:w w:val="96"/>
                <w:vertAlign w:val="superscript"/>
              </w:rPr>
              <w:t>(2)</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0" w:type="dxa"/>
            <w:vAlign w:val="bottom"/>
          </w:tcPr>
          <w:p>
            <w:pPr>
              <w:spacing w:after="0"/>
              <w:rPr>
                <w:sz w:val="1"/>
                <w:szCs w:val="1"/>
                <w:color w:val="auto"/>
              </w:rPr>
            </w:pPr>
          </w:p>
        </w:tc>
      </w:tr>
      <w:tr>
        <w:trPr>
          <w:trHeight w:val="208"/>
        </w:trPr>
        <w:tc>
          <w:tcPr>
            <w:tcW w:w="46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2026 through January 31, 2026</w:t>
            </w:r>
          </w:p>
        </w:tc>
        <w:tc>
          <w:tcPr>
            <w:tcW w:w="180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 2026 through February 28, 2026</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95.21</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1,050,309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2026 through March 31, 2026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99.11</w:t>
            </w:r>
          </w:p>
        </w:tc>
        <w:tc>
          <w:tcPr>
            <w:tcW w:w="1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212"/>
        </w:trPr>
        <w:tc>
          <w:tcPr>
            <w:tcW w:w="4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1,050,574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1,050,309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November 10, 2025, Itron's Board of Directors authorized a repurchase program of up to $250 million of Itron's common stock over an 18-month period.</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commissions.</w:t>
      </w:r>
    </w:p>
    <w:p>
      <w:pPr>
        <w:spacing w:after="0" w:line="50" w:lineRule="exact"/>
        <w:rPr>
          <w:rFonts w:ascii="Times New Roman" w:cs="Times New Roman" w:eastAsia="Times New Roman" w:hAnsi="Times New Roman"/>
          <w:sz w:val="21"/>
          <w:szCs w:val="21"/>
          <w:color w:val="auto"/>
          <w:vertAlign w:val="superscript"/>
        </w:rPr>
      </w:pPr>
    </w:p>
    <w:p>
      <w:pPr>
        <w:ind w:left="340" w:hanging="332"/>
        <w:spacing w:after="0" w:line="222"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purchased may include shares transferred to us by certain employees who vested in restricted stock units and used shares to pay all, or a portion of, the related taxes.</w:t>
      </w:r>
    </w:p>
    <w:p>
      <w:pPr>
        <w:spacing w:after="0" w:line="21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first quarter of 2026 that was not reported.</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w:t>
      </w:r>
    </w:p>
    <w:p>
      <w:pPr>
        <w:spacing w:after="0" w:line="117"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as defined in Rule 16a-1(f) under the Securities Exchange Act of 1934 (the Exchange Act), and directors from time to time enter into contracts, instructions or written plans for the purchase or sale of our securities that are intended to satisfy the affirmative defense conditions of Rule 10b5-1(c) against liability for trading in securities on the basis of material nonpublic information. During the quarter ended March 31, 2026, the following Section 16 officers adopted, modified, or terminated trading arrangements (as defined in Item 408 of Regulation S-K of the Exchange Act):</w:t>
      </w:r>
    </w:p>
    <w:p>
      <w:pPr>
        <w:spacing w:after="0" w:line="7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23, 2026, John F. Marcolini, Senior Vice President, Networked Solutions, adopted a written trading plan designed to be in effect until July 20, 2026 with respect to the sale of up to 11,400 shares of Itron, Inc. common stock,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3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360" w:type="dxa"/>
            <w:vAlign w:val="bottom"/>
          </w:tcPr>
          <w:p>
            <w:pPr>
              <w:spacing w:after="0"/>
              <w:rPr>
                <w:sz w:val="24"/>
                <w:szCs w:val="24"/>
                <w:color w:val="auto"/>
              </w:rPr>
            </w:pPr>
          </w:p>
        </w:tc>
        <w:tc>
          <w:tcPr>
            <w:tcW w:w="7460" w:type="dxa"/>
            <w:vAlign w:val="bottom"/>
            <w:gridSpan w:val="6"/>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360" w:type="dxa"/>
            <w:vAlign w:val="bottom"/>
          </w:tcPr>
          <w:p>
            <w:pPr>
              <w:spacing w:after="0"/>
              <w:rPr>
                <w:sz w:val="21"/>
                <w:szCs w:val="21"/>
                <w:color w:val="auto"/>
              </w:rPr>
            </w:pPr>
          </w:p>
        </w:tc>
        <w:tc>
          <w:tcPr>
            <w:tcW w:w="7460" w:type="dxa"/>
            <w:vAlign w:val="bottom"/>
            <w:gridSpan w:val="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5"/>
                <w:szCs w:val="15"/>
                <w:color w:val="auto"/>
              </w:rPr>
            </w:pPr>
          </w:p>
        </w:tc>
        <w:tc>
          <w:tcPr>
            <w:tcW w:w="9820" w:type="dxa"/>
            <w:vAlign w:val="bottom"/>
            <w:tcBorders>
              <w:top w:val="single" w:sz="8" w:color="auto"/>
            </w:tcBorders>
            <w:gridSpan w:val="7"/>
          </w:tcPr>
          <w:p>
            <w:pPr>
              <w:ind w:left="20"/>
              <w:spacing w:after="0" w:line="182"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Indenture, dated as of February 26, 2026, by and between Itron, Inc. and U.S. Bank Trust Company, National Association, as trustee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720" w:type="dxa"/>
            <w:vAlign w:val="bottom"/>
            <w:tcBorders>
              <w:top w:val="single" w:sz="8" w:color="0000FF"/>
              <w:bottom w:val="single" w:sz="8" w:color="0000FF"/>
            </w:tcBorders>
            <w:gridSpan w:val="3"/>
          </w:tcPr>
          <w:p>
            <w:pPr>
              <w:ind w:left="20"/>
              <w:spacing w:after="0" w:line="15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(Filed as Exhibit 4.1 to Itron, Inc.'s Current Report on Form 8-K, filed on February 23, 2026)</w:t>
              </w:r>
            </w:hyperlink>
          </w:p>
        </w:tc>
        <w:tc>
          <w:tcPr>
            <w:tcW w:w="30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9820" w:type="dxa"/>
            <w:vAlign w:val="bottom"/>
            <w:gridSpan w:val="7"/>
          </w:tcPr>
          <w:p>
            <w:pPr>
              <w:ind w:left="20"/>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Form of 0.00% Convertible Senior Note due 2032 (included in Exhibit 4.1) (Filed as Exhibit 4.2 to Itron, Inc.'s Current Report on Form</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780" w:type="dxa"/>
            <w:vAlign w:val="bottom"/>
            <w:tcBorders>
              <w:top w:val="single" w:sz="8" w:color="0000FF"/>
            </w:tcBorders>
            <w:gridSpan w:val="5"/>
          </w:tcPr>
          <w:p>
            <w:pPr>
              <w:ind w:left="20"/>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8-K, filed on February 23, 2026)</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20" w:type="dxa"/>
            <w:vAlign w:val="bottom"/>
            <w:gridSpan w:val="7"/>
          </w:tcPr>
          <w:p>
            <w:pPr>
              <w:ind w:left="20"/>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 xml:space="preserve">Form of Capped Call Confirmation (Filed as Exhibit 10.1 to Itron, Inc.'s Current Report on Form 8-K, filed on February </w:t>
              </w:r>
            </w:hyperlink>
            <w:r>
              <w:rPr>
                <w:rFonts w:ascii="Times New Roman" w:cs="Times New Roman" w:eastAsia="Times New Roman" w:hAnsi="Times New Roman"/>
                <w:sz w:val="18"/>
                <w:szCs w:val="18"/>
                <w:color w:val="0000FF"/>
              </w:rPr>
              <w:t xml:space="preserve">23, </w:t>
            </w:r>
            <w:hyperlink r:id="rId70">
              <w:r>
                <w:rPr>
                  <w:rFonts w:ascii="Times New Roman" w:cs="Times New Roman" w:eastAsia="Times New Roman" w:hAnsi="Times New Roman"/>
                  <w:sz w:val="18"/>
                  <w:szCs w:val="18"/>
                  <w:color w:val="0000FF"/>
                </w:rPr>
                <w:t>202</w:t>
              </w:r>
            </w:hyperlink>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371"/>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524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140" w:type="dxa"/>
            <w:vAlign w:val="bottom"/>
            <w:tcBorders>
              <w:top w:val="single" w:sz="8" w:color="0000FF"/>
            </w:tcBorders>
            <w:gridSpan w:val="2"/>
          </w:tcPr>
          <w:p>
            <w:pPr>
              <w:spacing w:after="0"/>
              <w:rPr>
                <w:sz w:val="24"/>
                <w:szCs w:val="24"/>
                <w:color w:val="auto"/>
              </w:rPr>
            </w:pPr>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2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52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4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1440" w:right="20" w:hanging="939"/>
        <w:spacing w:after="0" w:line="216" w:lineRule="auto"/>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Itron, Inc.'s Quarterly Report on Form 10-Q for the quarter ended March 31, 2026 formatted in Inline XBRL (Extensible Business Reporting Language) includes: (i) the Consolidated Statements of Operations, (ii) the Consolidated Statements of Comprehensive Income, (iii) the Consolidated Balance Sheets, (iv) the Consolidated Statements of Equity,</w:t>
      </w:r>
    </w:p>
    <w:p>
      <w:pPr>
        <w:spacing w:after="0" w:line="1"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the Consolidated Statements of Cash Flows, and (vi) Notes to the Consolidated Financial Statements.</w:t>
      </w:r>
    </w:p>
    <w:p>
      <w:pPr>
        <w:spacing w:after="0" w:line="165" w:lineRule="exact"/>
        <w:rPr>
          <w:sz w:val="20"/>
          <w:szCs w:val="20"/>
          <w:color w:val="auto"/>
        </w:rPr>
      </w:pPr>
    </w:p>
    <w:p>
      <w:pPr>
        <w:ind w:left="1440" w:hanging="939"/>
        <w:spacing w:after="0"/>
        <w:tabs>
          <w:tab w:leader="none" w:pos="1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April 28, 2026</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1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S. Hooper</w:t>
            </w:r>
          </w:p>
        </w:tc>
      </w:tr>
      <w:tr>
        <w:trPr>
          <w:trHeight w:val="238"/>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7600"/>
        <w:spacing w:after="0"/>
        <w:tabs>
          <w:tab w:leader="none" w:pos="8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2057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March 31, 2026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40" w:hanging="387"/>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60" w:right="740" w:hanging="407"/>
        <w:spacing w:after="0" w:line="282" w:lineRule="auto"/>
        <w:tabs>
          <w:tab w:leader="none" w:pos="8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THOMAS L. DEITRICH</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28, 2026</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43"/>
        </w:trPr>
        <w:tc>
          <w:tcPr>
            <w:tcW w:w="6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JOAN S. HOOPER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28, 2026</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020" w:type="dxa"/>
            <w:vAlign w:val="bottom"/>
            <w:gridSpan w:val="2"/>
            <w:vMerge w:val="continue"/>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Letter"/>
      <w:start w:val="1"/>
    </w:lvl>
    <w:lvl w:ilvl="1">
      <w:lvlJc w:val="left"/>
      <w:lvlText w:val="•"/>
      <w:numFmt w:val="bullet"/>
      <w:start w:val="1"/>
    </w:lvl>
  </w:abstractNum>
  <w:abstractNum w:abstractNumId="14">
    <w:nsid w:val="25E45D32"/>
    <w:multiLevelType w:val="hybridMultilevel"/>
    <w:lvl w:ilvl="0">
      <w:lvlJc w:val="left"/>
      <w:lvlText w:val="%1"/>
      <w:numFmt w:val="decimal"/>
      <w:start w:val="101"/>
    </w:lvl>
  </w:abstractNum>
  <w:abstractNum w:abstractNumId="15">
    <w:nsid w:val="519B500D"/>
    <w:multiLevelType w:val="hybridMultilevel"/>
    <w:lvl w:ilvl="0">
      <w:lvlJc w:val="left"/>
      <w:lvlText w:val="%1"/>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9" Type="http://schemas.openxmlformats.org/officeDocument/2006/relationships/hyperlink" Target="https://www.sec.gov/Archives/edgar/data/780571/000119312526076749/d925789dex41.htm" TargetMode="External"/><Relationship Id="rId70" Type="http://schemas.openxmlformats.org/officeDocument/2006/relationships/hyperlink" Target="https://www.sec.gov/Archives/edgar/data/780571/000119312526076749/d92578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2026-04-28T12:14:50Z</dcterms:created>
  <dcterms:modified xsi:type="dcterms:W3CDTF">2026-04-28T12:14:50Z</dcterms:modified>
</cp:coreProperties>
</file>