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509270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276"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855"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855"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855"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855" w:right="239" w:bottom="1440" w:gutter="0" w:footer="0" w:header="0"/>
          <w:type w:val="continuous"/>
        </w:sectPr>
      </w:pPr>
    </w:p>
    <w:p>
      <w:pPr>
        <w:spacing w:after="0" w:line="175"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60" w:space="720"/>
            <w:col w:w="3240"/>
          </w:cols>
          <w:pgMar w:left="240" w:top="855" w:right="2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20" w:space="720"/>
            <w:col w:w="4380"/>
          </w:cols>
          <w:pgMar w:left="240" w:top="855"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65" w:lineRule="exact"/>
        <w:rPr>
          <w:sz w:val="24"/>
          <w:szCs w:val="24"/>
          <w:color w:val="auto"/>
        </w:rPr>
      </w:pPr>
    </w:p>
    <w:tbl>
      <w:tblPr>
        <w:tblLayout w:type="fixed"/>
        <w:tblInd w:w="26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00" w:type="dxa"/>
            <w:vAlign w:val="bottom"/>
          </w:tcPr>
          <w:p>
            <w:pPr>
              <w:ind w:left="440"/>
              <w:spacing w:after="0"/>
              <w:rPr>
                <w:sz w:val="20"/>
                <w:szCs w:val="20"/>
                <w:color w:val="auto"/>
              </w:rPr>
            </w:pPr>
            <w:r>
              <w:rPr>
                <w:rFonts w:ascii="Arial" w:cs="Arial" w:eastAsia="Arial" w:hAnsi="Arial"/>
                <w:sz w:val="18"/>
                <w:szCs w:val="18"/>
                <w:color w:val="auto"/>
              </w:rPr>
              <w:t>x</w:t>
            </w:r>
          </w:p>
        </w:tc>
        <w:tc>
          <w:tcPr>
            <w:tcW w:w="3140" w:type="dxa"/>
            <w:vAlign w:val="bottom"/>
          </w:tcPr>
          <w:p>
            <w:pPr>
              <w:ind w:left="62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4700" w:type="dxa"/>
            <w:vAlign w:val="bottom"/>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40" w:type="dxa"/>
            <w:vAlign w:val="bottom"/>
          </w:tcPr>
          <w:p>
            <w:pPr>
              <w:ind w:left="62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140" w:type="dxa"/>
            <w:vAlign w:val="bottom"/>
          </w:tcPr>
          <w:p>
            <w:pPr>
              <w:ind w:left="62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October 31, 2018, there were outstanding 39,416,335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5"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200" w:lineRule="exact"/>
        <w:rPr>
          <w:sz w:val="20"/>
          <w:szCs w:val="20"/>
          <w:color w:val="auto"/>
        </w:rPr>
      </w:pPr>
    </w:p>
    <w:p>
      <w:pPr>
        <w:spacing w:after="0" w:line="31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EE"/>
          </w:rPr>
          <w:t>Financial Statements (Unaudited)</w:t>
        </w:r>
      </w:hyperlink>
    </w:p>
    <w:p>
      <w:pPr>
        <w:spacing w:after="0" w:line="200" w:lineRule="exact"/>
        <w:rPr>
          <w:sz w:val="20"/>
          <w:szCs w:val="20"/>
          <w:color w:val="auto"/>
        </w:rPr>
      </w:pPr>
    </w:p>
    <w:p>
      <w:pPr>
        <w:spacing w:after="0" w:line="295"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w:t>
        </w:r>
      </w:hyperlink>
    </w:p>
    <w:p>
      <w:pPr>
        <w:spacing w:after="0" w:line="360" w:lineRule="exact"/>
        <w:rPr>
          <w:sz w:val="20"/>
          <w:szCs w:val="20"/>
          <w:color w:val="auto"/>
        </w:rPr>
      </w:pPr>
    </w:p>
    <w:p>
      <w:pPr>
        <w:ind w:left="10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Comprehensive Income (Loss)</w:t>
        </w:r>
      </w:hyperlink>
    </w:p>
    <w:p>
      <w:pPr>
        <w:spacing w:after="0" w:line="360" w:lineRule="exact"/>
        <w:rPr>
          <w:sz w:val="20"/>
          <w:szCs w:val="20"/>
          <w:color w:val="auto"/>
        </w:rPr>
      </w:pPr>
    </w:p>
    <w:p>
      <w:pPr>
        <w:ind w:left="10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w:t>
        </w:r>
      </w:hyperlink>
    </w:p>
    <w:p>
      <w:pPr>
        <w:spacing w:after="0" w:line="360" w:lineRule="exact"/>
        <w:rPr>
          <w:sz w:val="20"/>
          <w:szCs w:val="20"/>
          <w:color w:val="auto"/>
        </w:rPr>
      </w:pPr>
    </w:p>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w:t>
        </w:r>
      </w:hyperlink>
    </w:p>
    <w:p>
      <w:pPr>
        <w:spacing w:after="0" w:line="360" w:lineRule="exact"/>
        <w:rPr>
          <w:sz w:val="20"/>
          <w:szCs w:val="20"/>
          <w:color w:val="auto"/>
        </w:rPr>
      </w:pPr>
    </w:p>
    <w:p>
      <w:pPr>
        <w:ind w:left="10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p>
      <w:pPr>
        <w:spacing w:after="0" w:line="200" w:lineRule="exact"/>
        <w:rPr>
          <w:sz w:val="20"/>
          <w:szCs w:val="20"/>
          <w:color w:val="auto"/>
        </w:rPr>
      </w:pPr>
    </w:p>
    <w:p>
      <w:pPr>
        <w:spacing w:after="0" w:line="295"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36">
        <w:r>
          <w:rPr>
            <w:rFonts w:ascii="Arial" w:cs="Arial" w:eastAsia="Arial" w:hAnsi="Arial"/>
            <w:sz w:val="16"/>
            <w:szCs w:val="16"/>
            <w:u w:val="single" w:color="auto"/>
            <w:color w:val="0000EE"/>
          </w:rPr>
          <w:t>Management’s Discussion and Analysis of Financial Condition and Results of Operations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56">
        <w:r>
          <w:rPr>
            <w:rFonts w:ascii="Arial" w:cs="Arial" w:eastAsia="Arial" w:hAnsi="Arial"/>
            <w:sz w:val="18"/>
            <w:szCs w:val="18"/>
            <w:u w:val="single" w:color="auto"/>
            <w:color w:val="0000EE"/>
          </w:rPr>
          <w:t>Quantitative and Qualitative Disclosures About Market Risk</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8">
        <w:r>
          <w:rPr>
            <w:rFonts w:ascii="Arial" w:cs="Arial" w:eastAsia="Arial" w:hAnsi="Arial"/>
            <w:sz w:val="18"/>
            <w:szCs w:val="18"/>
            <w:u w:val="single" w:color="auto"/>
            <w:color w:val="0000EE"/>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PART II: OTHER INFORMATION</w:t>
        </w:r>
      </w:hyperlink>
    </w:p>
    <w:p>
      <w:pPr>
        <w:spacing w:after="0" w:line="200" w:lineRule="exact"/>
        <w:rPr>
          <w:sz w:val="20"/>
          <w:szCs w:val="20"/>
          <w:color w:val="auto"/>
        </w:rPr>
      </w:pPr>
    </w:p>
    <w:p>
      <w:pPr>
        <w:spacing w:after="0" w:line="29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9">
        <w:r>
          <w:rPr>
            <w:rFonts w:ascii="Arial" w:cs="Arial" w:eastAsia="Arial" w:hAnsi="Arial"/>
            <w:sz w:val="18"/>
            <w:szCs w:val="18"/>
            <w:u w:val="single" w:color="auto"/>
            <w:color w:val="0000EE"/>
          </w:rPr>
          <w:t>Legal Proceedings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9">
        <w:r>
          <w:rPr>
            <w:rFonts w:ascii="Arial" w:cs="Arial" w:eastAsia="Arial" w:hAnsi="Arial"/>
            <w:sz w:val="18"/>
            <w:szCs w:val="18"/>
            <w:u w:val="single" w:color="auto"/>
            <w:color w:val="0000EE"/>
          </w:rPr>
          <w:t>Risk Factors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59">
        <w:r>
          <w:rPr>
            <w:rFonts w:ascii="Arial" w:cs="Arial" w:eastAsia="Arial" w:hAnsi="Arial"/>
            <w:sz w:val="18"/>
            <w:szCs w:val="18"/>
            <w:u w:val="single" w:color="auto"/>
            <w:color w:val="0000EE"/>
          </w:rPr>
          <w:t>Unregistered Sales of Equity Securities and Use of Proceeds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59">
        <w:r>
          <w:rPr>
            <w:rFonts w:ascii="Arial" w:cs="Arial" w:eastAsia="Arial" w:hAnsi="Arial"/>
            <w:sz w:val="18"/>
            <w:szCs w:val="18"/>
            <w:u w:val="single" w:color="auto"/>
            <w:color w:val="0000EE"/>
          </w:rPr>
          <w:t>Other Information</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60">
        <w:r>
          <w:rPr>
            <w:rFonts w:ascii="Arial" w:cs="Arial" w:eastAsia="Arial" w:hAnsi="Arial"/>
            <w:sz w:val="18"/>
            <w:szCs w:val="18"/>
            <w:u w:val="single" w:color="auto"/>
            <w:color w:val="0000EE"/>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p>
      <w:pPr>
        <w:spacing w:after="0" w:line="360" w:lineRule="exact"/>
        <w:rPr>
          <w:sz w:val="20"/>
          <w:szCs w:val="20"/>
          <w:color w:val="auto"/>
        </w:rPr>
      </w:pPr>
    </w:p>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p>
      <w:pPr>
        <w:spacing w:after="0" w:line="360"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p>
      <w:pPr>
        <w:spacing w:after="0" w:line="360"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p>
      <w:pPr>
        <w:spacing w:after="0" w:line="360" w:lineRule="exact"/>
        <w:rPr>
          <w:sz w:val="20"/>
          <w:szCs w:val="20"/>
          <w:color w:val="auto"/>
        </w:rPr>
      </w:pPr>
    </w:p>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34</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54</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57</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57</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57</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57</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58</w:t>
        </w:r>
      </w:hyperlink>
    </w:p>
    <w:p>
      <w:pPr>
        <w:spacing w:after="0" w:line="200" w:lineRule="exact"/>
        <w:rPr>
          <w:sz w:val="20"/>
          <w:szCs w:val="20"/>
          <w:color w:val="auto"/>
        </w:rPr>
      </w:pPr>
    </w:p>
    <w:p>
      <w:pPr>
        <w:sectPr>
          <w:pgSz w:w="11900" w:h="16838" w:orient="portrait"/>
          <w:cols w:equalWidth="0" w:num="2">
            <w:col w:w="9880" w:space="720"/>
            <w:col w:w="540"/>
          </w:cols>
          <w:pgMar w:left="240" w:top="125" w:right="5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10940" w:val="left"/>
        </w:tabs>
        <w:rPr>
          <w:rFonts w:ascii="Arial" w:cs="Arial" w:eastAsia="Arial" w:hAnsi="Arial"/>
          <w:sz w:val="16"/>
          <w:szCs w:val="16"/>
          <w:u w:val="single" w:color="auto"/>
          <w:color w:val="0000EE"/>
        </w:rPr>
      </w:pPr>
      <w:r>
        <w:rPr>
          <w:rFonts w:ascii="Arial" w:cs="Arial" w:eastAsia="Arial" w:hAnsi="Arial"/>
          <w:sz w:val="16"/>
          <w:szCs w:val="16"/>
          <w:b w:val="1"/>
          <w:bCs w:val="1"/>
          <w:u w:val="single" w:color="auto"/>
          <w:color w:val="0000EE"/>
        </w:rPr>
        <w:t>SIGNATURE</w:t>
      </w:r>
      <w:r>
        <w:rPr>
          <w:sz w:val="20"/>
          <w:szCs w:val="20"/>
          <w:color w:val="auto"/>
        </w:rPr>
        <w:tab/>
      </w:r>
      <w:hyperlink w:anchor="page61">
        <w:r>
          <w:rPr>
            <w:rFonts w:ascii="Arial" w:cs="Arial" w:eastAsia="Arial" w:hAnsi="Arial"/>
            <w:sz w:val="16"/>
            <w:szCs w:val="16"/>
            <w:u w:val="single" w:color="auto"/>
            <w:color w:val="0000EE"/>
          </w:rPr>
          <w:t>59</w:t>
        </w:r>
      </w:hyperlink>
    </w:p>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Three Months Ended</w:t>
            </w:r>
          </w:p>
        </w:tc>
        <w:tc>
          <w:tcPr>
            <w:tcW w:w="400" w:type="dxa"/>
            <w:vAlign w:val="bottom"/>
          </w:tcPr>
          <w:p>
            <w:pPr>
              <w:spacing w:after="0"/>
              <w:rPr>
                <w:sz w:val="18"/>
                <w:szCs w:val="18"/>
                <w:color w:val="auto"/>
              </w:rPr>
            </w:pPr>
          </w:p>
        </w:tc>
        <w:tc>
          <w:tcPr>
            <w:tcW w:w="312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gridSpan w:val="5"/>
          </w:tcPr>
          <w:p>
            <w:pPr>
              <w:ind w:left="100"/>
              <w:spacing w:after="0"/>
              <w:rPr>
                <w:sz w:val="20"/>
                <w:szCs w:val="20"/>
                <w:color w:val="auto"/>
              </w:rPr>
            </w:pPr>
            <w:r>
              <w:rPr>
                <w:rFonts w:ascii="Arial" w:cs="Arial" w:eastAsia="Arial" w:hAnsi="Arial"/>
                <w:sz w:val="18"/>
                <w:szCs w:val="18"/>
                <w:b w:val="1"/>
                <w:bCs w:val="1"/>
                <w:color w:val="auto"/>
              </w:rPr>
              <w:t>(in thousands, except per share data)</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525,716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433,984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1,578,740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1,321,062</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Service revenues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70,246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52,763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210,333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146,359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595,962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486,747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1,789,073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1,467,421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cost of revenues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357,194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284,762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1,106,586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865,288</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Service cost of revenues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41,671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36,230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128,958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100,464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 of revenues</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398,865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320,992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1,235,544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965,752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197,097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165,755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553,529</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501,669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126,298</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47,239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42,455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162,298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126,246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188,260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119,883</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17,960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53,699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15,144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82,908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37"/>
        </w:trPr>
        <w:tc>
          <w:tcPr>
            <w:tcW w:w="42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155,421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127,529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631,738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394,988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41,676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38,226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(78,209)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106,681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(10,076)</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(7,951)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(45,193)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(16,559)</w:t>
            </w:r>
          </w:p>
        </w:tc>
        <w:tc>
          <w:tcPr>
            <w:tcW w:w="0" w:type="dxa"/>
            <w:vAlign w:val="bottom"/>
          </w:tcPr>
          <w:p>
            <w:pPr>
              <w:spacing w:after="0"/>
              <w:rPr>
                <w:sz w:val="1"/>
                <w:szCs w:val="1"/>
                <w:color w:val="auto"/>
              </w:rPr>
            </w:pPr>
          </w:p>
        </w:tc>
      </w:tr>
      <w:tr>
        <w:trPr>
          <w:trHeight w:val="291"/>
        </w:trPr>
        <w:tc>
          <w:tcPr>
            <w:tcW w:w="4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90,122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(32,247)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(121,710)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57,875</w:t>
            </w:r>
          </w:p>
        </w:tc>
        <w:tc>
          <w:tcPr>
            <w:tcW w:w="0" w:type="dxa"/>
            <w:vAlign w:val="bottom"/>
          </w:tcPr>
          <w:p>
            <w:pPr>
              <w:spacing w:after="0"/>
              <w:rPr>
                <w:sz w:val="1"/>
                <w:szCs w:val="1"/>
                <w:color w:val="auto"/>
              </w:rPr>
            </w:pPr>
          </w:p>
        </w:tc>
      </w:tr>
      <w:tr>
        <w:trPr>
          <w:trHeight w:val="229"/>
        </w:trPr>
        <w:tc>
          <w:tcPr>
            <w:tcW w:w="4240" w:type="dxa"/>
            <w:vAlign w:val="bottom"/>
          </w:tcPr>
          <w:p>
            <w:pPr>
              <w:ind w:left="380"/>
              <w:spacing w:after="0"/>
              <w:rPr>
                <w:sz w:val="20"/>
                <w:szCs w:val="20"/>
                <w:color w:val="auto"/>
              </w:rPr>
            </w:pPr>
            <w:r>
              <w:rPr>
                <w:rFonts w:ascii="Arial" w:cs="Arial" w:eastAsia="Arial" w:hAnsi="Arial"/>
                <w:sz w:val="18"/>
                <w:szCs w:val="18"/>
                <w:color w:val="auto"/>
              </w:rPr>
              <w:t>Net income (loss) attributable to noncontrolling</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80"/>
              <w:spacing w:after="0"/>
              <w:rPr>
                <w:sz w:val="20"/>
                <w:szCs w:val="20"/>
                <w:color w:val="auto"/>
              </w:rPr>
            </w:pPr>
            <w:r>
              <w:rPr>
                <w:rFonts w:ascii="Arial" w:cs="Arial" w:eastAsia="Arial" w:hAnsi="Arial"/>
                <w:sz w:val="18"/>
                <w:szCs w:val="18"/>
                <w:color w:val="auto"/>
              </w:rPr>
              <w:t>interests</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Itron, Inc.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25,576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55,518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 - 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(loss) per common share - 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w w:val="95"/>
              </w:rPr>
              <w:t>Weighted average common shares outstanding - Basic</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39,340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38,713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39,177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38,624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Weighted average common shares outstanding - Diluted</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39,909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39,467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39,177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39,339</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9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58"/>
        </w:trPr>
        <w:tc>
          <w:tcPr>
            <w:tcW w:w="4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6"/>
              </w:rPr>
              <w:t>(in thousands)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19,787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26,854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(121,710)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57,875</w:t>
            </w:r>
          </w:p>
        </w:tc>
      </w:tr>
      <w:tr>
        <w:trPr>
          <w:trHeight w:val="297"/>
        </w:trPr>
        <w:tc>
          <w:tcPr>
            <w:tcW w:w="4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14,930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(18,538)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50,393</w:t>
            </w:r>
          </w:p>
        </w:tc>
      </w:tr>
      <w:tr>
        <w:trPr>
          <w:trHeight w:val="27"/>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 unrealized gain (loss) on derivative instruments,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designated as cash flow hedges</w:t>
            </w: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Pension benefit obligation adjustment</w:t>
            </w:r>
          </w:p>
        </w:tc>
        <w:tc>
          <w:tcPr>
            <w:tcW w:w="10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1,004</w:t>
            </w:r>
          </w:p>
        </w:tc>
      </w:tr>
      <w:tr>
        <w:trPr>
          <w:trHeight w:val="27"/>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10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15,466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51,584</w:t>
            </w:r>
          </w:p>
        </w:tc>
      </w:tr>
      <w:tr>
        <w:trPr>
          <w:trHeight w:val="291"/>
        </w:trPr>
        <w:tc>
          <w:tcPr>
            <w:tcW w:w="42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10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20,409</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42,320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(136,478)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109,459</w:t>
            </w:r>
          </w:p>
        </w:tc>
      </w:tr>
      <w:tr>
        <w:trPr>
          <w:trHeight w:val="291"/>
        </w:trPr>
        <w:tc>
          <w:tcPr>
            <w:tcW w:w="42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29"/>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 (loss) attributable to</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noncontrolling interests, net of tax</w:t>
            </w: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w:t>
            </w:r>
          </w:p>
        </w:tc>
      </w:tr>
      <w:tr>
        <w:trPr>
          <w:trHeight w:val="297"/>
        </w:trPr>
        <w:tc>
          <w:tcPr>
            <w:tcW w:w="424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Comprehensive income (loss) attributable to Itron, Inc.</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20,504</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41,042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(137,895)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107,102</w:t>
            </w: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65"/>
        </w:trPr>
        <w:tc>
          <w:tcPr>
            <w:tcW w:w="9720" w:type="dxa"/>
            <w:vAlign w:val="bottom"/>
            <w:gridSpan w:val="10"/>
          </w:tcPr>
          <w:p>
            <w:pPr>
              <w:ind w:left="2140"/>
              <w:spacing w:after="0"/>
              <w:rPr>
                <w:sz w:val="20"/>
                <w:szCs w:val="20"/>
                <w:color w:val="auto"/>
              </w:rPr>
            </w:pPr>
            <w:r>
              <w:rPr>
                <w:rFonts w:ascii="Arial" w:cs="Arial" w:eastAsia="Arial" w:hAnsi="Arial"/>
                <w:sz w:val="18"/>
                <w:szCs w:val="18"/>
                <w:i w:val="1"/>
                <w:iCs w:val="1"/>
                <w:color w:val="auto"/>
                <w:w w:val="95"/>
              </w:rPr>
              <w:t>The accompanying notes are an integral part of these condensed consolidated financial statements.</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4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ITRON, INC.</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860" w:type="dxa"/>
            <w:vAlign w:val="bottom"/>
            <w:gridSpan w:val="4"/>
          </w:tcPr>
          <w:p>
            <w:pPr>
              <w:jc w:val="center"/>
              <w:ind w:left="93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r>
      <w:tr>
        <w:trPr>
          <w:trHeight w:val="35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2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1280" w:type="dxa"/>
            <w:vAlign w:val="bottom"/>
          </w:tcPr>
          <w:p>
            <w:pPr>
              <w:spacing w:after="0"/>
              <w:rPr>
                <w:sz w:val="23"/>
                <w:szCs w:val="23"/>
                <w:color w:val="auto"/>
              </w:rPr>
            </w:pPr>
          </w:p>
        </w:tc>
        <w:tc>
          <w:tcPr>
            <w:tcW w:w="546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176,274</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449,592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398,029</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208,038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193,835</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101,511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81,604</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868,185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849,742</w:t>
            </w: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200,768</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Deferred tax assets, net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56,874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49,971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311,010</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48,746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43,666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278,192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95,228</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1,121,895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555,762</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2,596,742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2,106,147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128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274,950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262,166</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72,385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56,736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90,505</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Taxes payable</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20,558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16,100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19,688</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Current portion of warranty</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29,736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21,150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41,438</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615,845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507,783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1,005,377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593,572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13,712</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Pension benefit obligation</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96,081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95,717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1,525</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152,021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88,206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1,884,410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1,300,515</w:t>
            </w: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29"/>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Preferred stock, no par value, 10 million shares authorized, no shares issued or</w:t>
            </w: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20"/>
                <w:szCs w:val="20"/>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Common stock, no par value, 75 million shares authorized, 39,400 and 38,771 shares</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issued and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1,326,719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1,294,767</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(185,246)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(170,478)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(449,273)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(337,873)</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Itron, Inc. shareholders' equity</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692,200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786,416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19,216</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712,332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805,632</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2,596,742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2,106,147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58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584"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79"/>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40"/>
              <w:spacing w:after="0"/>
              <w:rPr>
                <w:sz w:val="20"/>
                <w:szCs w:val="20"/>
                <w:color w:val="auto"/>
              </w:rPr>
            </w:pPr>
            <w:r>
              <w:rPr>
                <w:rFonts w:ascii="Arial" w:cs="Arial" w:eastAsia="Arial" w:hAnsi="Arial"/>
                <w:sz w:val="14"/>
                <w:szCs w:val="14"/>
                <w:color w:val="auto"/>
              </w:rPr>
              <w:t>Operating activities</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income (loss)</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(121,710)</w:t>
            </w:r>
          </w:p>
        </w:tc>
        <w:tc>
          <w:tcPr>
            <w:tcW w:w="12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57,875</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Depreciation and amortization</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92,428</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46,000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720"/>
              <w:spacing w:after="0"/>
              <w:rPr>
                <w:sz w:val="20"/>
                <w:szCs w:val="20"/>
                <w:color w:val="auto"/>
              </w:rPr>
            </w:pPr>
            <w:r>
              <w:rPr>
                <w:rFonts w:ascii="Arial" w:cs="Arial" w:eastAsia="Arial" w:hAnsi="Arial"/>
                <w:sz w:val="14"/>
                <w:szCs w:val="14"/>
                <w:color w:val="auto"/>
              </w:rPr>
              <w:t>Stock-based compensation</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23,069</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15,254</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of prepaid debt fees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5,825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720"/>
              <w:spacing w:after="0"/>
              <w:rPr>
                <w:sz w:val="20"/>
                <w:szCs w:val="20"/>
                <w:color w:val="auto"/>
              </w:rPr>
            </w:pPr>
            <w:r>
              <w:rPr>
                <w:rFonts w:ascii="Arial" w:cs="Arial" w:eastAsia="Arial" w:hAnsi="Arial"/>
                <w:sz w:val="14"/>
                <w:szCs w:val="14"/>
                <w:color w:val="auto"/>
              </w:rPr>
              <w:t>Deferred taxes, net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(13,141)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7,615</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Restructuring, non-cash</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569</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720"/>
              <w:spacing w:after="0"/>
              <w:rPr>
                <w:sz w:val="20"/>
                <w:szCs w:val="20"/>
                <w:color w:val="auto"/>
              </w:rPr>
            </w:pPr>
            <w:r>
              <w:rPr>
                <w:rFonts w:ascii="Arial" w:cs="Arial" w:eastAsia="Arial" w:hAnsi="Arial"/>
                <w:sz w:val="14"/>
                <w:szCs w:val="14"/>
                <w:color w:val="auto"/>
              </w:rPr>
              <w:t>Other adjustments, net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3,111</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 net of acquisitions: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7,774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2,537</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(10,072)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(30,843)</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Other current assets</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(9,797)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(23,492)</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long-term assets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3,817</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10,460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Accounts payable, other current liabilities, and taxes payable</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4,494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34,987</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Wages and benefits payable</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2,166</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6,218</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Unearned revenue</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27,869</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(5,679)</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Warranty</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3,167</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(10,285)</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Other operating, net</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50,955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provided by operating activities</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67,383</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114,501</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Acquisitions of property, plant, and equipment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(42,493)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(33,493)</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Business acquisitions, net of cash equivalents acquired</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(803,075)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(98,848)</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Other investing, net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used in investing activities</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(845,749)</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(132,331)</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activities</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380"/>
              <w:spacing w:after="0"/>
              <w:rPr>
                <w:sz w:val="20"/>
                <w:szCs w:val="20"/>
                <w:color w:val="auto"/>
              </w:rPr>
            </w:pPr>
            <w:r>
              <w:rPr>
                <w:rFonts w:ascii="Arial" w:cs="Arial" w:eastAsia="Arial" w:hAnsi="Arial"/>
                <w:sz w:val="14"/>
                <w:szCs w:val="14"/>
                <w:color w:val="auto"/>
              </w:rPr>
              <w:t>Proceeds from borrowings</w:t>
            </w: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611,938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35,000</w:t>
            </w: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on debt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(182,297)</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(24,844)</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Issuance of common stock</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8,283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2,797</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debt fees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(24,042)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Other financing, net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(5,526)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1,216</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provided by financing activities</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408,356</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14,169</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foreign exchange rate changes on cash, cash equivalents, and restricted cash</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(6,175)</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7,680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40"/>
              <w:spacing w:after="0"/>
              <w:rPr>
                <w:sz w:val="20"/>
                <w:szCs w:val="20"/>
                <w:color w:val="auto"/>
              </w:rPr>
            </w:pPr>
            <w:r>
              <w:rPr>
                <w:rFonts w:ascii="Arial" w:cs="Arial" w:eastAsia="Arial" w:hAnsi="Arial"/>
                <w:sz w:val="14"/>
                <w:szCs w:val="14"/>
                <w:color w:val="auto"/>
              </w:rPr>
              <w:t>(Decrease) increase in cash, cash equivalents, and restricted cash</w:t>
            </w: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(376,185)</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4,019</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487,335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133,565</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111,150</w:t>
            </w:r>
          </w:p>
        </w:tc>
        <w:tc>
          <w:tcPr>
            <w:tcW w:w="120" w:type="dxa"/>
            <w:vAlign w:val="bottom"/>
          </w:tcPr>
          <w:p>
            <w:pPr>
              <w:spacing w:after="0"/>
              <w:rPr>
                <w:sz w:val="14"/>
                <w:szCs w:val="14"/>
                <w:color w:val="auto"/>
              </w:rPr>
            </w:pPr>
          </w:p>
        </w:tc>
        <w:tc>
          <w:tcPr>
            <w:tcW w:w="540" w:type="dxa"/>
            <w:vAlign w:val="bottom"/>
            <w:vMerge w:val="restart"/>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137,584</w:t>
            </w:r>
          </w:p>
        </w:tc>
        <w:tc>
          <w:tcPr>
            <w:tcW w:w="0" w:type="dxa"/>
            <w:vAlign w:val="bottom"/>
          </w:tcPr>
          <w:p>
            <w:pPr>
              <w:spacing w:after="0"/>
              <w:rPr>
                <w:sz w:val="1"/>
                <w:szCs w:val="1"/>
                <w:color w:val="auto"/>
              </w:rPr>
            </w:pPr>
          </w:p>
        </w:tc>
      </w:tr>
      <w:tr>
        <w:trPr>
          <w:trHeight w:val="100"/>
        </w:trPr>
        <w:tc>
          <w:tcPr>
            <w:tcW w:w="790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3"/>
          <w:szCs w:val="13"/>
          <w:i w:val="1"/>
          <w:iCs w:val="1"/>
          <w:color w:val="auto"/>
        </w:rPr>
        <w:t>Supplemental disclosure of cash flow information: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during the period for: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Income taxes, net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6,367</w:t>
            </w:r>
          </w:p>
        </w:tc>
        <w:tc>
          <w:tcPr>
            <w:tcW w:w="7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25,423</w:t>
            </w:r>
          </w:p>
        </w:tc>
      </w:tr>
      <w:tr>
        <w:trPr>
          <w:trHeight w:val="270"/>
        </w:trPr>
        <w:tc>
          <w:tcPr>
            <w:tcW w:w="64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34,539</w:t>
            </w:r>
          </w:p>
        </w:tc>
        <w:tc>
          <w:tcPr>
            <w:tcW w:w="7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-506095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-163195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720"/>
            <w:col w:w="3500"/>
          </w:cols>
          <w:pgMar w:left="240" w:top="125" w:right="239" w:bottom="1440" w:gutter="0" w:footer="0" w:header="0"/>
          <w:type w:val="continuous"/>
        </w:sectPr>
      </w:pP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and nine months ended September 30, 2018 and 2017, the Consolidated Balance Sheets as of September 30, 2018 and December 31, 2017, and the Consolidated Statements of Cash Flows for the nine months ended September 30, 2018 and 2017 of Itron, Inc. and its subsidiaries. All entries required for the fair presentation of the financial statements are of a normal recurring nature, except as disclosed. The results of operations for the three and nine months ended September 30, 2018 are not necessarily indicative of the results expected for the full year or for any other period.</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audited financial statements and notes included in our 2017 Annual Report on Form 10-K filed with the SEC on</w:t>
      </w:r>
    </w:p>
    <w:p>
      <w:pPr>
        <w:spacing w:after="0" w:line="2"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 xml:space="preserve">February 28, 2018. There have been no significant changes in financial statement preparation or significant accounting policies since December 31, 2017, with the exception of the adoption of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January 1, 2018, we adopted ASC 606 using the modified retrospective method applied to those contracts that were not completed. Results for reporting periods beginning after January 1, 2018 are presented under ASC 606, while prior period amounts are not adjusted and continue to be reported in accordance with our historic accounting under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The cumulative impact of adoption was a net decrease to accumulated deficit of $10.9 million as of January 1, 2018, with the impact primarily related to multiple element arrangements that contain software and software related elements. As we had not established vendor specific objective evidence of fair value for certain of our software and software related elements, we historically combined them as one unit of account and recognized the combined unit of account using the combined services approach. Under ASC 606, these software and software related elements are generally determined to be distinct performance obligations. As such, we are able to recognize revenue as we satisfy the performance obligations, either at a point in time or over time. For contracts that were modified prior to January 1, 2018, we have reflected the aggregate effect of all modifications prior to the date of initial adoption in order to identify the satisfied and unsatisfied performance obligations, determine the transaction price, and allocate the transaction price to satisfied and unsatisfied performance obligations. The impact to revenues for the three and nine months ended September 30, 2018 was immaterial as a result of applying ASC 606.</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the updated Revenue Recognition accounting policy described below and Note 16 for additional disclosures regarding our revenues from contracts with customers and the adoption of ASC 606.</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Reclassifications</w:t>
      </w:r>
    </w:p>
    <w:p>
      <w:pPr>
        <w:spacing w:after="0" w:line="2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Certain reclassifications have been made to prior period consolidated financial statements to conform to classifications used in the current period. These reclassifications had no impact on net income (loss), shareholders' equity or cash flows as previously reported.</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that are contractually restricted from operating use are classified as restricted cash and cash equivalents.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2018</w:t>
            </w:r>
          </w:p>
        </w:tc>
        <w:tc>
          <w:tcPr>
            <w:tcW w:w="1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2017</w:t>
            </w:r>
          </w:p>
        </w:tc>
        <w:tc>
          <w:tcPr>
            <w:tcW w:w="120" w:type="dxa"/>
            <w:vAlign w:val="bottom"/>
          </w:tcPr>
          <w:p>
            <w:pPr>
              <w:spacing w:after="0"/>
              <w:rPr>
                <w:sz w:val="18"/>
                <w:szCs w:val="18"/>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September 30, 2017</w:t>
            </w:r>
          </w:p>
        </w:tc>
      </w:tr>
      <w:tr>
        <w:trPr>
          <w:trHeight w:val="33"/>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(in thousands)</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109,044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137,584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Current restricted cash included in other current assets</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restricted cash</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311,010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6060" w:type="dxa"/>
            <w:vAlign w:val="bottom"/>
          </w:tcPr>
          <w:p>
            <w:pPr>
              <w:ind w:left="380"/>
              <w:spacing w:after="0"/>
              <w:rPr>
                <w:sz w:val="20"/>
                <w:szCs w:val="20"/>
                <w:color w:val="auto"/>
              </w:rPr>
            </w:pPr>
            <w:r>
              <w:rPr>
                <w:rFonts w:ascii="Arial" w:cs="Arial" w:eastAsia="Arial" w:hAnsi="Arial"/>
                <w:sz w:val="16"/>
                <w:szCs w:val="16"/>
                <w:color w:val="auto"/>
              </w:rPr>
              <w:t>Total cash, cash equivalents,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111,150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487,335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137,584</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majority of our revenues consist primarily of hardware sales, but may also include the license of software, software implementation services, cloud services and software as a service ("SaaS"), project management services, installation services, consulting services, post-sale maintenance support, and extended or noncustomary warranties. We account for a contract when it has approval and commitment from both parties, the rights of the parties are identified, payment terms are identified, the contract has commercial substance, and collectability of consideration is probable. In determining whether the definition of a contract has been met, we will consider whether the arrangement creates enforceable rights and obligations, which involves evaluation of agreement terms that would allow for the customer to terminate the agreement. If the customer is able to terminate the agreement without providing further consideration to us, the agreement would not be considered to meet the definition of a contract.</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Many of our revenue arrangements involve multiple performance obligations consisting of hardware, meter reading system software, installation, and/or project management services. Separate contracts entered into with the same customer (or related parties of the customer) at or near the same time are accounted for as a single contract where one or more of the following criteria are met: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contracts are negotiated as a package with a single commercial objective;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consideration to be paid in one contract depends on the price or performance of the other contract;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goods or services promised in the contracts (or some goods or services promised in each of the contracts) are a single performance obligation.</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Once the contract has been defined, we evaluate whether the promises in the contract should be accounted for as more than one performance obligation. This evaluation requires significant judgment, and the decision to separate the combined or single contract into multiple performance obligations could change the amount of revenue and profit recognized in a given period. For some of our contracts, the customer contracts with us to provide a significant service of integrating, customizing or modifying goods or services in the contract in which case the goods or services would be combined into a single performance obligation. It is common that we may promise to provide multiple distinct goods or services within a contract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underlying each performance obligation. If applicable,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will maximize the use of observable inputs and considers several factors, including our pricing practices, costs to provide a good or service, the type of good or service, and availability of other transactional data, among others.</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of our contracts with customers include variable consideration, which can include liquidated damage provisions, rebates and volume and early payment discounts. Some of our contracts with customers contain clauses for liquidated damages related to the timing of delivery or milestone accomplishments, which could become material in an event of failure to meet the contractual deadlines. At the inception of the arrangement and on an ongoing basis, we evaluate the probability and magnitude of having to pay liquidated damages. We estimate variable consideration using the expected value method, taking into consideration contract terms, historical customer behavior and historical sales. In the case of liquidated damages, we also take into consideration progress towards meeting contractual milestones, including whether milestones have not been achieved, specified rates, if applicable, stated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contract, and history of paying liquidated damages to the customer or similar customers. Variable consideration is included in the transaction price if, in our judgment, it is probable that a significant future reversal of cumulative revenue under the contract will not occur.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normal course of business, we do not accept product returns unless the item is defective as manufactured. We establish provisions for estimated returns and warranties. In addition, we do not typically provide customers with the right to a refund.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Hardware revenues are recognized at a point in time. Transfer of control is typically at the time of shipment, receipt by the customer, or, if applicable, upon receipt of customer acceptance provisions. We will recognize revenue prior to receipt of customer acceptance for hardware in cases where the customer acceptance provision is determined to be a formality. Transfer of control would not occur until receipt of customer acceptance in hardware arrangements where such provisions are subjective or where we do not have history of meeting the acceptance criteria.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Perpetual software licenses are considered to be a right to use intellectual property and are recognized at a point in time. Transfer of control is considered to be at the point at which it is available to the customer to download and use or upon receipt of customer acceptance. In certain contracts, software licenses may be sold with professional services that include implementation services that include a significant service of integrating, customizing or modifying the software. In these instances, the software license is combined into single performance obligation with the implementation services and recognized over time as the implementation services are performed.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Hardware and software licenses (when not combined with professional services) are typically billed when shipped and revenue recognized at a point-in-time.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timing of revenue recognition and invoicing does not have a significant impact on contract assets and liabilities.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Professional services, which include implementation, project management, installation, and consulting services are recognized over time. We measure progress towards satisfying these performance obligations using input methods, most commonly based on the costs incurred in relation to the total expected costs to provide the service. We expect this method to best depict our performance in transferring control of services promised to the customer or represents a reasonable proxy for measuring progress. The estimate of expected costs to provide services requires judgment. Cost estimates take into consideration past history and the specific scope requested by the customer and are updated quarterly. We may also offer professional services on a stand-ready basis over a specified period of time, in which case revenue would be recognized ratably over the term. Invoicing of these services is commensurate with performance and occurs on a monthly basis. As such, these services do not have a significant impact on contract assets and contract liabilities.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Cloud services and SaaS arrangements where customers have access to certain of our software within a cloud-based IT environment that we manage, host and support are offered to customers on a subscription basis. Revenue for the cloud services and SaaS offerings are generally recognized over time, ratably over the contact term commencing with the date the services are made available to the customer.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Services, including professional services, cloud services and SaaS arrangements, are commonly billed on a monthly basis in arrears and typically result in an unbilled receivable, which is not considered a contract asset as our right to consideration is unconditional.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 arrangements include an extended or noncustomary warranty provisions that covers all or a portion of a customer's replacement or repair costs beyond the standard or customary warranty period. Whether or not the extended warranty is separately priced in the arrangement, such warranties are considered to be a separate good or service, and a portion of the transaction price is allocated to this extended warranty performance obligation. This revenue is recognized, ratably over the extended warranty coverage period.</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Hardware and software post-sale maintenance support fees are recognized over time, ratably over the life of the related service contract. Shipping and handling costs and incidental expenses billed to customers are recognized as revenue, with the associated cost charged to cost of revenues. We recognize sales, use, and value added taxes billed to our customers on a net basis. Support fees are typically billed on an annual basis, resulting in a contract liability.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Payment terms with customers can vary by customer; however, amounts billed are typically payable within 30 to 90 days, depending on the destination country. We do not make a practice of offering financing as part of our contracts with customers.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incur certain incremental costs to obtain contracts with customers, primarily in the form of sales commissions. Where the amortization period is one year or less, we have elected to apply the practical expedient and recognize the related commissions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expense as incurred. Otherwise, such incremental costs are capitalized and amortized over the contract period. Capitalized incremental costs are not material.</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w:t>
      </w:r>
      <w:r>
        <w:rPr>
          <w:rFonts w:ascii="Arial" w:cs="Arial" w:eastAsia="Arial" w:hAnsi="Arial"/>
          <w:sz w:val="16"/>
          <w:szCs w:val="16"/>
          <w:i w:val="1"/>
          <w:iCs w:val="1"/>
          <w:color w:val="auto"/>
        </w:rPr>
        <w:t>,</w:t>
      </w:r>
      <w:r>
        <w:rPr>
          <w:rFonts w:ascii="Arial" w:cs="Arial" w:eastAsia="Arial" w:hAnsi="Arial"/>
          <w:sz w:val="16"/>
          <w:szCs w:val="16"/>
          <w:color w:val="auto"/>
        </w:rPr>
        <w:t xml:space="preserve"> which requires substantially all leases be recognized by lessees on their balance sheet as a right-of-use asset and corresponding lease liability, including leases currently accounted for as operating leases. The new standard also will result in enhanced quantitative and qualitative disclosures, including significant judgments made by management, to provide greater insight into the extent of revenue and expense recognized and expected to be recognized from existing leases. The standard requires modified retrospective adoption and will be effective for annual reporting periods beginning after December 15, 2018, with early adoption permitted. In July 2018, the FASB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(ASU 2018-10), to clarify, improve, and correct various aspects of ASU 2016-02, and also issued ASU 2018-11, </w:t>
      </w:r>
      <w:r>
        <w:rPr>
          <w:rFonts w:ascii="Arial" w:cs="Arial" w:eastAsia="Arial" w:hAnsi="Arial"/>
          <w:sz w:val="16"/>
          <w:szCs w:val="16"/>
          <w:i w:val="1"/>
          <w:iCs w:val="1"/>
          <w:color w:val="auto"/>
        </w:rPr>
        <w:t>Targeted Improvements to Topic 842, Leases</w:t>
      </w:r>
      <w:r>
        <w:rPr>
          <w:rFonts w:ascii="Arial" w:cs="Arial" w:eastAsia="Arial" w:hAnsi="Arial"/>
          <w:sz w:val="16"/>
          <w:szCs w:val="16"/>
          <w:color w:val="auto"/>
        </w:rPr>
        <w:t xml:space="preserve"> (ASU 2018-11), to simplify transition requirements and, for lessors, provide a practical expedient for the separation of nonlease components from lease components. The effective date and transition requirements in ASU 2018-10 and ASU 2018-11 are the same as the effective date and transition requirements of ASU 2016-02. We currently believe the most significant impact relates to our real estate leases and the increased financial statement disclosures, but are continuing to evaluate the effect that the updated standard will have on our consolidated results of operations, financial position, cash flows, and related financial statement disclosures.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(ASU 2016-13), which replaces the incurred loss impairment methodology in current GAAP with a methodology based on expected credit losses. This estimate of expected credit losses uses a broader range of reasonable and supportable information. This change will result in earlier recognition of credit losses. ASU 2016-13 is effective for annual reporting periods, and interim periods within those years, beginning after December 15, 2019. We are currently evaluating the impact of this standard on our consolidated financial statements, including accounting policies, processes, and systems.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Intra-Entity Transfers of Assets Other Than Inventory (Topic 740)</w:t>
      </w:r>
      <w:r>
        <w:rPr>
          <w:rFonts w:ascii="Arial" w:cs="Arial" w:eastAsia="Arial" w:hAnsi="Arial"/>
          <w:sz w:val="16"/>
          <w:szCs w:val="16"/>
          <w:color w:val="auto"/>
        </w:rPr>
        <w:t xml:space="preserve"> (ASU 2016-16), which removes the prohibition in ASC 740 against the immediate recognition of the current and deferred income tax effects of intra-entity transfers of assets other than inventory. Under ASU 2016-16, the selling entity is required to recognize a current tax expense or benefit upon transfer of the asset. Similarly, the purchasing entity is required to recognize a deferred tax asset or deferred tax liability, as well as the related deferred tax benefit or expense, upon receipt of the asset. The resulting deferred tax asset or deferred tax liability is measured by computing the difference between the tax basis of the asset in the buyer's jurisdiction and its financial reporting carrying value in the consolidated financial statements and multiplying such difference by the enacted tax rate in the buyer's jurisdiction. ASU 2016-16 is effective for fiscal years beginning after December 15, 2017 with early adoption permitted. We adopted this standard effective January 1, 2018 using the modified retrospective transition method, recognizing a $0.9 million one-time decrease to accumulated deficit.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Improving the Presentation of Net Periodic Pension Cost and Net Periodic Postretirement Benefit Cost</w:t>
      </w:r>
      <w:r>
        <w:rPr>
          <w:rFonts w:ascii="Arial" w:cs="Arial" w:eastAsia="Arial" w:hAnsi="Arial"/>
          <w:sz w:val="18"/>
          <w:szCs w:val="18"/>
          <w:color w:val="auto"/>
        </w:rPr>
        <w:t xml:space="preserve"> (ASU 2017-07), which provides additional guidance on the presentation of net benefit costs in the income statement. ASU 2017-07 requires an employer disaggregate the service cost component from the other components of net benefit cost and to disclose other components outside of a subtotal of income from operations. It also allows only the service cost component of net benefit costs to be eligible for capitalization. ASU 2017-07 is effective for fiscal years beginning after December 15, 2017 with early adoption permitted.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adopted this standard on January 1, 2018 retrospectively for the presentation of the service cost component of net periodic pension cost in the statement of operations, and prospectively for the capitalization of the service cost component of net periodic pension cost. For applying the retrospective presentation requirements, we elected to utilize amounts previously disclosed in our defined benefit pension plan footnote for the prior comparative periods as the estimation basis for applying the retrospective presentation. This resulted in a reclassification of an immaterial amount of net periodic pension benefit costs from operating income to other income (expense) in all periods presented on the Consolidated Statements of Operations.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xml:space="preserve"> (ASU 2017-12), which amends and simplifies existing guidance in order to allow companies to more accurately present the economic effects of risk management activities in the financial statements. This update expands and refines hedge accounting for both nonfinancial and financial risk components and aligns the recognition and presentation of the effects of the hedging instrument and the hedged item in the financial statements. Additionally, the amendments in ASU 2017-12 provide new guidance about income statement classification and eliminates the requirement to separately measure and report hedge ineffectiveness. ASU 2017-12 is effective for fiscal years beginning after December 15, 2018, with early adoption permitted. We adopted this standard on April 1, 2018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 did not materially impact our consolidated results of operations, financial position, cash flows, or related financial statement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Disclosure Framework—Changes to the Disclosure Requirements for Fair Value Measurement</w:t>
      </w:r>
      <w:r>
        <w:rPr>
          <w:rFonts w:ascii="Arial" w:cs="Arial" w:eastAsia="Arial" w:hAnsi="Arial"/>
          <w:sz w:val="16"/>
          <w:szCs w:val="16"/>
          <w:color w:val="auto"/>
        </w:rPr>
        <w:t xml:space="preserve"> (ASU 2018-</w:t>
      </w:r>
    </w:p>
    <w:p>
      <w:pPr>
        <w:spacing w:after="0" w:line="46" w:lineRule="exact"/>
        <w:rPr>
          <w:sz w:val="20"/>
          <w:szCs w:val="20"/>
          <w:color w:val="auto"/>
        </w:rPr>
      </w:pPr>
    </w:p>
    <w:p>
      <w:pPr>
        <w:ind w:firstLine="8"/>
        <w:spacing w:after="0" w:line="261" w:lineRule="auto"/>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which amends the disclosure requirements under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ASU 2018-13 is effective for us beginning with our interim financial reports for the first quarter of 2020.</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Disclosure Framework—Changes to the Disclosure Requirements for Defined Benefit Plans</w:t>
      </w:r>
      <w:r>
        <w:rPr>
          <w:rFonts w:ascii="Arial" w:cs="Arial" w:eastAsia="Arial" w:hAnsi="Arial"/>
          <w:sz w:val="18"/>
          <w:szCs w:val="18"/>
          <w:color w:val="auto"/>
        </w:rPr>
        <w:t xml:space="preserve"> (ASU 2018-14) which amends the disclosure requirements under ASC 715-20, </w:t>
      </w:r>
      <w:r>
        <w:rPr>
          <w:rFonts w:ascii="Arial" w:cs="Arial" w:eastAsia="Arial" w:hAnsi="Arial"/>
          <w:sz w:val="18"/>
          <w:szCs w:val="18"/>
          <w:i w:val="1"/>
          <w:iCs w:val="1"/>
          <w:color w:val="auto"/>
        </w:rPr>
        <w:t>Compensation—Retirement Benefits—Defined Benefit Plans</w:t>
      </w:r>
      <w:r>
        <w:rPr>
          <w:rFonts w:ascii="Arial" w:cs="Arial" w:eastAsia="Arial" w:hAnsi="Arial"/>
          <w:sz w:val="18"/>
          <w:szCs w:val="18"/>
          <w:color w:val="auto"/>
        </w:rPr>
        <w:t>. ASU 2018-14 is effective for our financial reporting in 2020.</w:t>
      </w:r>
    </w:p>
    <w:p>
      <w:pPr>
        <w:spacing w:after="0" w:line="17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1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gridSpan w:val="5"/>
          </w:tcPr>
          <w:p>
            <w:pPr>
              <w:ind w:left="180"/>
              <w:spacing w:after="0"/>
              <w:rPr>
                <w:sz w:val="20"/>
                <w:szCs w:val="20"/>
                <w:color w:val="auto"/>
              </w:rPr>
            </w:pPr>
            <w:r>
              <w:rPr>
                <w:rFonts w:ascii="Arial" w:cs="Arial" w:eastAsia="Arial" w:hAnsi="Arial"/>
                <w:sz w:val="16"/>
                <w:szCs w:val="16"/>
                <w:b w:val="1"/>
                <w:bCs w:val="1"/>
                <w:color w:val="auto"/>
              </w:rPr>
              <w:t>(in thousands, except per share data)</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common shareholders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(123,127)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55,518</w:t>
            </w:r>
          </w:p>
        </w:tc>
      </w:tr>
      <w:tr>
        <w:trPr>
          <w:trHeight w:val="297"/>
        </w:trPr>
        <w:tc>
          <w:tcPr>
            <w:tcW w:w="4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38,624</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715</w:t>
            </w: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39,339</w:t>
            </w:r>
          </w:p>
        </w:tc>
      </w:tr>
      <w:tr>
        <w:trPr>
          <w:trHeight w:val="28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(loss) per common share - Basic</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0.51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1.44</w:t>
            </w: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common share - Diluted</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and the future compensation cost associated with the stock award. Approximately 0.5 million and 1.1 million stock-based awards were excluded from the calculation of diluted EPS for the three and nine months ended September 30, 2018, respectively, because they were anti-dilutive. Approximately 0.2 million stock-based awards were excluded from the calculation of diluted EPS for both the three and nine months ended September 30, 2017 because they were anti-dilutive. These stock-based awards could be dilutive in future periods.</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accounts receivable from contracts with customers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ind w:left="40"/>
              <w:spacing w:after="0"/>
              <w:rPr>
                <w:sz w:val="20"/>
                <w:szCs w:val="20"/>
                <w:color w:val="auto"/>
              </w:rPr>
            </w:pPr>
            <w:r>
              <w:rPr>
                <w:rFonts w:ascii="Arial" w:cs="Arial" w:eastAsia="Arial" w:hAnsi="Arial"/>
                <w:sz w:val="18"/>
                <w:szCs w:val="18"/>
                <w:i w:val="1"/>
                <w:iCs w:val="1"/>
                <w:color w:val="auto"/>
              </w:rPr>
              <w:t>Accounts receivable, net</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2018</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$3,822 and $3,957)</w:t>
            </w:r>
          </w:p>
        </w:tc>
        <w:tc>
          <w:tcPr>
            <w:tcW w:w="2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422,567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369,047</w:t>
            </w:r>
          </w:p>
        </w:tc>
        <w:tc>
          <w:tcPr>
            <w:tcW w:w="0" w:type="dxa"/>
            <w:vAlign w:val="bottom"/>
          </w:tcPr>
          <w:p>
            <w:pPr>
              <w:spacing w:after="0"/>
              <w:rPr>
                <w:sz w:val="1"/>
                <w:szCs w:val="1"/>
                <w:color w:val="auto"/>
              </w:rPr>
            </w:pPr>
          </w:p>
        </w:tc>
      </w:tr>
      <w:tr>
        <w:trPr>
          <w:trHeight w:val="237"/>
        </w:trPr>
        <w:tc>
          <w:tcPr>
            <w:tcW w:w="490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27,025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28,982</w:t>
            </w:r>
          </w:p>
        </w:tc>
        <w:tc>
          <w:tcPr>
            <w:tcW w:w="0" w:type="dxa"/>
            <w:vAlign w:val="bottom"/>
          </w:tcPr>
          <w:p>
            <w:pPr>
              <w:spacing w:after="0"/>
              <w:rPr>
                <w:sz w:val="1"/>
                <w:szCs w:val="1"/>
                <w:color w:val="auto"/>
              </w:rPr>
            </w:pPr>
          </w:p>
        </w:tc>
      </w:tr>
      <w:tr>
        <w:trPr>
          <w:trHeight w:val="33"/>
        </w:trPr>
        <w:tc>
          <w:tcPr>
            <w:tcW w:w="49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449,592</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398,029</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ind w:right="896"/>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90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accounts activity</w:t>
            </w:r>
          </w:p>
        </w:tc>
        <w:tc>
          <w:tcPr>
            <w:tcW w:w="260" w:type="dxa"/>
            <w:vAlign w:val="bottom"/>
          </w:tcPr>
          <w:p>
            <w:pPr>
              <w:spacing w:after="0"/>
              <w:rPr>
                <w:sz w:val="20"/>
                <w:szCs w:val="20"/>
                <w:color w:val="auto"/>
              </w:rPr>
            </w:pPr>
          </w:p>
        </w:tc>
        <w:tc>
          <w:tcPr>
            <w:tcW w:w="32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20"/>
                <w:szCs w:val="20"/>
                <w:color w:val="auto"/>
              </w:rPr>
            </w:pPr>
          </w:p>
        </w:tc>
        <w:tc>
          <w:tcPr>
            <w:tcW w:w="28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Beginning balance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3,320</w:t>
            </w:r>
          </w:p>
        </w:tc>
      </w:tr>
      <w:tr>
        <w:trPr>
          <w:trHeight w:val="237"/>
        </w:trPr>
        <w:tc>
          <w:tcPr>
            <w:tcW w:w="4700" w:type="dxa"/>
            <w:vAlign w:val="bottom"/>
          </w:tcPr>
          <w:p>
            <w:pPr>
              <w:ind w:left="540"/>
              <w:spacing w:after="0"/>
              <w:rPr>
                <w:sz w:val="20"/>
                <w:szCs w:val="20"/>
                <w:color w:val="auto"/>
              </w:rPr>
            </w:pPr>
            <w:r>
              <w:rPr>
                <w:rFonts w:ascii="Arial" w:cs="Arial" w:eastAsia="Arial" w:hAnsi="Arial"/>
                <w:sz w:val="16"/>
                <w:szCs w:val="16"/>
                <w:color w:val="auto"/>
              </w:rPr>
              <w:t>Provision (recovery) for doubtful accounts, net</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1,513</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written-off</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w:t>
            </w:r>
          </w:p>
        </w:tc>
      </w:tr>
      <w:tr>
        <w:trPr>
          <w:trHeight w:val="237"/>
        </w:trPr>
        <w:tc>
          <w:tcPr>
            <w:tcW w:w="4700" w:type="dxa"/>
            <w:vAlign w:val="bottom"/>
          </w:tcPr>
          <w:p>
            <w:pPr>
              <w:ind w:left="540"/>
              <w:spacing w:after="0"/>
              <w:rPr>
                <w:sz w:val="20"/>
                <w:szCs w:val="20"/>
                <w:color w:val="auto"/>
              </w:rPr>
            </w:pPr>
            <w:r>
              <w:rPr>
                <w:rFonts w:ascii="Arial" w:cs="Arial" w:eastAsia="Arial" w:hAnsi="Arial"/>
                <w:sz w:val="16"/>
                <w:szCs w:val="16"/>
                <w:color w:val="auto"/>
              </w:rPr>
              <w:t>Effect of change in exchange rates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273</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Ending balance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3,991</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Inventories</w:t>
            </w:r>
          </w:p>
        </w:tc>
        <w:tc>
          <w:tcPr>
            <w:tcW w:w="260" w:type="dxa"/>
            <w:vAlign w:val="bottom"/>
          </w:tcPr>
          <w:p>
            <w:pPr>
              <w:spacing w:after="0"/>
              <w:rPr>
                <w:sz w:val="20"/>
                <w:szCs w:val="20"/>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2018</w:t>
            </w:r>
          </w:p>
        </w:tc>
        <w:tc>
          <w:tcPr>
            <w:tcW w:w="260" w:type="dxa"/>
            <w:vAlign w:val="bottom"/>
          </w:tcPr>
          <w:p>
            <w:pPr>
              <w:spacing w:after="0"/>
              <w:rPr>
                <w:sz w:val="20"/>
                <w:szCs w:val="20"/>
                <w:color w:val="auto"/>
              </w:rPr>
            </w:pPr>
          </w:p>
        </w:tc>
        <w:tc>
          <w:tcPr>
            <w:tcW w:w="188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December 31, 2017</w:t>
            </w:r>
          </w:p>
        </w:tc>
      </w:tr>
      <w:tr>
        <w:trPr>
          <w:trHeight w:val="27"/>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4"/>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80" w:type="dxa"/>
            <w:vAlign w:val="bottom"/>
            <w:gridSpan w:val="4"/>
          </w:tcPr>
          <w:p>
            <w:pPr>
              <w:jc w:val="right"/>
              <w:ind w:right="163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128,744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126,656</w:t>
            </w:r>
          </w:p>
        </w:tc>
      </w:tr>
      <w:tr>
        <w:trPr>
          <w:trHeight w:val="237"/>
        </w:trPr>
        <w:tc>
          <w:tcPr>
            <w:tcW w:w="698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2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8,595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9,863</w:t>
            </w:r>
          </w:p>
        </w:tc>
      </w:tr>
      <w:tr>
        <w:trPr>
          <w:trHeight w:val="3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57,316</w:t>
            </w:r>
          </w:p>
        </w:tc>
      </w:tr>
      <w:tr>
        <w:trPr>
          <w:trHeight w:val="244"/>
        </w:trPr>
        <w:tc>
          <w:tcPr>
            <w:tcW w:w="698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208,038</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193,835</w:t>
            </w: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280" w:type="dxa"/>
            <w:vAlign w:val="bottom"/>
          </w:tcPr>
          <w:p>
            <w:pPr>
              <w:spacing w:after="0"/>
              <w:rPr>
                <w:sz w:val="20"/>
                <w:szCs w:val="20"/>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2018</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318,218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310,753</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Computers and software</w:t>
            </w:r>
          </w:p>
        </w:tc>
        <w:tc>
          <w:tcPr>
            <w:tcW w:w="280" w:type="dxa"/>
            <w:vAlign w:val="bottom"/>
          </w:tcPr>
          <w:p>
            <w:pPr>
              <w:spacing w:after="0"/>
              <w:rPr>
                <w:sz w:val="20"/>
                <w:szCs w:val="20"/>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112,681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104,384</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149,934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135,566</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Land</w:t>
            </w:r>
          </w:p>
        </w:tc>
        <w:tc>
          <w:tcPr>
            <w:tcW w:w="280" w:type="dxa"/>
            <w:vAlign w:val="bottom"/>
          </w:tcPr>
          <w:p>
            <w:pPr>
              <w:spacing w:after="0"/>
              <w:rPr>
                <w:sz w:val="20"/>
                <w:szCs w:val="20"/>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15,463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18,433</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41,423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39,946</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w:t>
            </w:r>
          </w:p>
        </w:tc>
        <w:tc>
          <w:tcPr>
            <w:tcW w:w="28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637,719</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609,082</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(416,924)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(408,314)</w:t>
            </w:r>
          </w:p>
        </w:tc>
      </w:tr>
      <w:tr>
        <w:trPr>
          <w:trHeight w:val="244"/>
        </w:trPr>
        <w:tc>
          <w:tcPr>
            <w:tcW w:w="6740" w:type="dxa"/>
            <w:vAlign w:val="bottom"/>
          </w:tcPr>
          <w:p>
            <w:pPr>
              <w:ind w:left="10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220,795</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200,768</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340" w:type="dxa"/>
            <w:vAlign w:val="bottom"/>
          </w:tcPr>
          <w:p>
            <w:pPr>
              <w:spacing w:after="0"/>
              <w:rPr>
                <w:sz w:val="20"/>
                <w:szCs w:val="20"/>
                <w:color w:val="auto"/>
              </w:rPr>
            </w:pPr>
          </w:p>
        </w:tc>
        <w:tc>
          <w:tcPr>
            <w:tcW w:w="334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Pr>
          <w:p>
            <w:pPr>
              <w:spacing w:after="0"/>
              <w:rPr>
                <w:sz w:val="20"/>
                <w:szCs w:val="20"/>
                <w:color w:val="auto"/>
              </w:rPr>
            </w:pPr>
          </w:p>
        </w:tc>
        <w:tc>
          <w:tcPr>
            <w:tcW w:w="30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7"/>
        </w:trPr>
        <w:tc>
          <w:tcPr>
            <w:tcW w:w="4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12,489</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10,907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38,729</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30,856</w:t>
            </w:r>
          </w:p>
        </w:tc>
      </w:tr>
      <w:tr>
        <w:trPr>
          <w:trHeight w:val="33"/>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Intangible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(accretion) of our intangible assets and liabilities, other than goodwill,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2018</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 2017</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Accumulated</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2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(Amortization)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Accretion</w:t>
            </w:r>
          </w:p>
        </w:tc>
        <w:tc>
          <w:tcPr>
            <w:tcW w:w="32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w:t>
            </w:r>
          </w:p>
        </w:tc>
        <w:tc>
          <w:tcPr>
            <w:tcW w:w="4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Accretion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w:t>
            </w:r>
          </w:p>
        </w:tc>
      </w:tr>
      <w:tr>
        <w:trPr>
          <w:trHeight w:val="33"/>
        </w:trPr>
        <w:tc>
          <w:tcPr>
            <w:tcW w:w="2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Core-developed technology</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515,949</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(427,069)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88,880</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429,548</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(399,969)</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29,579</w:t>
            </w:r>
          </w:p>
        </w:tc>
      </w:tr>
      <w:tr>
        <w:trPr>
          <w:trHeight w:val="33"/>
        </w:trPr>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Customer contracts and relationships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(210,735)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174,413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258,586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(197,582)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61,004</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Trademarks and trade names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79,739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(69,376)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10,363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70,056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(66,004)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4,052</w:t>
            </w:r>
          </w:p>
        </w:tc>
      </w:tr>
      <w:tr>
        <w:trPr>
          <w:trHeight w:val="33"/>
        </w:trPr>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w:t>
            </w:r>
          </w:p>
        </w:tc>
      </w:tr>
      <w:tr>
        <w:trPr>
          <w:trHeight w:val="200"/>
        </w:trPr>
        <w:tc>
          <w:tcPr>
            <w:tcW w:w="2620" w:type="dxa"/>
            <w:vAlign w:val="bottom"/>
          </w:tcPr>
          <w:p>
            <w:pPr>
              <w:ind w:left="540"/>
              <w:spacing w:after="0"/>
              <w:rPr>
                <w:sz w:val="20"/>
                <w:szCs w:val="20"/>
                <w:color w:val="auto"/>
              </w:rPr>
            </w:pPr>
            <w:r>
              <w:rPr>
                <w:rFonts w:ascii="Arial" w:cs="Arial" w:eastAsia="Arial" w:hAnsi="Arial"/>
                <w:sz w:val="16"/>
                <w:szCs w:val="16"/>
                <w:color w:val="auto"/>
                <w:w w:val="96"/>
              </w:rPr>
              <w:t>Total intangible assets subject</w:t>
            </w: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06"/>
        </w:trPr>
        <w:tc>
          <w:tcPr>
            <w:tcW w:w="2620" w:type="dxa"/>
            <w:vAlign w:val="bottom"/>
          </w:tcPr>
          <w:p>
            <w:pPr>
              <w:ind w:left="540"/>
              <w:spacing w:after="0"/>
              <w:rPr>
                <w:sz w:val="20"/>
                <w:szCs w:val="20"/>
                <w:color w:val="auto"/>
              </w:rPr>
            </w:pPr>
            <w:r>
              <w:rPr>
                <w:rFonts w:ascii="Arial" w:cs="Arial" w:eastAsia="Arial" w:hAnsi="Arial"/>
                <w:sz w:val="16"/>
                <w:szCs w:val="16"/>
                <w:color w:val="auto"/>
              </w:rPr>
              <w:t>to amortization</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993,438</w:t>
            </w: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(718,346)</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275,092</w:t>
            </w:r>
          </w:p>
        </w:tc>
        <w:tc>
          <w:tcPr>
            <w:tcW w:w="10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769,851</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(674,623)</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95,228</w:t>
            </w:r>
          </w:p>
        </w:tc>
      </w:tr>
      <w:tr>
        <w:trPr>
          <w:trHeight w:val="33"/>
        </w:trPr>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2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In-process research and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9"/>
        </w:trPr>
        <w:tc>
          <w:tcPr>
            <w:tcW w:w="2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development</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84"/>
        </w:trPr>
        <w:tc>
          <w:tcPr>
            <w:tcW w:w="26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intangible assets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996,538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(718,346)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278,192</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769,851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(674,623)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95,228</w:t>
            </w:r>
          </w:p>
        </w:tc>
      </w:tr>
      <w:tr>
        <w:trPr>
          <w:trHeight w:val="284"/>
        </w:trPr>
        <w:tc>
          <w:tcPr>
            <w:tcW w:w="2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Customer contracts and relationships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and liabilities activity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769,851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669,896</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242,039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36,500</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(15,352)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57,640</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996,538</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764,036</w:t>
            </w:r>
          </w:p>
        </w:tc>
      </w:tr>
      <w:tr>
        <w:trPr>
          <w:trHeight w:val="73"/>
        </w:trPr>
        <w:tc>
          <w:tcPr>
            <w:tcW w:w="79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78"/>
        </w:trPr>
        <w:tc>
          <w:tcPr>
            <w:tcW w:w="7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Beginning balance, intangible liabilities, gross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 liabilities acquired</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intangible liabilities, gross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5, 2018, we completed our acquisition of Silver Spring Networks, Inc. (SSNI) by purchasing 100% of the voting stock. Intangible assets acquired in 2018 are primarily based on the preliminary purchase price allocation relating to this acquisition. Acquired intangible assets include in-process research and development (IPR&amp;D), which is not amortized until such time as the associated development projects are completed. Of these projects, $11.3 million were completed during the nine months ended September 30, 2018 and are included in core-developed technology. The remaining IPR&amp;D is expected to be completed in the next year. Acquired intangible liabilities reflect the present value of the projected cash outflows for an existing contract where remaining costs are expected to exceed projected revenues. Refer to Note 17 for additional information regarding this acquisition.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(accretion)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Estimated Annual</w:t>
            </w:r>
          </w:p>
        </w:tc>
      </w:tr>
      <w:tr>
        <w:trPr>
          <w:trHeight w:val="210"/>
        </w:trPr>
        <w:tc>
          <w:tcPr>
            <w:tcW w:w="640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Accretion</w:t>
            </w:r>
          </w:p>
        </w:tc>
        <w:tc>
          <w:tcPr>
            <w:tcW w:w="140" w:type="dxa"/>
            <w:vAlign w:val="bottom"/>
          </w:tcPr>
          <w:p>
            <w:pPr>
              <w:spacing w:after="0"/>
              <w:rPr>
                <w:sz w:val="18"/>
                <w:szCs w:val="18"/>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Amortization, net</w:t>
            </w:r>
          </w:p>
        </w:tc>
      </w:tr>
      <w:tr>
        <w:trPr>
          <w:trHeight w:val="33"/>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2018 (amount remaining at September 30, 2018)</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19,547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18,243</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72,681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(8,233)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64,448</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52,727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44,699</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37,314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35,351</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26,701</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Beyond 2022</w:t>
            </w: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65,663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65,663</w:t>
            </w:r>
          </w:p>
        </w:tc>
      </w:tr>
      <w:tr>
        <w:trPr>
          <w:trHeight w:val="33"/>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intangible assets subject to amortization (accretion)</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275,092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255,105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recognized $18.0 million and $5.6 million of net amortization of intangible assets for the three months ended September 30, 2018 and 2017, respectively, and $53.7 million and $15.1 million for the nine months ended September 30, 2018 and 2017, respectively within operating expenses in the Consolidated Statement of Operations. These expenses relate to intangible assets and liabilities acquired as part of a business combination.</w:t>
      </w:r>
    </w:p>
    <w:p>
      <w:pPr>
        <w:spacing w:after="0" w:line="24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unit: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Electricity</w:t>
            </w:r>
          </w:p>
        </w:tc>
        <w:tc>
          <w:tcPr>
            <w:tcW w:w="360" w:type="dxa"/>
            <w:vAlign w:val="bottom"/>
          </w:tcPr>
          <w:p>
            <w:pPr>
              <w:spacing w:after="0"/>
              <w:rPr>
                <w:sz w:val="18"/>
                <w:szCs w:val="18"/>
                <w:color w:val="auto"/>
              </w:rPr>
            </w:pPr>
          </w:p>
        </w:tc>
        <w:tc>
          <w:tcPr>
            <w:tcW w:w="1260" w:type="dxa"/>
            <w:vAlign w:val="bottom"/>
            <w:gridSpan w:val="2"/>
          </w:tcPr>
          <w:p>
            <w:pPr>
              <w:ind w:left="260"/>
              <w:spacing w:after="0"/>
              <w:rPr>
                <w:sz w:val="20"/>
                <w:szCs w:val="20"/>
                <w:color w:val="auto"/>
              </w:rPr>
            </w:pPr>
            <w:r>
              <w:rPr>
                <w:rFonts w:ascii="Arial" w:cs="Arial" w:eastAsia="Arial" w:hAnsi="Arial"/>
                <w:sz w:val="16"/>
                <w:szCs w:val="16"/>
                <w:b w:val="1"/>
                <w:bCs w:val="1"/>
                <w:color w:val="auto"/>
              </w:rPr>
              <w:t>Gas</w:t>
            </w:r>
          </w:p>
        </w:tc>
        <w:tc>
          <w:tcPr>
            <w:tcW w:w="180" w:type="dxa"/>
            <w:vAlign w:val="bottom"/>
          </w:tcPr>
          <w:p>
            <w:pPr>
              <w:spacing w:after="0"/>
              <w:rPr>
                <w:sz w:val="18"/>
                <w:szCs w:val="18"/>
                <w:color w:val="auto"/>
              </w:rPr>
            </w:pPr>
          </w:p>
        </w:tc>
        <w:tc>
          <w:tcPr>
            <w:tcW w:w="1420" w:type="dxa"/>
            <w:vAlign w:val="bottom"/>
            <w:gridSpan w:val="2"/>
          </w:tcPr>
          <w:p>
            <w:pPr>
              <w:ind w:left="340"/>
              <w:spacing w:after="0"/>
              <w:rPr>
                <w:sz w:val="20"/>
                <w:szCs w:val="20"/>
                <w:color w:val="auto"/>
              </w:rPr>
            </w:pPr>
            <w:r>
              <w:rPr>
                <w:rFonts w:ascii="Arial" w:cs="Arial" w:eastAsia="Arial" w:hAnsi="Arial"/>
                <w:sz w:val="16"/>
                <w:szCs w:val="16"/>
                <w:b w:val="1"/>
                <w:bCs w:val="1"/>
                <w:color w:val="auto"/>
              </w:rPr>
              <w:t>Water</w:t>
            </w: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Networks</w:t>
            </w:r>
          </w:p>
        </w:tc>
        <w:tc>
          <w:tcPr>
            <w:tcW w:w="18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Company</w:t>
            </w:r>
          </w:p>
        </w:tc>
      </w:tr>
      <w:tr>
        <w:trPr>
          <w:trHeight w:val="33"/>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6"/>
                <w:szCs w:val="16"/>
                <w:color w:val="auto"/>
              </w:rPr>
              <w:t>Goodwill balance at January 1, 2018</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47"/>
        </w:trPr>
        <w:tc>
          <w:tcPr>
            <w:tcW w:w="3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500,625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352,703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378,901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1,232,229</w:t>
            </w:r>
          </w:p>
        </w:tc>
      </w:tr>
      <w:tr>
        <w:trPr>
          <w:trHeight w:val="237"/>
        </w:trPr>
        <w:tc>
          <w:tcPr>
            <w:tcW w:w="344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(386,384)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(290,083)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(676,467)</w:t>
            </w:r>
          </w:p>
        </w:tc>
      </w:tr>
      <w:tr>
        <w:trPr>
          <w:trHeight w:val="33"/>
        </w:trPr>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114,241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352,703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88,818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555,762</w:t>
            </w:r>
          </w:p>
        </w:tc>
      </w:tr>
      <w:tr>
        <w:trPr>
          <w:trHeight w:val="291"/>
        </w:trPr>
        <w:tc>
          <w:tcPr>
            <w:tcW w:w="3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acquired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570,790</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Effect of change in exchange rates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(4,657)</w:t>
            </w:r>
          </w:p>
        </w:tc>
      </w:tr>
      <w:tr>
        <w:trPr>
          <w:trHeight w:val="33"/>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97"/>
        </w:trPr>
        <w:tc>
          <w:tcPr>
            <w:tcW w:w="3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Goodwill balance at September 30, 2018</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496,565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1,791,125</w:t>
            </w:r>
          </w:p>
        </w:tc>
      </w:tr>
      <w:tr>
        <w:trPr>
          <w:trHeight w:val="237"/>
        </w:trPr>
        <w:tc>
          <w:tcPr>
            <w:tcW w:w="344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(382,694)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(286,536)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(669,230)</w:t>
            </w:r>
          </w:p>
        </w:tc>
      </w:tr>
      <w:tr>
        <w:trPr>
          <w:trHeight w:val="33"/>
        </w:trPr>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113,871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349,444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88,033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570,547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1,121,895</w:t>
            </w: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our borrowings were as follows: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Credit facility: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Senior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Less: unamortized prepaid debt fees - term loan</w:t>
      </w:r>
    </w:p>
    <w:p>
      <w:pPr>
        <w:spacing w:after="0" w:line="98" w:lineRule="exact"/>
        <w:rPr>
          <w:sz w:val="20"/>
          <w:szCs w:val="20"/>
          <w:color w:val="auto"/>
        </w:rPr>
      </w:pPr>
    </w:p>
    <w:p>
      <w:pPr>
        <w:jc w:val="right"/>
        <w:ind w:right="2240"/>
        <w:spacing w:after="0"/>
        <w:rPr>
          <w:sz w:val="20"/>
          <w:szCs w:val="20"/>
          <w:color w:val="auto"/>
        </w:rPr>
      </w:pPr>
      <w:r>
        <w:rPr>
          <w:rFonts w:ascii="Arial" w:cs="Arial" w:eastAsia="Arial" w:hAnsi="Arial"/>
          <w:sz w:val="16"/>
          <w:szCs w:val="16"/>
          <w:color w:val="auto"/>
        </w:rPr>
        <w:t>Less: unamortized prepaid debt fees - senior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2018</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527"/>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641,875</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194,063</w:t>
            </w:r>
          </w:p>
        </w:tc>
      </w:tr>
      <w:tr>
        <w:trPr>
          <w:trHeight w:val="270"/>
        </w:trPr>
        <w:tc>
          <w:tcPr>
            <w:tcW w:w="300" w:type="dxa"/>
            <w:vAlign w:val="bottom"/>
          </w:tcPr>
          <w:p>
            <w:pPr>
              <w:spacing w:after="0"/>
              <w:rPr>
                <w:sz w:val="23"/>
                <w:szCs w:val="23"/>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125,414</w:t>
            </w:r>
          </w:p>
        </w:tc>
      </w:tr>
      <w:tr>
        <w:trPr>
          <w:trHeight w:val="284"/>
        </w:trPr>
        <w:tc>
          <w:tcPr>
            <w:tcW w:w="300" w:type="dxa"/>
            <w:vAlign w:val="bottom"/>
          </w:tcPr>
          <w:p>
            <w:pPr>
              <w:spacing w:after="0"/>
              <w:rPr>
                <w:sz w:val="24"/>
                <w:szCs w:val="24"/>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300,000</w:t>
            </w:r>
          </w:p>
        </w:tc>
      </w:tr>
      <w:tr>
        <w:trPr>
          <w:trHeight w:val="33"/>
        </w:trPr>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1,051,875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619,477</w:t>
            </w:r>
          </w:p>
        </w:tc>
      </w:tr>
      <w:tr>
        <w:trPr>
          <w:trHeight w:val="270"/>
        </w:trPr>
        <w:tc>
          <w:tcPr>
            <w:tcW w:w="300" w:type="dxa"/>
            <w:vAlign w:val="bottom"/>
          </w:tcPr>
          <w:p>
            <w:pPr>
              <w:spacing w:after="0"/>
              <w:rPr>
                <w:sz w:val="23"/>
                <w:szCs w:val="23"/>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24,375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19,688</w:t>
            </w:r>
          </w:p>
        </w:tc>
      </w:tr>
      <w:tr>
        <w:trPr>
          <w:trHeight w:val="270"/>
        </w:trPr>
        <w:tc>
          <w:tcPr>
            <w:tcW w:w="300" w:type="dxa"/>
            <w:vAlign w:val="bottom"/>
          </w:tcPr>
          <w:p>
            <w:pPr>
              <w:spacing w:after="0"/>
              <w:rPr>
                <w:sz w:val="23"/>
                <w:szCs w:val="23"/>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5,208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629</w:t>
            </w:r>
          </w:p>
        </w:tc>
      </w:tr>
      <w:tr>
        <w:trPr>
          <w:trHeight w:val="270"/>
        </w:trPr>
        <w:tc>
          <w:tcPr>
            <w:tcW w:w="300" w:type="dxa"/>
            <w:vAlign w:val="bottom"/>
          </w:tcPr>
          <w:p>
            <w:pPr>
              <w:spacing w:after="0"/>
              <w:rPr>
                <w:sz w:val="23"/>
                <w:szCs w:val="23"/>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16,915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5,588</w:t>
            </w:r>
          </w:p>
        </w:tc>
      </w:tr>
      <w:tr>
        <w:trPr>
          <w:trHeight w:val="33"/>
        </w:trPr>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1,005,377</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593,572</w:t>
            </w:r>
          </w:p>
        </w:tc>
      </w:tr>
      <w:tr>
        <w:trPr>
          <w:trHeight w:val="33"/>
        </w:trPr>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-1397000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-1054100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-711200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-368300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5, 2018, we entered into a credit agreement providing for committed credit facilities in the amount of $1.2 billion U.S. dollars (the 2018 credit facility) which amended and restated in its entirety our credit agreement dated June 23, 2015 and replaced committed facilities in the amount of $725 million.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Both the term loan and the revolver mature on January 5, 2023 and can be repaid without penalty. Amounts repaid on the term loan may not be reborrowed and amounts borrowed under the revolver may be repaid and reborrowed until the revolver's maturity, at which time all outstanding loans together with all accrued and unpaid interest must be repaid. Amounts not borrowed under the revolver are subject to a commitment fee, which is paid in arrears on the last day of each fiscal quarter, ranging from 0.18% to 0.35% per annum depending on our total leverage ratio as of the most recently ended fiscal quarter.</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2018 credit facility permits us and certain of our foreign subsidiaries to borrow in U.S. dollars, euros, British pounds,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including a pledge of their related assets.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September 30, 2018.</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2018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At September 30, 2018, the interest rate for both the term loan and revolver was 4.25%, which includes the LIBOR rate plus a margin of 2.00%.</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22, 2017 and January 19, 2018, we issued $300 million and $100 million, respectively, of aggregate principal amount of 5.00% senior notes maturing January 15, 2026 (Notes). The proceeds were used to refinance existing indebtedness related to the acquisition of SSNI, pay related fees and expenses, and for general corporate purposes. Interest on the Notes is payable semi-annually in arrears on January 15 and July 15, commencing on July 15, 2018. The Notes are fully and unconditionally guaranteed, jointly and severally, on a senior unsecured basis by each of our subsidiaries that guarantee the senior credit facilities.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 to maturity we may redeem some or all of the Notes, together with accrued and unpaid interest, if any, plus a "make-whole" premium. On or after January 15, 2021, we may redeem some or all of the Notes at any time at declining redemption prices equal to 102.50% beginning on January 15, 2021, 101.25% beginning on January 15, 2022 and 100.00% beginning on January15, 2023 and thereafter to the applicable redemption date. In addition, before January 15, 2021, and subject to certain conditions, we may redeem up to 35% of the aggregate principal amount of Notes with the net proceeds of certain equity offerings at 105.00% of the principal amount thereof to the date of redemption; provided that (i) at least 65% of the aggregate principal amount of Notes remains outstanding after such redemption and (ii) the redemption occurs within 60 days of the closing of any such equity offering.</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Maturities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required minimum principal payments on our long-term debt in aggregate over the next five years,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00" w:type="dxa"/>
            <w:vAlign w:val="bottom"/>
          </w:tcPr>
          <w:p>
            <w:pPr>
              <w:spacing w:after="0"/>
              <w:rPr>
                <w:sz w:val="18"/>
                <w:szCs w:val="18"/>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Minimum Payments</w:t>
            </w:r>
          </w:p>
        </w:tc>
      </w:tr>
      <w:tr>
        <w:trPr>
          <w:trHeight w:val="33"/>
        </w:trPr>
        <w:tc>
          <w:tcPr>
            <w:tcW w:w="9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9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2018 (amount remaining at September 30,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4,063</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28,438</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44,777</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60,937</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65,000</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448,660</w:t>
            </w:r>
          </w:p>
        </w:tc>
      </w:tr>
      <w:tr>
        <w:trPr>
          <w:trHeight w:val="33"/>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minimum payments on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651,875</w:t>
            </w: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13 and Note 14 for additional disclosures on our derivative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60" w:type="dxa"/>
            <w:vAlign w:val="bottom"/>
          </w:tcPr>
          <w:p>
            <w:pPr>
              <w:jc w:val="center"/>
              <w:ind w:right="161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2860" w:type="dxa"/>
            <w:vAlign w:val="bottom"/>
          </w:tcPr>
          <w:p>
            <w:pPr>
              <w:spacing w:after="0"/>
              <w:rPr>
                <w:sz w:val="2"/>
                <w:szCs w:val="2"/>
                <w:color w:val="auto"/>
              </w:rPr>
            </w:pPr>
          </w:p>
        </w:tc>
        <w:tc>
          <w:tcPr>
            <w:tcW w:w="4380" w:type="dxa"/>
            <w:vAlign w:val="bottom"/>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31"/>
        </w:trPr>
        <w:tc>
          <w:tcPr>
            <w:tcW w:w="2860" w:type="dxa"/>
            <w:vAlign w:val="bottom"/>
          </w:tcPr>
          <w:p>
            <w:pPr>
              <w:ind w:left="40"/>
              <w:spacing w:after="0"/>
              <w:rPr>
                <w:sz w:val="20"/>
                <w:szCs w:val="20"/>
                <w:color w:val="auto"/>
              </w:rPr>
            </w:pPr>
            <w:r>
              <w:rPr>
                <w:rFonts w:ascii="Arial" w:cs="Arial" w:eastAsia="Arial" w:hAnsi="Arial"/>
                <w:sz w:val="16"/>
                <w:szCs w:val="16"/>
                <w:b w:val="1"/>
                <w:bCs w:val="1"/>
                <w:color w:val="auto"/>
              </w:rPr>
              <w:t>Derivative Assets</w:t>
            </w:r>
          </w:p>
        </w:tc>
        <w:tc>
          <w:tcPr>
            <w:tcW w:w="4380" w:type="dxa"/>
            <w:vAlign w:val="bottom"/>
            <w:gridSpan w:val="2"/>
          </w:tcPr>
          <w:p>
            <w:pPr>
              <w:ind w:left="1640"/>
              <w:spacing w:after="0"/>
              <w:rPr>
                <w:sz w:val="20"/>
                <w:szCs w:val="20"/>
                <w:color w:val="auto"/>
              </w:rPr>
            </w:pPr>
            <w:r>
              <w:rPr>
                <w:rFonts w:ascii="Arial" w:cs="Arial" w:eastAsia="Arial" w:hAnsi="Arial"/>
                <w:sz w:val="16"/>
                <w:szCs w:val="16"/>
                <w:b w:val="1"/>
                <w:bCs w:val="1"/>
                <w:color w:val="auto"/>
              </w:rPr>
              <w:t>Balance Sheet Location</w:t>
            </w:r>
          </w:p>
        </w:tc>
        <w:tc>
          <w:tcPr>
            <w:tcW w:w="1720" w:type="dxa"/>
            <w:vAlign w:val="bottom"/>
          </w:tcPr>
          <w:p>
            <w:pPr>
              <w:ind w:left="340"/>
              <w:spacing w:after="0"/>
              <w:rPr>
                <w:sz w:val="20"/>
                <w:szCs w:val="20"/>
                <w:color w:val="auto"/>
              </w:rPr>
            </w:pPr>
            <w:r>
              <w:rPr>
                <w:rFonts w:ascii="Arial" w:cs="Arial" w:eastAsia="Arial" w:hAnsi="Arial"/>
                <w:sz w:val="16"/>
                <w:szCs w:val="16"/>
                <w:b w:val="1"/>
                <w:bCs w:val="1"/>
                <w:color w:val="auto"/>
                <w:w w:val="90"/>
              </w:rPr>
              <w:t>September 30, 2018</w:t>
            </w:r>
          </w:p>
        </w:tc>
        <w:tc>
          <w:tcPr>
            <w:tcW w:w="2460" w:type="dxa"/>
            <w:vAlign w:val="bottom"/>
          </w:tcPr>
          <w:p>
            <w:pPr>
              <w:ind w:left="780"/>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7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180" w:type="dxa"/>
            <w:vAlign w:val="bottom"/>
            <w:tcBorders>
              <w:bottom w:val="single" w:sz="8" w:color="auto"/>
            </w:tcBorders>
            <w:gridSpan w:val="2"/>
          </w:tcPr>
          <w:p>
            <w:pPr>
              <w:spacing w:after="0"/>
              <w:rPr>
                <w:sz w:val="2"/>
                <w:szCs w:val="2"/>
                <w:color w:val="auto"/>
              </w:rPr>
            </w:pPr>
          </w:p>
        </w:tc>
      </w:tr>
      <w:tr>
        <w:trPr>
          <w:trHeight w:val="217"/>
        </w:trPr>
        <w:tc>
          <w:tcPr>
            <w:tcW w:w="724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Subtopic 815-20</w:t>
            </w:r>
          </w:p>
        </w:tc>
        <w:tc>
          <w:tcPr>
            <w:tcW w:w="4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swap contract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Cross currency swap contract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swap contract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Cross currency swap contract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120" w:type="dxa"/>
            <w:vAlign w:val="bottom"/>
          </w:tcPr>
          <w:p>
            <w:pPr>
              <w:spacing w:after="0"/>
              <w:rPr>
                <w:sz w:val="20"/>
                <w:szCs w:val="20"/>
                <w:color w:val="auto"/>
              </w:rPr>
            </w:pPr>
            <w:r>
              <w:rPr>
                <w:rFonts w:ascii="Arial" w:cs="Arial" w:eastAsia="Arial" w:hAnsi="Arial"/>
                <w:sz w:val="16"/>
                <w:szCs w:val="16"/>
                <w:color w:val="auto"/>
              </w:rPr>
              <w:t>Other current assets</w:t>
            </w:r>
          </w:p>
        </w:tc>
        <w:tc>
          <w:tcPr>
            <w:tcW w:w="14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2,051</w:t>
            </w:r>
          </w:p>
        </w:tc>
        <w:tc>
          <w:tcPr>
            <w:tcW w:w="94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658</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Other current assets</w:t>
            </w:r>
          </w:p>
        </w:tc>
        <w:tc>
          <w:tcPr>
            <w:tcW w:w="14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607</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Other current assets</w:t>
            </w:r>
          </w:p>
        </w:tc>
        <w:tc>
          <w:tcPr>
            <w:tcW w:w="14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1,711</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1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4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1,733</w:t>
            </w:r>
          </w:p>
        </w:tc>
        <w:tc>
          <w:tcPr>
            <w:tcW w:w="9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1,712</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4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728</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84"/>
        </w:trPr>
        <w:tc>
          <w:tcPr>
            <w:tcW w:w="21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460" w:type="dxa"/>
            <w:vAlign w:val="bottom"/>
          </w:tcPr>
          <w:p>
            <w:pPr>
              <w:spacing w:after="0"/>
              <w:rPr>
                <w:sz w:val="24"/>
                <w:szCs w:val="24"/>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738</w:t>
            </w:r>
          </w:p>
        </w:tc>
        <w:tc>
          <w:tcPr>
            <w:tcW w:w="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-664210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-321310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20955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3780" w:space="720"/>
            <w:col w:w="692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Derivatives not designated as hedging instruments under Subtopic 815-20</w:t>
      </w:r>
    </w:p>
    <w:p>
      <w:pPr>
        <w:sectPr>
          <w:pgSz w:w="11900" w:h="16838" w:orient="portrait"/>
          <w:cols w:equalWidth="0" w:num="1">
            <w:col w:w="11420"/>
          </w:cols>
          <w:pgMar w:left="240" w:top="125" w:right="239" w:bottom="1440" w:gutter="0" w:footer="0" w:header="0"/>
          <w:type w:val="continuous"/>
        </w:sectPr>
      </w:pPr>
    </w:p>
    <w:p>
      <w:pPr>
        <w:spacing w:after="0" w:line="1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exchange forward contracts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Total asset derivatives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58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70"/>
        </w:trPr>
        <w:tc>
          <w:tcPr>
            <w:tcW w:w="358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70"/>
        </w:trPr>
        <w:tc>
          <w:tcPr>
            <w:tcW w:w="3580" w:type="dxa"/>
            <w:vAlign w:val="bottom"/>
            <w:gridSpan w:val="2"/>
          </w:tcPr>
          <w:p>
            <w:pPr>
              <w:spacing w:after="0"/>
              <w:rPr>
                <w:sz w:val="20"/>
                <w:szCs w:val="20"/>
                <w:color w:val="auto"/>
              </w:rPr>
            </w:pPr>
            <w:r>
              <w:rPr>
                <w:rFonts w:ascii="Arial" w:cs="Arial" w:eastAsia="Arial" w:hAnsi="Arial"/>
                <w:sz w:val="16"/>
                <w:szCs w:val="16"/>
                <w:color w:val="auto"/>
              </w:rPr>
              <w:t>Other long-term assets</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268</w:t>
            </w:r>
          </w:p>
        </w:tc>
      </w:tr>
      <w:tr>
        <w:trPr>
          <w:trHeight w:val="47"/>
        </w:trPr>
        <w:tc>
          <w:tcPr>
            <w:tcW w:w="27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17"/>
        </w:trPr>
        <w:tc>
          <w:tcPr>
            <w:tcW w:w="35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7,637</w:t>
            </w:r>
          </w:p>
        </w:tc>
        <w:tc>
          <w:tcPr>
            <w:tcW w:w="10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2,900</w:t>
            </w:r>
          </w:p>
        </w:tc>
      </w:tr>
      <w:tr>
        <w:trPr>
          <w:trHeight w:val="33"/>
        </w:trPr>
        <w:tc>
          <w:tcPr>
            <w:tcW w:w="27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-539750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-196850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720"/>
            <w:col w:w="6920"/>
          </w:cols>
          <w:pgMar w:left="240" w:top="125" w:right="239" w:bottom="1440" w:gutter="0" w:footer="0" w:header="0"/>
          <w:type w:val="continuous"/>
        </w:sectPr>
      </w:pP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45110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11040"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Subtopic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180"/>
        <w:spacing w:after="0"/>
        <w:tabs>
          <w:tab w:leader="none" w:pos="4480" w:val="left"/>
          <w:tab w:leader="none" w:pos="7240" w:val="left"/>
          <w:tab w:leader="none" w:pos="8900" w:val="left"/>
          <w:tab w:leader="none" w:pos="9380" w:val="left"/>
          <w:tab w:leader="none" w:pos="11040" w:val="left"/>
        </w:tabs>
        <w:rPr>
          <w:sz w:val="20"/>
          <w:szCs w:val="20"/>
          <w:color w:val="auto"/>
        </w:rPr>
      </w:pPr>
      <w:r>
        <w:rPr>
          <w:rFonts w:ascii="Arial" w:cs="Arial" w:eastAsia="Arial" w:hAnsi="Arial"/>
          <w:sz w:val="16"/>
          <w:szCs w:val="16"/>
          <w:color w:val="auto"/>
        </w:rPr>
        <w:t>Foreign exchange forward contracts</w:t>
      </w:r>
      <w:r>
        <w:rPr>
          <w:sz w:val="20"/>
          <w:szCs w:val="20"/>
          <w:color w:val="auto"/>
        </w:rPr>
        <w:tab/>
      </w:r>
      <w:r>
        <w:rPr>
          <w:rFonts w:ascii="Arial" w:cs="Arial" w:eastAsia="Arial" w:hAnsi="Arial"/>
          <w:sz w:val="16"/>
          <w:szCs w:val="16"/>
          <w:color w:val="auto"/>
        </w:rPr>
        <w:t>Other current liabilities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240</w:t>
        <w:tab/>
        <w:t>$</w:t>
      </w:r>
      <w:r>
        <w:rPr>
          <w:sz w:val="20"/>
          <w:szCs w:val="20"/>
          <w:color w:val="auto"/>
        </w:rPr>
        <w:tab/>
      </w:r>
      <w:r>
        <w:rPr>
          <w:rFonts w:ascii="Arial" w:cs="Arial" w:eastAsia="Arial" w:hAnsi="Arial"/>
          <w:sz w:val="15"/>
          <w:szCs w:val="15"/>
          <w:color w:val="auto"/>
        </w:rPr>
        <w:t>289</w:t>
      </w: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accumulated other comprehensive income (loss) (AOCI), net of tax, for our derivative and nonderivative hedging instruments,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 (loss) on hedging instruments at January 1,</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(13,414)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(14,337)</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Unrealized gain (loss) on hedging instruments</w:t>
            </w:r>
          </w:p>
        </w:tc>
        <w:tc>
          <w:tcPr>
            <w:tcW w:w="106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4,770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47"/>
        </w:trPr>
        <w:tc>
          <w:tcPr>
            <w:tcW w:w="7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loss (gain) reclassified into net income</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unrealized gain (loss) on hedging instruments at September 30,</w:t>
            </w: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(10,851)</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(14,150)</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for the periods ended September 30, 2018 and 2017. Included in the net unrealized gain (loss) on hedging instruments at September 30, 2018 and 2017 is a loss of $14.4 million, net of tax, related to our nonderivative net investment hedge, which terminated in 2011. This loss on our net investment hedge will remain in AOCI until such time when earnings are impacted by a sale or liquidation of the associated foreign operation.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18"/>
                <w:szCs w:val="18"/>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880" w:type="dxa"/>
            <w:vAlign w:val="bottom"/>
          </w:tcPr>
          <w:p>
            <w:pPr>
              <w:spacing w:after="0"/>
              <w:rPr>
                <w:sz w:val="4"/>
                <w:szCs w:val="4"/>
                <w:color w:val="auto"/>
              </w:rPr>
            </w:pPr>
          </w:p>
        </w:tc>
        <w:tc>
          <w:tcPr>
            <w:tcW w:w="2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3"/>
              </w:rPr>
              <w:t>Recognized Assets Presented</w:t>
            </w:r>
          </w:p>
        </w:tc>
        <w:tc>
          <w:tcPr>
            <w:tcW w:w="160" w:type="dxa"/>
            <w:vAlign w:val="bottom"/>
          </w:tcPr>
          <w:p>
            <w:pPr>
              <w:spacing w:after="0"/>
              <w:rPr>
                <w:sz w:val="4"/>
                <w:szCs w:val="4"/>
                <w:color w:val="auto"/>
              </w:rPr>
            </w:pPr>
          </w:p>
        </w:tc>
        <w:tc>
          <w:tcPr>
            <w:tcW w:w="404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8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Offsetting of Derivative Assets</w:t>
            </w:r>
          </w:p>
        </w:tc>
        <w:tc>
          <w:tcPr>
            <w:tcW w:w="2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83"/>
              </w:rPr>
              <w:t>Sheets</w:t>
            </w: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8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02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8"/>
              </w:rPr>
              <w:t>in</w:t>
            </w:r>
          </w:p>
        </w:tc>
        <w:tc>
          <w:tcPr>
            <w:tcW w:w="160" w:type="dxa"/>
            <w:vAlign w:val="bottom"/>
          </w:tcPr>
          <w:p>
            <w:pPr>
              <w:spacing w:after="0"/>
              <w:rPr>
                <w:sz w:val="4"/>
                <w:szCs w:val="4"/>
                <w:color w:val="auto"/>
              </w:rPr>
            </w:pPr>
          </w:p>
        </w:tc>
        <w:tc>
          <w:tcPr>
            <w:tcW w:w="404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the Consolidated</w:t>
            </w:r>
          </w:p>
        </w:tc>
        <w:tc>
          <w:tcPr>
            <w:tcW w:w="160" w:type="dxa"/>
            <w:vAlign w:val="bottom"/>
          </w:tcPr>
          <w:p>
            <w:pPr>
              <w:spacing w:after="0"/>
              <w:rPr>
                <w:sz w:val="17"/>
                <w:szCs w:val="17"/>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Derivative Financial</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86"/>
              </w:rPr>
              <w:t>Balance Sheets</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Arial" w:cs="Arial" w:eastAsia="Arial" w:hAnsi="Arial"/>
                <w:sz w:val="16"/>
                <w:szCs w:val="16"/>
                <w:b w:val="1"/>
                <w:bCs w:val="1"/>
                <w:color w:val="auto"/>
                <w:w w:val="98"/>
              </w:rPr>
              <w:t>Cash Collateral Received</w:t>
            </w:r>
          </w:p>
        </w:tc>
        <w:tc>
          <w:tcPr>
            <w:tcW w:w="4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3"/>
          </w:tcPr>
          <w:p>
            <w:pPr>
              <w:ind w:left="14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2018</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7,637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7,535</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2,900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2,810</w:t>
            </w:r>
          </w:p>
        </w:tc>
        <w:tc>
          <w:tcPr>
            <w:tcW w:w="0" w:type="dxa"/>
            <w:vAlign w:val="bottom"/>
          </w:tcPr>
          <w:p>
            <w:pPr>
              <w:spacing w:after="0"/>
              <w:rPr>
                <w:sz w:val="1"/>
                <w:szCs w:val="1"/>
                <w:color w:val="auto"/>
              </w:rPr>
            </w:pPr>
          </w:p>
        </w:tc>
      </w:tr>
      <w:tr>
        <w:trPr>
          <w:trHeight w:val="783"/>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24"/>
                <w:szCs w:val="24"/>
                <w:color w:val="auto"/>
              </w:rPr>
            </w:pPr>
          </w:p>
        </w:tc>
        <w:tc>
          <w:tcPr>
            <w:tcW w:w="404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8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Offsetting of Derivative Liabilities</w:t>
            </w:r>
          </w:p>
        </w:tc>
        <w:tc>
          <w:tcPr>
            <w:tcW w:w="18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83"/>
              </w:rPr>
              <w:t>Sheets</w:t>
            </w:r>
          </w:p>
        </w:tc>
        <w:tc>
          <w:tcPr>
            <w:tcW w:w="4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vMerge w:val="restart"/>
          </w:tcPr>
          <w:p>
            <w:pPr>
              <w:jc w:val="center"/>
              <w:ind w:right="239"/>
              <w:spacing w:after="0" w:line="176" w:lineRule="exact"/>
              <w:rPr>
                <w:sz w:val="20"/>
                <w:szCs w:val="20"/>
                <w:color w:val="auto"/>
              </w:rPr>
            </w:pPr>
            <w:r>
              <w:rPr>
                <w:rFonts w:ascii="Arial" w:cs="Arial" w:eastAsia="Arial" w:hAnsi="Arial"/>
                <w:sz w:val="16"/>
                <w:szCs w:val="16"/>
                <w:b w:val="1"/>
                <w:bCs w:val="1"/>
                <w:color w:val="auto"/>
                <w:w w:val="91"/>
              </w:rPr>
              <w:t>Recognized Liabilities</w:t>
            </w:r>
          </w:p>
        </w:tc>
        <w:tc>
          <w:tcPr>
            <w:tcW w:w="160" w:type="dxa"/>
            <w:vAlign w:val="bottom"/>
          </w:tcPr>
          <w:p>
            <w:pPr>
              <w:spacing w:after="0"/>
              <w:rPr>
                <w:sz w:val="12"/>
                <w:szCs w:val="12"/>
                <w:color w:val="auto"/>
              </w:rPr>
            </w:pPr>
          </w:p>
        </w:tc>
        <w:tc>
          <w:tcPr>
            <w:tcW w:w="404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Presented in the</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Derivative Financial</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0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w w:val="88"/>
              </w:rPr>
              <w:t>Consolidated Balance Sheets</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920" w:type="dxa"/>
            <w:vAlign w:val="bottom"/>
          </w:tcPr>
          <w:p>
            <w:pPr>
              <w:ind w:left="60"/>
              <w:spacing w:after="0"/>
              <w:rPr>
                <w:sz w:val="20"/>
                <w:szCs w:val="20"/>
                <w:color w:val="auto"/>
              </w:rPr>
            </w:pPr>
            <w:r>
              <w:rPr>
                <w:rFonts w:ascii="Arial" w:cs="Arial" w:eastAsia="Arial" w:hAnsi="Arial"/>
                <w:sz w:val="16"/>
                <w:szCs w:val="16"/>
                <w:b w:val="1"/>
                <w:bCs w:val="1"/>
                <w:color w:val="auto"/>
              </w:rPr>
              <w:t>Cash Collateral Pledged</w:t>
            </w:r>
          </w:p>
        </w:tc>
        <w:tc>
          <w:tcPr>
            <w:tcW w:w="4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3"/>
          </w:tcPr>
          <w:p>
            <w:pPr>
              <w:ind w:left="14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2018</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84"/>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33"/>
        </w:trPr>
        <w:tc>
          <w:tcPr>
            <w:tcW w:w="2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derivative assets and liabilities subject to netting arrangements consist of foreign exchange forward and interest rate contracts with five counterparties at September 30, 2018 and three counterparties at December 31, 2017. No derivative asset or liability balance with any of our counterparties was individually significant at September 30, 2018 or December 31, 2017.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interest rate caps and swaps to reduce the variability of cash flows from increases in the LIBOR based borrowing rates on our floating rate credit facility. These instruments do not protect us from changes to the applicable margin under our credit facility. At September 30, 2018, our LIBOR-based debt balance was $652.0 million.</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2015, we entered into an interest rate swap, which is effective from August 31, 2016 to June 23, 2020, and converts $214 million of our LIBOR based debt from a floating LIBOR interest rate to a fixed interest rate of 1.42% (excluding the applicable margin on the debt). The notional balance will amortize to maturity at the same rate as required minimum payments on our term loan. Changes in the fair value of the interest rate swap are recognized as a component of other comprehensive income (OCI) and are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$2.1 million.</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As of December 31, 2016, due to the accelerated revolver payments from surplus cash, we elected to de-designate two of the interest rate cap contracts as cash flow hedges and discontinued the use of cash flow hedge accounting. The amounts recognized in AOCI from de-designated interest rate cap contracts were maintained in AOCI as the forecasted transactions were still probable to occur, and subsequent changes in fair value were recognized within interest expense. In April 2018, due to increases in our total LIBOR-based debt, we elected to re-designate the two interest rate cap contracts as cash flow hedges. Future changes in the fair value of these instruments will be recognized as a component of OCI, and these changes together with amounts previously maintained in AOCI will be recognized in earnings when the hedged item affects earnings. The amounts paid or received on the hedge are recognized as an adjustment to interest expense along with the earnings effect of the hedged item. The amount of net losses expected to be reclassified into earnings for all interest rate cap contracts in the next 12 months is $0.1 million.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2018, we entered into a cross-currency swap which converts $56.0 million of floating LIBOR-based U.S. Dollar denominated debt into 1.38% fixed rate euro denominated debt. This cross-currency swap matures on April 30, 2021 and mitigates the risk associated with fluctuations in currency rates impacting cash flows related to U.S. Dollar denominated debt in a euro functional currency entity. Changes in the fair value of the cross-currency swap are recognized as a component of OCI and will be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$1.7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before-tax effects of our accounting for derivative instruments designated as hedges on AOCI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Derivatives in Subtopic 815-20</w:t>
            </w:r>
          </w:p>
        </w:tc>
        <w:tc>
          <w:tcPr>
            <w:tcW w:w="2420" w:type="dxa"/>
            <w:vAlign w:val="bottom"/>
            <w:gridSpan w:val="3"/>
            <w:vMerge w:val="restart"/>
          </w:tcPr>
          <w:p>
            <w:pPr>
              <w:jc w:val="center"/>
              <w:ind w:left="428"/>
              <w:spacing w:after="0"/>
              <w:rPr>
                <w:sz w:val="20"/>
                <w:szCs w:val="20"/>
                <w:color w:val="auto"/>
              </w:rPr>
            </w:pPr>
            <w:r>
              <w:rPr>
                <w:rFonts w:ascii="Arial" w:cs="Arial" w:eastAsia="Arial" w:hAnsi="Arial"/>
                <w:sz w:val="14"/>
                <w:szCs w:val="14"/>
                <w:b w:val="1"/>
                <w:bCs w:val="1"/>
                <w:color w:val="auto"/>
                <w:w w:val="92"/>
              </w:rPr>
              <w:t>Amount of Gain (Loss)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00" w:type="dxa"/>
            <w:vAlign w:val="bottom"/>
            <w:gridSpan w:val="5"/>
          </w:tcPr>
          <w:p>
            <w:pPr>
              <w:ind w:left="1780"/>
              <w:spacing w:after="0"/>
              <w:rPr>
                <w:sz w:val="20"/>
                <w:szCs w:val="20"/>
                <w:color w:val="auto"/>
              </w:rPr>
            </w:pPr>
            <w:r>
              <w:rPr>
                <w:rFonts w:ascii="Arial" w:cs="Arial" w:eastAsia="Arial" w:hAnsi="Arial"/>
                <w:sz w:val="14"/>
                <w:szCs w:val="14"/>
                <w:b w:val="1"/>
                <w:bCs w:val="1"/>
                <w:color w:val="auto"/>
              </w:rPr>
              <w:t>Gain (Loss) Reclassified from</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00" w:type="dxa"/>
            <w:vAlign w:val="bottom"/>
            <w:gridSpan w:val="2"/>
            <w:vMerge w:val="continue"/>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80" w:type="dxa"/>
            <w:vAlign w:val="bottom"/>
            <w:gridSpan w:val="3"/>
          </w:tcPr>
          <w:p>
            <w:pPr>
              <w:jc w:val="right"/>
              <w:ind w:right="80"/>
              <w:spacing w:after="0" w:line="145" w:lineRule="exact"/>
              <w:rPr>
                <w:sz w:val="20"/>
                <w:szCs w:val="20"/>
                <w:color w:val="auto"/>
              </w:rPr>
            </w:pPr>
            <w:r>
              <w:rPr>
                <w:rFonts w:ascii="Arial" w:cs="Arial" w:eastAsia="Arial" w:hAnsi="Arial"/>
                <w:sz w:val="14"/>
                <w:szCs w:val="14"/>
                <w:b w:val="1"/>
                <w:bCs w:val="1"/>
                <w:color w:val="auto"/>
              </w:rPr>
              <w:t>AOCI into Income</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0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Cash Flow</w:t>
            </w:r>
          </w:p>
        </w:tc>
        <w:tc>
          <w:tcPr>
            <w:tcW w:w="2420" w:type="dxa"/>
            <w:vAlign w:val="bottom"/>
            <w:gridSpan w:val="3"/>
            <w:vMerge w:val="restart"/>
          </w:tcPr>
          <w:p>
            <w:pPr>
              <w:jc w:val="center"/>
              <w:ind w:left="428"/>
              <w:spacing w:after="0" w:line="139" w:lineRule="exact"/>
              <w:rPr>
                <w:sz w:val="20"/>
                <w:szCs w:val="20"/>
                <w:color w:val="auto"/>
              </w:rPr>
            </w:pPr>
            <w:r>
              <w:rPr>
                <w:rFonts w:ascii="Arial" w:cs="Arial" w:eastAsia="Arial" w:hAnsi="Arial"/>
                <w:sz w:val="14"/>
                <w:szCs w:val="14"/>
                <w:b w:val="1"/>
                <w:bCs w:val="1"/>
                <w:color w:val="auto"/>
                <w:w w:val="93"/>
              </w:rPr>
              <w:t>Recognized in OCI on</w:t>
            </w: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000" w:type="dxa"/>
            <w:vAlign w:val="bottom"/>
            <w:gridSpan w:val="2"/>
            <w:vMerge w:val="continue"/>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Location</w:t>
            </w: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Hedging Relationships</w:t>
            </w: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8"/>
              <w:spacing w:after="0"/>
              <w:rPr>
                <w:sz w:val="20"/>
                <w:szCs w:val="20"/>
                <w:color w:val="auto"/>
              </w:rPr>
            </w:pPr>
            <w:r>
              <w:rPr>
                <w:rFonts w:ascii="Arial" w:cs="Arial" w:eastAsia="Arial" w:hAnsi="Arial"/>
                <w:sz w:val="14"/>
                <w:szCs w:val="14"/>
                <w:b w:val="1"/>
                <w:bCs w:val="1"/>
                <w:color w:val="auto"/>
                <w:w w:val="95"/>
              </w:rPr>
              <w:t>Derivative</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4"/>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2"/>
          </w:tcPr>
          <w:p>
            <w:pPr>
              <w:jc w:val="center"/>
              <w:ind w:right="308"/>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Interest rate swap contract</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302</w:t>
            </w:r>
          </w:p>
        </w:tc>
        <w:tc>
          <w:tcPr>
            <w:tcW w:w="10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1380" w:type="dxa"/>
            <w:vAlign w:val="bottom"/>
            <w:gridSpan w:val="3"/>
            <w:shd w:val="clear" w:color="auto" w:fill="CCEEFF"/>
          </w:tcPr>
          <w:p>
            <w:pPr>
              <w:jc w:val="right"/>
              <w:ind w:right="8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314</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380"/>
              <w:spacing w:after="0"/>
              <w:rPr>
                <w:sz w:val="20"/>
                <w:szCs w:val="20"/>
                <w:color w:val="auto"/>
              </w:rPr>
            </w:pPr>
            <w:r>
              <w:rPr>
                <w:rFonts w:ascii="Arial" w:cs="Arial" w:eastAsia="Arial" w:hAnsi="Arial"/>
                <w:sz w:val="14"/>
                <w:szCs w:val="14"/>
                <w:color w:val="auto"/>
              </w:rPr>
              <w:t>Interest rate cap contracts</w:t>
            </w:r>
          </w:p>
        </w:tc>
        <w:tc>
          <w:tcPr>
            <w:tcW w:w="88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10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98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80"/>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Cross currency swap contract</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599</w:t>
            </w: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363</w:t>
            </w: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380"/>
              <w:spacing w:after="0"/>
              <w:rPr>
                <w:sz w:val="20"/>
                <w:szCs w:val="20"/>
                <w:color w:val="auto"/>
              </w:rPr>
            </w:pPr>
            <w:r>
              <w:rPr>
                <w:rFonts w:ascii="Arial" w:cs="Arial" w:eastAsia="Arial" w:hAnsi="Arial"/>
                <w:sz w:val="14"/>
                <w:szCs w:val="14"/>
                <w:color w:val="auto"/>
              </w:rPr>
              <w:t>Cross currency swap contract</w:t>
            </w:r>
          </w:p>
        </w:tc>
        <w:tc>
          <w:tcPr>
            <w:tcW w:w="880" w:type="dxa"/>
            <w:vAlign w:val="bottom"/>
          </w:tcPr>
          <w:p>
            <w:pPr>
              <w:spacing w:after="0"/>
              <w:rPr>
                <w:sz w:val="16"/>
                <w:szCs w:val="16"/>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980" w:type="dxa"/>
            <w:vAlign w:val="bottom"/>
          </w:tcPr>
          <w:p>
            <w:pPr>
              <w:ind w:left="160"/>
              <w:spacing w:after="0"/>
              <w:rPr>
                <w:sz w:val="20"/>
                <w:szCs w:val="20"/>
                <w:color w:val="auto"/>
              </w:rPr>
            </w:pPr>
            <w:r>
              <w:rPr>
                <w:rFonts w:ascii="Arial" w:cs="Arial" w:eastAsia="Arial" w:hAnsi="Arial"/>
                <w:sz w:val="14"/>
                <w:szCs w:val="14"/>
                <w:color w:val="auto"/>
              </w:rPr>
              <w:t>Other income/(expense), net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(733)</w:t>
            </w:r>
          </w:p>
        </w:tc>
        <w:tc>
          <w:tcPr>
            <w:tcW w:w="5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Interest rate swap contract</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2,062</w:t>
            </w:r>
          </w:p>
        </w:tc>
        <w:tc>
          <w:tcPr>
            <w:tcW w:w="10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1380" w:type="dxa"/>
            <w:vAlign w:val="bottom"/>
            <w:gridSpan w:val="3"/>
            <w:shd w:val="clear" w:color="auto" w:fill="CCEEFF"/>
          </w:tcPr>
          <w:p>
            <w:pPr>
              <w:jc w:val="right"/>
              <w:ind w:right="8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649</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380"/>
              <w:spacing w:after="0"/>
              <w:rPr>
                <w:sz w:val="20"/>
                <w:szCs w:val="20"/>
                <w:color w:val="auto"/>
              </w:rPr>
            </w:pPr>
            <w:r>
              <w:rPr>
                <w:rFonts w:ascii="Arial" w:cs="Arial" w:eastAsia="Arial" w:hAnsi="Arial"/>
                <w:sz w:val="14"/>
                <w:szCs w:val="14"/>
                <w:color w:val="auto"/>
              </w:rPr>
              <w:t>Interest rate cap contracts</w:t>
            </w:r>
          </w:p>
        </w:tc>
        <w:tc>
          <w:tcPr>
            <w:tcW w:w="880" w:type="dxa"/>
            <w:vAlign w:val="bottom"/>
          </w:tcPr>
          <w:p>
            <w:pPr>
              <w:spacing w:after="0"/>
              <w:rPr>
                <w:sz w:val="16"/>
                <w:szCs w:val="16"/>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149</w:t>
            </w:r>
          </w:p>
        </w:tc>
        <w:tc>
          <w:tcPr>
            <w:tcW w:w="10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6"/>
                <w:szCs w:val="16"/>
                <w:color w:val="auto"/>
              </w:rPr>
            </w:pPr>
          </w:p>
        </w:tc>
        <w:tc>
          <w:tcPr>
            <w:tcW w:w="198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(685)</w:t>
            </w: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80"/>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Cross currency swap contract</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2,975</w:t>
            </w: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570</w:t>
            </w: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380"/>
              <w:spacing w:after="0"/>
              <w:rPr>
                <w:sz w:val="20"/>
                <w:szCs w:val="20"/>
                <w:color w:val="auto"/>
              </w:rPr>
            </w:pPr>
            <w:r>
              <w:rPr>
                <w:rFonts w:ascii="Arial" w:cs="Arial" w:eastAsia="Arial" w:hAnsi="Arial"/>
                <w:sz w:val="14"/>
                <w:szCs w:val="14"/>
                <w:color w:val="auto"/>
              </w:rPr>
              <w:t>Cross currency swap contract</w:t>
            </w:r>
          </w:p>
        </w:tc>
        <w:tc>
          <w:tcPr>
            <w:tcW w:w="880" w:type="dxa"/>
            <w:vAlign w:val="bottom"/>
          </w:tcPr>
          <w:p>
            <w:pPr>
              <w:spacing w:after="0"/>
              <w:rPr>
                <w:sz w:val="16"/>
                <w:szCs w:val="16"/>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980" w:type="dxa"/>
            <w:vAlign w:val="bottom"/>
          </w:tcPr>
          <w:p>
            <w:pPr>
              <w:ind w:left="160"/>
              <w:spacing w:after="0"/>
              <w:rPr>
                <w:sz w:val="20"/>
                <w:szCs w:val="20"/>
                <w:color w:val="auto"/>
              </w:rPr>
            </w:pPr>
            <w:r>
              <w:rPr>
                <w:rFonts w:ascii="Arial" w:cs="Arial" w:eastAsia="Arial" w:hAnsi="Arial"/>
                <w:sz w:val="14"/>
                <w:szCs w:val="14"/>
                <w:color w:val="auto"/>
              </w:rPr>
              <w:t>Other income/(expense), net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1,635</w:t>
            </w:r>
          </w:p>
        </w:tc>
        <w:tc>
          <w:tcPr>
            <w:tcW w:w="5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reclassification amounts presented above also represent the loss (gain) recognized in net income (loss) on hedging relationships under Subtopic 815-20 on the Consolidated Statements of Operations. For the three and nine months ended September 30, 2018 and 2017, there were no amounts reclassified from AOCI as a result that a forecasted transaction is no longer probable of occurring, and no amounts excluded from effectiveness testing recognized in earnings based on changes in fair value.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 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September 30, 2018, a total of 52 contracts were offsetting our exposures from the Euro, Pound Sterling, Mexican Peso, Chinese Yuan, Canadian Dollar, Hungarian Forint and various other currencies, with notional amounts ranging from $183,000 to $55.5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derivative instruments not designated as hedges on the Consolidated Statements of Operations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gridSpan w:val="2"/>
          </w:tcPr>
          <w:p>
            <w:pPr>
              <w:ind w:left="100"/>
              <w:spacing w:after="0"/>
              <w:rPr>
                <w:sz w:val="20"/>
                <w:szCs w:val="20"/>
                <w:color w:val="auto"/>
              </w:rPr>
            </w:pPr>
            <w:r>
              <w:rPr>
                <w:rFonts w:ascii="Arial" w:cs="Arial" w:eastAsia="Arial" w:hAnsi="Arial"/>
                <w:sz w:val="16"/>
                <w:szCs w:val="16"/>
                <w:b w:val="1"/>
                <w:bCs w:val="1"/>
                <w:color w:val="auto"/>
                <w:w w:val="94"/>
              </w:rPr>
              <w:t>Derivatives Not Designated as Hedging Instrument under Subtopic 815-</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Gain (Loss) Recognized on Derivatives in Other</w:t>
            </w:r>
          </w:p>
        </w:tc>
      </w:tr>
      <w:tr>
        <w:trPr>
          <w:trHeight w:val="210"/>
        </w:trPr>
        <w:tc>
          <w:tcPr>
            <w:tcW w:w="5160" w:type="dxa"/>
            <w:vAlign w:val="bottom"/>
          </w:tcPr>
          <w:p>
            <w:pPr>
              <w:ind w:left="2500"/>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18"/>
                <w:szCs w:val="18"/>
                <w:color w:val="auto"/>
              </w:rPr>
            </w:pPr>
          </w:p>
        </w:tc>
        <w:tc>
          <w:tcPr>
            <w:tcW w:w="2620" w:type="dxa"/>
            <w:vAlign w:val="bottom"/>
            <w:gridSpan w:val="2"/>
          </w:tcPr>
          <w:p>
            <w:pPr>
              <w:ind w:left="940"/>
              <w:spacing w:after="0"/>
              <w:rPr>
                <w:sz w:val="20"/>
                <w:szCs w:val="20"/>
                <w:color w:val="auto"/>
              </w:rPr>
            </w:pPr>
            <w:r>
              <w:rPr>
                <w:rFonts w:ascii="Arial" w:cs="Arial" w:eastAsia="Arial" w:hAnsi="Arial"/>
                <w:sz w:val="16"/>
                <w:szCs w:val="16"/>
                <w:b w:val="1"/>
                <w:bCs w:val="1"/>
                <w:color w:val="auto"/>
              </w:rPr>
              <w:t>Location</w:t>
            </w: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Income (Expense)</w:t>
            </w:r>
          </w:p>
        </w:tc>
        <w:tc>
          <w:tcPr>
            <w:tcW w:w="1060" w:type="dxa"/>
            <w:vAlign w:val="bottom"/>
          </w:tcPr>
          <w:p>
            <w:pPr>
              <w:spacing w:after="0"/>
              <w:rPr>
                <w:sz w:val="18"/>
                <w:szCs w:val="18"/>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28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06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(1,149)</w:t>
            </w:r>
          </w:p>
        </w:tc>
        <w:tc>
          <w:tcPr>
            <w:tcW w:w="7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(1,760)</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Interest rate cap contracts</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4"/>
        </w:trPr>
        <w:tc>
          <w:tcPr>
            <w:tcW w:w="5280" w:type="dxa"/>
            <w:vAlign w:val="bottom"/>
            <w:gridSpan w:val="2"/>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964</w:t>
            </w:r>
          </w:p>
        </w:tc>
        <w:tc>
          <w:tcPr>
            <w:tcW w:w="7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(5,565)</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Interest rate cap contracts</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377</w:t>
            </w: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(337)</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our international employees, primarily in Germany, France, Italy, Indonesia, Brazil, and Spain. The defined benefit obligation is calculated annually by using the projected unit credit method. The measurement date for the pension plans was December 31, 2017.</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Amounts recognized on the Consolidated Balance Sheets consist of:</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Plan assets in 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Current portion of pension benefit obligation in wages and benefits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Long-term portion of pension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2020" w:type="dxa"/>
            <w:vAlign w:val="bottom"/>
          </w:tcPr>
          <w:p>
            <w:pPr>
              <w:jc w:val="right"/>
              <w:ind w:right="399"/>
              <w:spacing w:after="0"/>
              <w:rPr>
                <w:sz w:val="20"/>
                <w:szCs w:val="20"/>
                <w:color w:val="auto"/>
              </w:rPr>
            </w:pPr>
            <w:r>
              <w:rPr>
                <w:rFonts w:ascii="Arial" w:cs="Arial" w:eastAsia="Arial" w:hAnsi="Arial"/>
                <w:sz w:val="16"/>
                <w:szCs w:val="16"/>
                <w:b w:val="1"/>
                <w:bCs w:val="1"/>
                <w:color w:val="auto"/>
              </w:rPr>
              <w:t>September 30, 2018</w:t>
            </w: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25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527"/>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39"/>
              <w:spacing w:after="0"/>
              <w:rPr>
                <w:sz w:val="20"/>
                <w:szCs w:val="20"/>
                <w:color w:val="auto"/>
              </w:rPr>
            </w:pPr>
            <w:r>
              <w:rPr>
                <w:rFonts w:ascii="Arial" w:cs="Arial" w:eastAsia="Arial" w:hAnsi="Arial"/>
                <w:sz w:val="16"/>
                <w:szCs w:val="16"/>
                <w:color w:val="auto"/>
              </w:rPr>
              <w:t>911</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991</w:t>
            </w:r>
          </w:p>
        </w:tc>
      </w:tr>
      <w:tr>
        <w:trPr>
          <w:trHeight w:val="851"/>
        </w:trPr>
        <w:tc>
          <w:tcPr>
            <w:tcW w:w="300" w:type="dxa"/>
            <w:vAlign w:val="bottom"/>
          </w:tcPr>
          <w:p>
            <w:pPr>
              <w:spacing w:after="0"/>
              <w:rPr>
                <w:sz w:val="24"/>
                <w:szCs w:val="24"/>
                <w:color w:val="auto"/>
              </w:rPr>
            </w:pPr>
          </w:p>
        </w:tc>
        <w:tc>
          <w:tcPr>
            <w:tcW w:w="2020" w:type="dxa"/>
            <w:vAlign w:val="bottom"/>
          </w:tcPr>
          <w:p>
            <w:pPr>
              <w:jc w:val="right"/>
              <w:ind w:right="39"/>
              <w:spacing w:after="0"/>
              <w:rPr>
                <w:sz w:val="20"/>
                <w:szCs w:val="20"/>
                <w:color w:val="auto"/>
              </w:rPr>
            </w:pPr>
            <w:r>
              <w:rPr>
                <w:rFonts w:ascii="Arial" w:cs="Arial" w:eastAsia="Arial" w:hAnsi="Arial"/>
                <w:sz w:val="16"/>
                <w:szCs w:val="16"/>
                <w:color w:val="auto"/>
              </w:rPr>
              <w:t>3,091</w:t>
            </w:r>
          </w:p>
        </w:tc>
        <w:tc>
          <w:tcPr>
            <w:tcW w:w="560" w:type="dxa"/>
            <w:vAlign w:val="bottom"/>
          </w:tcPr>
          <w:p>
            <w:pPr>
              <w:spacing w:after="0"/>
              <w:rPr>
                <w:sz w:val="24"/>
                <w:szCs w:val="24"/>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3,260</w:t>
            </w:r>
          </w:p>
        </w:tc>
      </w:tr>
      <w:tr>
        <w:trPr>
          <w:trHeight w:val="270"/>
        </w:trPr>
        <w:tc>
          <w:tcPr>
            <w:tcW w:w="300" w:type="dxa"/>
            <w:vAlign w:val="bottom"/>
          </w:tcPr>
          <w:p>
            <w:pPr>
              <w:spacing w:after="0"/>
              <w:rPr>
                <w:sz w:val="23"/>
                <w:szCs w:val="23"/>
                <w:color w:val="auto"/>
              </w:rPr>
            </w:pPr>
          </w:p>
        </w:tc>
        <w:tc>
          <w:tcPr>
            <w:tcW w:w="2020" w:type="dxa"/>
            <w:vAlign w:val="bottom"/>
          </w:tcPr>
          <w:p>
            <w:pPr>
              <w:jc w:val="right"/>
              <w:ind w:right="39"/>
              <w:spacing w:after="0"/>
              <w:rPr>
                <w:sz w:val="20"/>
                <w:szCs w:val="20"/>
                <w:color w:val="auto"/>
              </w:rPr>
            </w:pPr>
            <w:r>
              <w:rPr>
                <w:rFonts w:ascii="Arial" w:cs="Arial" w:eastAsia="Arial" w:hAnsi="Arial"/>
                <w:sz w:val="16"/>
                <w:szCs w:val="16"/>
                <w:color w:val="auto"/>
              </w:rPr>
              <w:t>96,081</w:t>
            </w:r>
          </w:p>
        </w:tc>
        <w:tc>
          <w:tcPr>
            <w:tcW w:w="5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95,717</w:t>
            </w:r>
          </w:p>
        </w:tc>
      </w:tr>
    </w:tbl>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147" w:lineRule="exact"/>
        <w:rPr>
          <w:sz w:val="20"/>
          <w:szCs w:val="20"/>
          <w:color w:val="auto"/>
        </w:rPr>
      </w:pPr>
    </w:p>
    <w:p>
      <w:pPr>
        <w:ind w:left="40"/>
        <w:spacing w:after="0"/>
        <w:tabs>
          <w:tab w:leader="none" w:pos="6760" w:val="left"/>
          <w:tab w:leader="none" w:pos="8460" w:val="left"/>
          <w:tab w:leader="none" w:pos="9160" w:val="left"/>
          <w:tab w:leader="none" w:pos="10840" w:val="left"/>
        </w:tabs>
        <w:rPr>
          <w:sz w:val="20"/>
          <w:szCs w:val="20"/>
          <w:color w:val="auto"/>
        </w:rPr>
      </w:pPr>
      <w:r>
        <w:rPr>
          <w:rFonts w:ascii="Arial" w:cs="Arial" w:eastAsia="Arial" w:hAnsi="Arial"/>
          <w:sz w:val="16"/>
          <w:szCs w:val="16"/>
          <w:color w:val="auto"/>
        </w:rPr>
        <w:t>Pension benefit obligation, net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98,261</w:t>
        <w:tab/>
        <w:t>$</w:t>
      </w:r>
      <w:r>
        <w:rPr>
          <w:sz w:val="20"/>
          <w:szCs w:val="20"/>
          <w:color w:val="auto"/>
        </w:rPr>
        <w:tab/>
      </w:r>
      <w:r>
        <w:rPr>
          <w:rFonts w:ascii="Arial" w:cs="Arial" w:eastAsia="Arial" w:hAnsi="Arial"/>
          <w:sz w:val="15"/>
          <w:szCs w:val="15"/>
          <w:color w:val="auto"/>
        </w:rPr>
        <w:t>97,986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60960</wp:posOffset>
            </wp:positionV>
            <wp:extent cx="29673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2,846</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1,628</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Amortization of actuarial net loss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1,225</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unrecognized prior service costs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44"/>
        </w:trPr>
        <w:tc>
          <w:tcPr>
            <w:tcW w:w="4240" w:type="dxa"/>
            <w:vAlign w:val="bottom"/>
          </w:tcPr>
          <w:p>
            <w:pPr>
              <w:ind w:left="380"/>
              <w:spacing w:after="0"/>
              <w:rPr>
                <w:sz w:val="20"/>
                <w:szCs w:val="20"/>
                <w:color w:val="auto"/>
              </w:rPr>
            </w:pPr>
            <w:r>
              <w:rPr>
                <w:rFonts w:ascii="Arial" w:cs="Arial" w:eastAsia="Arial" w:hAnsi="Arial"/>
                <w:sz w:val="16"/>
                <w:szCs w:val="16"/>
                <w:color w:val="auto"/>
              </w:rPr>
              <w:t>Net periodic benefit cost</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1,814</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4"/>
              </w:rPr>
              <w:t>1,857</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5,510</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5,300</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total other income (expense) on the Consolidated Statements of Operations.</w:t>
      </w:r>
    </w:p>
    <w:p>
      <w:pPr>
        <w:spacing w:after="0" w:line="16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the Second Amended and Restated 2010 Stock Incentive Plan (Stock Incentive Plan), which allows us to grant stock-based compensation awards, including stock options, restricted stock units, phantom stock, and unrestricted stock units. Under the Stock Incentive Plan, we have 12,623,538 shares of common stock reserved and authorized for issuance subject to stock splits, dividends, and other similar events. At September 30, 2018, 6,449,209 shares were available for grant under the Stock Incentive Plan. We issue new shares of common stock upon the exercise of stock options or when vesting conditions on restricted stock units are fully satisfied. These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acquisition of SSNI, we reserved and authorized 2,880,039 shares, collectively, of Itron common stock to be issued under the Stock Incentive Plan for certain SSNI common stock awards that were converted to Itron common stock awards on January 5, 2018 (Acquisition Date) pursuant to the Agreement and Plan of Merger or were available for issuance pursuant to future awards under the Silver Spring Networks, Inc. 2012 Equity Incentive Plan (SSNI Plan). New stock-based compensation awards</w:t>
      </w:r>
    </w:p>
    <w:p>
      <w:pPr>
        <w:sectPr>
          <w:pgSz w:w="11900" w:h="16838" w:orient="portrait"/>
          <w:cols w:equalWidth="0" w:num="1">
            <w:col w:w="11420"/>
          </w:cols>
          <w:pgMar w:left="240" w:top="125"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originally from the SSNI Plan may only be made to individuals who were not employees of Itron as of the Acquisition Date. Notwithstanding the foregoing, there is no fungible share provision for shares originally from the SSNI Plan.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periodically award phantom stock units, which are settled in cash upon vesting and accounted for as liability-based awards with no impact to the shares available for grant.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we maintain the Employee Stock Purchase Plan (ESPP), for which 305,979 shares of common stock were available for future issuance at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Unrestricted stock and ESPP activity for the three and nine months ended September 30, 2018 and 2017 was not significant.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1,974</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5,381</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4,170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19,803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12,538</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Phantom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762</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2,039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1,510</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7,212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5,745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16,764</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1,192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3,520</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480" w:type="dxa"/>
            <w:vAlign w:val="bottom"/>
          </w:tcPr>
          <w:p>
            <w:pPr>
              <w:jc w:val="center"/>
              <w:ind w:left="139"/>
              <w:spacing w:after="0"/>
              <w:rPr>
                <w:sz w:val="20"/>
                <w:szCs w:val="20"/>
                <w:color w:val="auto"/>
              </w:rPr>
            </w:pPr>
            <w:r>
              <w:rPr>
                <w:rFonts w:ascii="Arial" w:cs="Arial" w:eastAsia="Arial" w:hAnsi="Arial"/>
                <w:sz w:val="16"/>
                <w:szCs w:val="16"/>
                <w:b w:val="1"/>
                <w:bCs w:val="1"/>
                <w:color w:val="auto"/>
                <w:w w:val="90"/>
              </w:rPr>
              <w:t>Weighted Average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 Exercise</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Aggregate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Average Grant</w:t>
            </w:r>
          </w:p>
        </w:tc>
      </w:tr>
      <w:tr>
        <w:trPr>
          <w:trHeight w:val="210"/>
        </w:trPr>
        <w:tc>
          <w:tcPr>
            <w:tcW w:w="32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18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 per Share</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5"/>
              </w:rPr>
              <w:t>Contractual Life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3"/>
              </w:rPr>
              <w:t>Intrinsic Value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r>
      <w:tr>
        <w:trPr>
          <w:trHeight w:val="33"/>
        </w:trPr>
        <w:tc>
          <w:tcPr>
            <w:tcW w:w="3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1"/>
              </w:rPr>
              <w:t>(years)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8"/>
              </w:rPr>
              <w:t>(in thousands)</w:t>
            </w: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2017</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45.64</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65.94</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21.98</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38.68</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47.38</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67.43</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September 30, 2017</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47.60</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6.5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30,320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78"/>
        </w:trPr>
        <w:tc>
          <w:tcPr>
            <w:tcW w:w="3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January 1, 2018</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47.10</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6.3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21,965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Converted upon acquisition</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51.86</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14.86</w:t>
            </w: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68.90</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24.55</w:t>
            </w: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38.98</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68.43</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95.31</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September 30, 2018</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47.92</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6.6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15,332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78"/>
        </w:trPr>
        <w:tc>
          <w:tcPr>
            <w:tcW w:w="3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Exercisable September 30, 2018</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42.53</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12,867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78"/>
        </w:trPr>
        <w:tc>
          <w:tcPr>
            <w:tcW w:w="3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Expected to vest, September 30, 2018</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58.35</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2,466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3"/>
        </w:trPr>
        <w:tc>
          <w:tcPr>
            <w:tcW w:w="3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2018, total unrecognized stock-based compensation expense related to nonvested stock options was $3.5 million, which is expected to be recognized over a weighted average period of approximately 1.6 years.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assumptions used to estimate the fair value of stock options granted and the resulting weighted average fair value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31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53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19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r>
      <w:tr>
        <w:trPr>
          <w:trHeight w:val="33"/>
        </w:trPr>
        <w:tc>
          <w:tcPr>
            <w:tcW w:w="4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29.0%</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37"/>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5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4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5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r>
      <w:tr>
        <w:trPr>
          <w:trHeight w:val="33"/>
        </w:trPr>
        <w:tc>
          <w:tcPr>
            <w:tcW w:w="4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2"/>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jc w:val="center"/>
              <w:ind w:right="279"/>
              <w:spacing w:after="0"/>
              <w:rPr>
                <w:sz w:val="20"/>
                <w:szCs w:val="20"/>
                <w:color w:val="auto"/>
              </w:rPr>
            </w:pPr>
            <w:r>
              <w:rPr>
                <w:rFonts w:ascii="Arial" w:cs="Arial" w:eastAsia="Arial" w:hAnsi="Arial"/>
                <w:sz w:val="16"/>
                <w:szCs w:val="16"/>
                <w:b w:val="1"/>
                <w:bCs w:val="1"/>
                <w:color w:val="auto"/>
                <w:w w:val="88"/>
              </w:rPr>
              <w:t>Aggregate</w:t>
            </w:r>
          </w:p>
        </w:tc>
      </w:tr>
      <w:tr>
        <w:trPr>
          <w:trHeight w:val="210"/>
        </w:trPr>
        <w:tc>
          <w:tcPr>
            <w:tcW w:w="4360" w:type="dxa"/>
            <w:vAlign w:val="bottom"/>
          </w:tcPr>
          <w:p>
            <w:pPr>
              <w:spacing w:after="0"/>
              <w:rPr>
                <w:sz w:val="18"/>
                <w:szCs w:val="18"/>
                <w:color w:val="auto"/>
              </w:rPr>
            </w:pPr>
          </w:p>
        </w:tc>
        <w:tc>
          <w:tcPr>
            <w:tcW w:w="2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18"/>
                <w:szCs w:val="18"/>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5"/>
              </w:rPr>
              <w:t>Date Fair Value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43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spacing w:after="0"/>
              <w:rPr>
                <w:sz w:val="20"/>
                <w:szCs w:val="20"/>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b w:val="1"/>
                <w:bCs w:val="1"/>
                <w:color w:val="auto"/>
                <w:w w:val="88"/>
              </w:rPr>
              <w:t>(in thousands)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center"/>
              <w:ind w:right="27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2017</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65.54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13,097</w:t>
            </w: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44"/>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September 30, 2017</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479</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r>
        <w:trPr>
          <w:trHeight w:val="284"/>
        </w:trPr>
        <w:tc>
          <w:tcPr>
            <w:tcW w:w="4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2018</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1860" w:type="dxa"/>
            <w:vAlign w:val="bottom"/>
            <w:tcBorders>
              <w:bottom w:val="single" w:sz="8" w:color="CCEEFF"/>
            </w:tcBorders>
            <w:gridSpan w:val="2"/>
            <w:shd w:val="clear" w:color="auto" w:fill="CCEEFF"/>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47.68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Converted upon acquisition</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69.40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65.22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54.08</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26,753</w:t>
            </w: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68.15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r>
      <w:tr>
        <w:trPr>
          <w:trHeight w:val="28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September 30, 2018</w:t>
            </w:r>
          </w:p>
        </w:tc>
        <w:tc>
          <w:tcPr>
            <w:tcW w:w="176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801</w:t>
            </w:r>
          </w:p>
        </w:tc>
        <w:tc>
          <w:tcPr>
            <w:tcW w:w="12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w w:val="99"/>
              </w:rPr>
              <w:t>62.57</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r>
      <w:tr>
        <w:trPr>
          <w:trHeight w:val="284"/>
        </w:trPr>
        <w:tc>
          <w:tcPr>
            <w:tcW w:w="43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90"/>
        </w:trPr>
        <w:tc>
          <w:tcPr>
            <w:tcW w:w="6120" w:type="dxa"/>
            <w:vAlign w:val="bottom"/>
            <w:gridSpan w:val="2"/>
          </w:tcPr>
          <w:p>
            <w:pPr>
              <w:ind w:left="40"/>
              <w:spacing w:after="0"/>
              <w:rPr>
                <w:sz w:val="20"/>
                <w:szCs w:val="20"/>
                <w:color w:val="auto"/>
              </w:rPr>
            </w:pPr>
            <w:r>
              <w:rPr>
                <w:rFonts w:ascii="Arial" w:cs="Arial" w:eastAsia="Arial" w:hAnsi="Arial"/>
                <w:sz w:val="16"/>
                <w:szCs w:val="16"/>
                <w:color w:val="auto"/>
              </w:rPr>
              <w:t>Vested but not released, September 30, 2018</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586</w:t>
            </w:r>
          </w:p>
        </w:tc>
      </w:tr>
      <w:tr>
        <w:trPr>
          <w:trHeight w:val="284"/>
        </w:trPr>
        <w:tc>
          <w:tcPr>
            <w:tcW w:w="4360" w:type="dxa"/>
            <w:vAlign w:val="bottom"/>
            <w:tcBorders>
              <w:top w:val="single" w:sz="8" w:color="CCEEFF"/>
            </w:tcBorders>
            <w:shd w:val="clear" w:color="auto" w:fill="CCEEFF"/>
          </w:tcPr>
          <w:p>
            <w:pPr>
              <w:spacing w:after="0"/>
              <w:rPr>
                <w:sz w:val="24"/>
                <w:szCs w:val="24"/>
                <w:color w:val="auto"/>
              </w:rPr>
            </w:pPr>
          </w:p>
        </w:tc>
        <w:tc>
          <w:tcPr>
            <w:tcW w:w="176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74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900" w:type="dxa"/>
            <w:vAlign w:val="bottom"/>
            <w:tcBorders>
              <w:top w:val="single" w:sz="8" w:color="auto"/>
            </w:tcBorders>
            <w:shd w:val="clear" w:color="auto" w:fill="CCEEFF"/>
          </w:tcPr>
          <w:p>
            <w:pPr>
              <w:spacing w:after="0"/>
              <w:rPr>
                <w:sz w:val="24"/>
                <w:szCs w:val="24"/>
                <w:color w:val="auto"/>
              </w:rPr>
            </w:pPr>
          </w:p>
        </w:tc>
      </w:tr>
      <w:tr>
        <w:trPr>
          <w:trHeight w:val="250"/>
        </w:trPr>
        <w:tc>
          <w:tcPr>
            <w:tcW w:w="6120" w:type="dxa"/>
            <w:vAlign w:val="bottom"/>
            <w:gridSpan w:val="2"/>
          </w:tcPr>
          <w:p>
            <w:pPr>
              <w:ind w:left="40"/>
              <w:spacing w:after="0"/>
              <w:rPr>
                <w:sz w:val="20"/>
                <w:szCs w:val="20"/>
                <w:color w:val="auto"/>
              </w:rPr>
            </w:pPr>
            <w:r>
              <w:rPr>
                <w:rFonts w:ascii="Arial" w:cs="Arial" w:eastAsia="Arial" w:hAnsi="Arial"/>
                <w:sz w:val="16"/>
                <w:szCs w:val="16"/>
                <w:color w:val="auto"/>
              </w:rPr>
              <w:t>Expected to vest, September 30, 2018</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47,554</w:t>
            </w:r>
          </w:p>
        </w:tc>
      </w:tr>
      <w:tr>
        <w:trPr>
          <w:trHeight w:val="20"/>
        </w:trPr>
        <w:tc>
          <w:tcPr>
            <w:tcW w:w="43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2018, total unrecognized compensation expense on restricted stock units was $46.0 million, which is expected to be recognized over a weighted average period of approximately 2.1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assumptions used to estimate the fair value of performance-based restricted stock units granted and the resulting weighted average fair value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364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18"/>
                <w:szCs w:val="18"/>
                <w:color w:val="auto"/>
              </w:rPr>
            </w:pPr>
          </w:p>
        </w:tc>
        <w:tc>
          <w:tcPr>
            <w:tcW w:w="324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1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5380" w:type="dxa"/>
            <w:vAlign w:val="bottom"/>
            <w:gridSpan w:val="2"/>
          </w:tcPr>
          <w:p>
            <w:pPr>
              <w:ind w:left="4860"/>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r>
      <w:tr>
        <w:trPr>
          <w:trHeight w:val="33"/>
        </w:trPr>
        <w:tc>
          <w:tcPr>
            <w:tcW w:w="4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1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N/A</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1000" w:type="dxa"/>
            <w:vAlign w:val="bottom"/>
            <w:gridSpan w:val="3"/>
          </w:tcPr>
          <w:p>
            <w:pPr>
              <w:ind w:left="180"/>
              <w:spacing w:after="0"/>
              <w:rPr>
                <w:sz w:val="20"/>
                <w:szCs w:val="20"/>
                <w:color w:val="auto"/>
              </w:rPr>
            </w:pPr>
            <w:r>
              <w:rPr>
                <w:rFonts w:ascii="Arial" w:cs="Arial" w:eastAsia="Arial" w:hAnsi="Arial"/>
                <w:sz w:val="16"/>
                <w:szCs w:val="16"/>
                <w:color w:val="auto"/>
              </w:rPr>
              <w:t>N/A</w:t>
            </w:r>
          </w:p>
        </w:tc>
        <w:tc>
          <w:tcPr>
            <w:tcW w:w="13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4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1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N/A</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r>
      <w:tr>
        <w:trPr>
          <w:trHeight w:val="297"/>
        </w:trPr>
        <w:tc>
          <w:tcPr>
            <w:tcW w:w="4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7"/>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fair value</w:t>
            </w:r>
          </w:p>
        </w:tc>
        <w:tc>
          <w:tcPr>
            <w:tcW w:w="10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N/A  $</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80.64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78.56</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77.75</w:t>
            </w:r>
          </w:p>
        </w:tc>
      </w:tr>
      <w:tr>
        <w:trPr>
          <w:trHeight w:val="33"/>
        </w:trPr>
        <w:tc>
          <w:tcPr>
            <w:tcW w:w="4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performance-based restricted stock units granted for the three months ended September 30,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Phantom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phantom stock unit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2017</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Released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September 30, 2017</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to vest, September 30, 2017</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2018</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Converted upon acquisition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Released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September 30, 2018</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to vest, September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Phantom Stock</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2"/>
              </w:rPr>
              <w:t>Average Grant</w:t>
            </w:r>
          </w:p>
        </w:tc>
        <w:tc>
          <w:tcPr>
            <w:tcW w:w="0" w:type="dxa"/>
            <w:vAlign w:val="bottom"/>
          </w:tcPr>
          <w:p>
            <w:pPr>
              <w:spacing w:after="0"/>
              <w:rPr>
                <w:sz w:val="1"/>
                <w:szCs w:val="1"/>
                <w:color w:val="auto"/>
              </w:rPr>
            </w:pPr>
          </w:p>
        </w:tc>
      </w:tr>
      <w:tr>
        <w:trPr>
          <w:trHeight w:val="21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9"/>
              </w:rPr>
              <w:t>Units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Date Fair Value</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65.55</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920" w:type="dxa"/>
            <w:vAlign w:val="bottom"/>
            <w:vMerge w:val="restart"/>
          </w:tcPr>
          <w:p>
            <w:pPr>
              <w:jc w:val="right"/>
              <w:ind w:right="19"/>
              <w:spacing w:after="0"/>
              <w:rPr>
                <w:sz w:val="20"/>
                <w:szCs w:val="20"/>
                <w:color w:val="auto"/>
              </w:rPr>
            </w:pPr>
            <w:r>
              <w:rPr>
                <w:rFonts w:ascii="Arial" w:cs="Arial" w:eastAsia="Arial" w:hAnsi="Arial"/>
                <w:sz w:val="16"/>
                <w:szCs w:val="16"/>
                <w:color w:val="auto"/>
              </w:rPr>
              <w:t>51.88</w:t>
            </w: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460" w:type="dxa"/>
            <w:vAlign w:val="bottom"/>
            <w:gridSpan w:val="2"/>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69.40</w:t>
            </w: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68.06</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53.55</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56.47</w:t>
            </w:r>
          </w:p>
        </w:tc>
        <w:tc>
          <w:tcPr>
            <w:tcW w:w="0" w:type="dxa"/>
            <w:vAlign w:val="bottom"/>
          </w:tcPr>
          <w:p>
            <w:pPr>
              <w:spacing w:after="0"/>
              <w:rPr>
                <w:sz w:val="1"/>
                <w:szCs w:val="1"/>
                <w:color w:val="auto"/>
              </w:rPr>
            </w:pPr>
          </w:p>
        </w:tc>
      </w:tr>
      <w:tr>
        <w:trPr>
          <w:trHeight w:val="47"/>
        </w:trPr>
        <w:tc>
          <w:tcPr>
            <w:tcW w:w="2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20" w:type="dxa"/>
            <w:vAlign w:val="bottom"/>
            <w:vMerge w:val="restart"/>
          </w:tcPr>
          <w:p>
            <w:pPr>
              <w:jc w:val="right"/>
              <w:ind w:right="19"/>
              <w:spacing w:after="0"/>
              <w:rPr>
                <w:sz w:val="20"/>
                <w:szCs w:val="20"/>
                <w:color w:val="auto"/>
              </w:rPr>
            </w:pPr>
            <w:r>
              <w:rPr>
                <w:rFonts w:ascii="Arial" w:cs="Arial" w:eastAsia="Arial" w:hAnsi="Arial"/>
                <w:sz w:val="16"/>
                <w:szCs w:val="16"/>
                <w:color w:val="auto"/>
              </w:rPr>
              <w:t>62.53</w:t>
            </w:r>
          </w:p>
        </w:tc>
        <w:tc>
          <w:tcPr>
            <w:tcW w:w="0" w:type="dxa"/>
            <w:vAlign w:val="bottom"/>
          </w:tcPr>
          <w:p>
            <w:pPr>
              <w:spacing w:after="0"/>
              <w:rPr>
                <w:sz w:val="1"/>
                <w:szCs w:val="1"/>
                <w:color w:val="auto"/>
              </w:rPr>
            </w:pPr>
          </w:p>
        </w:tc>
      </w:tr>
      <w:tr>
        <w:trPr>
          <w:trHeight w:val="21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-2880995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-2538095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-2194560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-1809115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-1431290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-1088390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-745490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-393700</wp:posOffset>
            </wp:positionV>
            <wp:extent cx="724662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sect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2018, total unrecognized compensation expense on phantom stock units was $3.9 million which is expected to be recognized over a weighted average period of approximately 2.0 years. As of both September 30, 2018 and December 31, 2017, we have recognized a phantom stock liability of $1.7 million within wages and benefits payable in the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are excluded.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rate for the three and nine months ended September 30, 2018 of 22% and 1%, respectively, differed from the federal statutory rate of 21% due primarily to unbenefitted losses experienced in jurisdictions with valuation allowances on deferred tax assets as well as the forecasted mix of earnings in domestic and international jurisdictions, a benefit related to excess stock-based compensation, and uncertain tax positions.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rate for the three and nine months ended September 30, 2017 of 20% and 36% respectively, differed from the federal statutory rate of 35% due to the forecasted mix of earnings in domestic and international jurisdictions, a benefit related to excess stock-based compensation, and losses experienced in jurisdictions with valuation allowances on deferred tax assets.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tax provision for December 31, 2017 included the provisional determination of the impact to our deferred tax positions of the Tax Cuts and Jobs Act. We will continue to review any additional guidance issued by the U.S. Department of the Treasury, Internal Revenue Service, Financial Accounting Standards Board, or other regulatory bodies and adjust our provisional amount during the measurement period, which should not extend beyond one year from the enactment date of December 22, 2017. For the three and nine months ended September 30, 2018, no changes to these provisional amounts have been recognized.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recognized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interest and penalties expense (benefit)</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414</w:t>
            </w:r>
          </w:p>
        </w:tc>
        <w:tc>
          <w:tcPr>
            <w:tcW w:w="13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1,152</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r>
      <w:tr>
        <w:trPr>
          <w:trHeight w:val="33"/>
        </w:trPr>
        <w:tc>
          <w:tcPr>
            <w:tcW w:w="4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recognized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September 30, 2018</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67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840" w:type="dxa"/>
            <w:vAlign w:val="bottom"/>
            <w:tcBorders>
              <w:bottom w:val="single" w:sz="8" w:color="CCEEFF"/>
            </w:tcBorders>
            <w:shd w:val="clear" w:color="auto" w:fill="CCEEFF"/>
          </w:tcPr>
          <w:p>
            <w:pPr>
              <w:jc w:val="right"/>
              <w:ind w:right="16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3,707</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84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w w:val="84"/>
              </w:rPr>
              <w:t>2,396</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2,426</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ind w:right="399"/>
              <w:spacing w:after="0"/>
              <w:rPr>
                <w:sz w:val="20"/>
                <w:szCs w:val="20"/>
                <w:color w:val="auto"/>
              </w:rPr>
            </w:pPr>
            <w:r>
              <w:rPr>
                <w:rFonts w:ascii="Arial" w:cs="Arial" w:eastAsia="Arial" w:hAnsi="Arial"/>
                <w:sz w:val="16"/>
                <w:szCs w:val="16"/>
                <w:b w:val="1"/>
                <w:bCs w:val="1"/>
                <w:color w:val="auto"/>
              </w:rPr>
              <w:t>September 30, 2018</w:t>
            </w: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related to uncertain tax positions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78,332</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56,702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The amount of unrecognized tax benefits that, if recognized, would affect our effective tax rate</w:t>
            </w:r>
          </w:p>
        </w:tc>
        <w:tc>
          <w:tcPr>
            <w:tcW w:w="300" w:type="dxa"/>
            <w:vAlign w:val="bottom"/>
          </w:tcPr>
          <w:p>
            <w:pPr>
              <w:spacing w:after="0"/>
              <w:rPr>
                <w:sz w:val="20"/>
                <w:szCs w:val="20"/>
                <w:color w:val="auto"/>
              </w:rPr>
            </w:pPr>
          </w:p>
        </w:tc>
        <w:tc>
          <w:tcPr>
            <w:tcW w:w="2020" w:type="dxa"/>
            <w:vAlign w:val="bottom"/>
          </w:tcPr>
          <w:p>
            <w:pPr>
              <w:jc w:val="right"/>
              <w:ind w:right="39"/>
              <w:spacing w:after="0"/>
              <w:rPr>
                <w:sz w:val="20"/>
                <w:szCs w:val="20"/>
                <w:color w:val="auto"/>
              </w:rPr>
            </w:pPr>
            <w:r>
              <w:rPr>
                <w:rFonts w:ascii="Arial" w:cs="Arial" w:eastAsia="Arial" w:hAnsi="Arial"/>
                <w:sz w:val="16"/>
                <w:szCs w:val="16"/>
                <w:color w:val="auto"/>
              </w:rPr>
              <w:t>76,958</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55,312</w:t>
            </w:r>
          </w:p>
        </w:tc>
      </w:tr>
    </w:tbl>
    <w:p>
      <w:pPr>
        <w:spacing w:after="0" w:line="200" w:lineRule="exact"/>
        <w:rPr>
          <w:sz w:val="20"/>
          <w:szCs w:val="20"/>
          <w:color w:val="auto"/>
        </w:rPr>
      </w:pPr>
    </w:p>
    <w:p>
      <w:pPr>
        <w:spacing w:after="0" w:line="2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unrecognized tax benefits at September 30, 2018 related primarily to $16.7 million of unrecognized tax benefits recognized through purchase accounting on January 5, 2018 as a result of the acquisition of SSNI.</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September 30, 2018, we are under examination by certain tax authorities for the 2010 to 2016 tax years. The material jurisdictions where we are subject to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performance bonds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2018</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Credit facilities</w:t>
            </w:r>
          </w:p>
        </w:tc>
        <w:tc>
          <w:tcPr>
            <w:tcW w:w="3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3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(125,414)</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(41,108)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(31,881)</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w w:val="98"/>
              </w:rPr>
              <w:t>Net available for additional borrowings under the multi-currency revolving line of credit</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448,892</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342,705</w:t>
            </w:r>
          </w:p>
        </w:tc>
      </w:tr>
      <w:tr>
        <w:trPr>
          <w:trHeight w:val="73"/>
        </w:trPr>
        <w:tc>
          <w:tcPr>
            <w:tcW w:w="67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24"/>
        </w:trPr>
        <w:tc>
          <w:tcPr>
            <w:tcW w:w="6740" w:type="dxa"/>
            <w:vAlign w:val="bottom"/>
          </w:tcPr>
          <w:p>
            <w:pPr>
              <w:ind w:left="380"/>
              <w:spacing w:after="0"/>
              <w:rPr>
                <w:sz w:val="20"/>
                <w:szCs w:val="20"/>
                <w:color w:val="auto"/>
              </w:rPr>
            </w:pPr>
            <w:r>
              <w:rPr>
                <w:rFonts w:ascii="Arial" w:cs="Arial" w:eastAsia="Arial" w:hAnsi="Arial"/>
                <w:sz w:val="16"/>
                <w:szCs w:val="16"/>
                <w:color w:val="auto"/>
              </w:rPr>
              <w:t>Net available for additional standby LOCs under sub-facility</w:t>
            </w:r>
          </w:p>
        </w:tc>
        <w:tc>
          <w:tcPr>
            <w:tcW w:w="300" w:type="dxa"/>
            <w:vAlign w:val="bottom"/>
          </w:tcPr>
          <w:p>
            <w:pPr>
              <w:spacing w:after="0"/>
              <w:rPr>
                <w:sz w:val="19"/>
                <w:szCs w:val="19"/>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258,892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218,119</w:t>
            </w:r>
          </w:p>
        </w:tc>
      </w:tr>
      <w:tr>
        <w:trPr>
          <w:trHeight w:val="73"/>
        </w:trPr>
        <w:tc>
          <w:tcPr>
            <w:tcW w:w="67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lines of credit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106,281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110,477</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3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(19,577)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(21,030)</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86,524</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88,531</w:t>
            </w:r>
          </w:p>
        </w:tc>
      </w:tr>
      <w:tr>
        <w:trPr>
          <w:trHeight w:val="73"/>
        </w:trPr>
        <w:tc>
          <w:tcPr>
            <w:tcW w:w="67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96,157</w:t>
            </w:r>
          </w:p>
        </w:tc>
        <w:tc>
          <w:tcPr>
            <w:tcW w:w="12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51,344</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1) the customer promptly notifies us in writing of the claim and 2)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recognized and charged to operating expense when we determine that a loss is probable and the amount can be reasonably estimated. Additionally, we would disclose contingencies for which a material loss is reasonably possible, but not probable.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43,302</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Assumed liabilities from acquisition</w:t>
            </w:r>
          </w:p>
        </w:tc>
        <w:tc>
          <w:tcPr>
            <w:tcW w:w="10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5,742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New product warranties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6,637</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Other adjustments and expirations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(4,346)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9,141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(2,445)</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Claims activity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(14,372)</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1,800</w:t>
            </w: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43,360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34,922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43,360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34,922</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Less: current portion of warranty</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29,736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21,697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29,736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21,697</w:t>
            </w: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warranty</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13,225</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extended warranty contracts, insurance and supplier recoveries, and other changes and adjustments to warranties. Warranty expense (benefit)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6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296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33"/>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40" w:type="dxa"/>
            <w:vAlign w:val="bottom"/>
            <w:gridSpan w:val="3"/>
          </w:tcPr>
          <w:p>
            <w:pPr>
              <w:ind w:left="780"/>
              <w:spacing w:after="0"/>
              <w:rPr>
                <w:sz w:val="20"/>
                <w:szCs w:val="20"/>
                <w:color w:val="auto"/>
              </w:rPr>
            </w:pPr>
            <w:r>
              <w:rPr>
                <w:rFonts w:ascii="Arial" w:cs="Arial" w:eastAsia="Arial" w:hAnsi="Arial"/>
                <w:sz w:val="16"/>
                <w:szCs w:val="16"/>
                <w:b w:val="1"/>
                <w:bCs w:val="1"/>
                <w:color w:val="auto"/>
                <w:w w:val="94"/>
              </w:rPr>
              <w:t>(in thousands)</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warranty expense (benefit)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1,528</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(3,148)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12,291</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(5,318)</w:t>
            </w:r>
          </w:p>
        </w:tc>
      </w:tr>
      <w:tr>
        <w:trPr>
          <w:trHeight w:val="33"/>
        </w:trPr>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Warranty expense increased during the nine months ended September 30, 2018 compared with the same periods in 2017 primarily due to an insurance recovery in our Water operating segment of $8.0 million recognized during the second quarter of 2017. This recovery is associated with warranty costs previously recognized as a result of our 2015 product replacement notification to customers who had purchased certain communication modules.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gridSpan w:val="3"/>
          </w:tcPr>
          <w:p>
            <w:pPr>
              <w:ind w:left="840"/>
              <w:spacing w:after="0"/>
              <w:rPr>
                <w:sz w:val="20"/>
                <w:szCs w:val="20"/>
                <w:color w:val="auto"/>
              </w:rPr>
            </w:pPr>
            <w:r>
              <w:rPr>
                <w:rFonts w:ascii="Arial" w:cs="Arial" w:eastAsia="Arial" w:hAnsi="Arial"/>
                <w:sz w:val="16"/>
                <w:szCs w:val="16"/>
                <w:b w:val="1"/>
                <w:bCs w:val="1"/>
                <w:color w:val="auto"/>
                <w:w w:val="94"/>
              </w:rPr>
              <w:t>(in thousands)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9,205</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6,096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25,559</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21,592</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IBNR accrual, which is included in wages and benefits payable,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ind w:right="399"/>
              <w:spacing w:after="0"/>
              <w:rPr>
                <w:sz w:val="20"/>
                <w:szCs w:val="20"/>
                <w:color w:val="auto"/>
              </w:rPr>
            </w:pPr>
            <w:r>
              <w:rPr>
                <w:rFonts w:ascii="Arial" w:cs="Arial" w:eastAsia="Arial" w:hAnsi="Arial"/>
                <w:sz w:val="16"/>
                <w:szCs w:val="16"/>
                <w:b w:val="1"/>
                <w:bCs w:val="1"/>
                <w:color w:val="auto"/>
              </w:rPr>
              <w:t>September 30, 2018</w:t>
            </w: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3,449</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2,664</w:t>
            </w:r>
          </w:p>
        </w:tc>
      </w:tr>
      <w:tr>
        <w:trPr>
          <w:trHeight w:val="33"/>
        </w:trPr>
        <w:tc>
          <w:tcPr>
            <w:tcW w:w="6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Projects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22, 2018, our Board of Directors approved a restructuring plan (the 2018 Projects) to continue our efforts to optimize our global supply chain and manufacturing operations, research and development, and sales and marketing organizations. We expect to substantially complete the plan by the end of 2020.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2018 Projects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Costs Recognized During</w:t>
            </w:r>
          </w:p>
        </w:tc>
        <w:tc>
          <w:tcPr>
            <w:tcW w:w="20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3"/>
              </w:rPr>
              <w:t>Expected Remaining Costs</w:t>
            </w:r>
          </w:p>
        </w:tc>
      </w:t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Total Expected Costs at</w:t>
            </w:r>
          </w:p>
        </w:tc>
        <w:tc>
          <w:tcPr>
            <w:tcW w:w="120" w:type="dxa"/>
            <w:vAlign w:val="bottom"/>
          </w:tcPr>
          <w:p>
            <w:pPr>
              <w:spacing w:after="0"/>
              <w:rPr>
                <w:sz w:val="17"/>
                <w:szCs w:val="17"/>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the Nine Months Ended</w:t>
            </w:r>
          </w:p>
        </w:tc>
        <w:tc>
          <w:tcPr>
            <w:tcW w:w="220" w:type="dxa"/>
            <w:vAlign w:val="bottom"/>
          </w:tcPr>
          <w:p>
            <w:pPr>
              <w:spacing w:after="0"/>
              <w:rPr>
                <w:sz w:val="17"/>
                <w:szCs w:val="17"/>
                <w:color w:val="auto"/>
              </w:rPr>
            </w:pPr>
          </w:p>
        </w:tc>
        <w:tc>
          <w:tcPr>
            <w:tcW w:w="1820" w:type="dxa"/>
            <w:vAlign w:val="bottom"/>
          </w:tcPr>
          <w:p>
            <w:pPr>
              <w:jc w:val="right"/>
              <w:ind w:right="259"/>
              <w:spacing w:after="0"/>
              <w:rPr>
                <w:sz w:val="20"/>
                <w:szCs w:val="20"/>
                <w:color w:val="auto"/>
              </w:rPr>
            </w:pPr>
            <w:r>
              <w:rPr>
                <w:rFonts w:ascii="Arial" w:cs="Arial" w:eastAsia="Arial" w:hAnsi="Arial"/>
                <w:sz w:val="16"/>
                <w:szCs w:val="16"/>
                <w:b w:val="1"/>
                <w:bCs w:val="1"/>
                <w:color w:val="auto"/>
                <w:w w:val="96"/>
              </w:rPr>
              <w:t>to be Recognized at</w:t>
            </w:r>
          </w:p>
        </w:tc>
      </w:tr>
      <w:tr>
        <w:trPr>
          <w:trHeight w:val="210"/>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 2018</w:t>
            </w: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September 30, 2018</w:t>
            </w:r>
          </w:p>
        </w:tc>
        <w:tc>
          <w:tcPr>
            <w:tcW w:w="220" w:type="dxa"/>
            <w:vAlign w:val="bottom"/>
          </w:tcPr>
          <w:p>
            <w:pPr>
              <w:spacing w:after="0"/>
              <w:rPr>
                <w:sz w:val="18"/>
                <w:szCs w:val="18"/>
                <w:color w:val="auto"/>
              </w:rPr>
            </w:pPr>
          </w:p>
        </w:tc>
        <w:tc>
          <w:tcPr>
            <w:tcW w:w="182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September 30, 2018</w:t>
            </w:r>
          </w:p>
        </w:tc>
      </w:tr>
      <w:tr>
        <w:trPr>
          <w:trHeight w:val="33"/>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81,669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Asset impairments &amp; net loss on sale or disposal</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18,076</w:t>
            </w:r>
          </w:p>
        </w:tc>
      </w:tr>
      <w:tr>
        <w:trPr>
          <w:trHeight w:val="284"/>
        </w:trPr>
        <w:tc>
          <w:tcPr>
            <w:tcW w:w="50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101,140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83,064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18,076</w:t>
            </w:r>
          </w:p>
        </w:tc>
      </w:tr>
      <w:tr>
        <w:trPr>
          <w:trHeight w:val="284"/>
        </w:trPr>
        <w:tc>
          <w:tcPr>
            <w:tcW w:w="5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r>
      <w:tr>
        <w:trPr>
          <w:trHeight w:val="237"/>
        </w:trPr>
        <w:tc>
          <w:tcPr>
            <w:tcW w:w="504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52,289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41,583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10,706</w:t>
            </w: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5,870</w:t>
            </w:r>
          </w:p>
        </w:tc>
      </w:tr>
      <w:tr>
        <w:trPr>
          <w:trHeight w:val="237"/>
        </w:trPr>
        <w:tc>
          <w:tcPr>
            <w:tcW w:w="504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6,438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6,438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101,140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18,076</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2016 Projects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1, 2016, we announced projects (2016 Projects) to restructure various company activities in order to improve operational efficiencies, reduce expenses and improve competitiveness. We expect to close or consolidate several facilities and reduce our global workforce as a result of the restructuring. The 2016 Projects were initiated during the third quarter of 2016, and we expect to substantially complete the 2016 Projects by the end of 2018.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2016 Projects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Costs Recognized During</w:t>
            </w:r>
          </w:p>
        </w:tc>
        <w:tc>
          <w:tcPr>
            <w:tcW w:w="20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3"/>
              </w:rPr>
              <w:t>Expected Remaining Costs</w:t>
            </w:r>
          </w:p>
        </w:tc>
      </w:t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Total Expected Costs at</w:t>
            </w:r>
          </w:p>
        </w:tc>
        <w:tc>
          <w:tcPr>
            <w:tcW w:w="120" w:type="dxa"/>
            <w:vAlign w:val="bottom"/>
          </w:tcPr>
          <w:p>
            <w:pPr>
              <w:spacing w:after="0"/>
              <w:rPr>
                <w:sz w:val="17"/>
                <w:szCs w:val="17"/>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7"/>
                <w:szCs w:val="17"/>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the Nine Months Ended</w:t>
            </w:r>
          </w:p>
        </w:tc>
        <w:tc>
          <w:tcPr>
            <w:tcW w:w="220" w:type="dxa"/>
            <w:vAlign w:val="bottom"/>
          </w:tcPr>
          <w:p>
            <w:pPr>
              <w:spacing w:after="0"/>
              <w:rPr>
                <w:sz w:val="17"/>
                <w:szCs w:val="17"/>
                <w:color w:val="auto"/>
              </w:rPr>
            </w:pPr>
          </w:p>
        </w:tc>
        <w:tc>
          <w:tcPr>
            <w:tcW w:w="1820" w:type="dxa"/>
            <w:vAlign w:val="bottom"/>
          </w:tcPr>
          <w:p>
            <w:pPr>
              <w:jc w:val="right"/>
              <w:ind w:right="259"/>
              <w:spacing w:after="0"/>
              <w:rPr>
                <w:sz w:val="20"/>
                <w:szCs w:val="20"/>
                <w:color w:val="auto"/>
              </w:rPr>
            </w:pPr>
            <w:r>
              <w:rPr>
                <w:rFonts w:ascii="Arial" w:cs="Arial" w:eastAsia="Arial" w:hAnsi="Arial"/>
                <w:sz w:val="16"/>
                <w:szCs w:val="16"/>
                <w:b w:val="1"/>
                <w:bCs w:val="1"/>
                <w:color w:val="auto"/>
                <w:w w:val="96"/>
              </w:rPr>
              <w:t>to be Recognized at</w:t>
            </w:r>
          </w:p>
        </w:tc>
      </w:tr>
      <w:tr>
        <w:trPr>
          <w:trHeight w:val="210"/>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 2018</w:t>
            </w: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September 30, 2018</w:t>
            </w:r>
          </w:p>
        </w:tc>
        <w:tc>
          <w:tcPr>
            <w:tcW w:w="220" w:type="dxa"/>
            <w:vAlign w:val="bottom"/>
          </w:tcPr>
          <w:p>
            <w:pPr>
              <w:spacing w:after="0"/>
              <w:rPr>
                <w:sz w:val="18"/>
                <w:szCs w:val="18"/>
                <w:color w:val="auto"/>
              </w:rPr>
            </w:pPr>
          </w:p>
        </w:tc>
        <w:tc>
          <w:tcPr>
            <w:tcW w:w="182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September 30, 2018</w:t>
            </w:r>
          </w:p>
        </w:tc>
      </w:tr>
      <w:tr>
        <w:trPr>
          <w:trHeight w:val="33"/>
        </w:trPr>
        <w:tc>
          <w:tcPr>
            <w:tcW w:w="2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5"/>
          </w:tcPr>
          <w:p>
            <w:pPr>
              <w:ind w:left="146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37,197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Asset impairments &amp; net loss on sale or</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06"/>
        </w:trPr>
        <w:tc>
          <w:tcPr>
            <w:tcW w:w="2880" w:type="dxa"/>
            <w:vAlign w:val="bottom"/>
          </w:tcPr>
          <w:p>
            <w:pPr>
              <w:ind w:left="200"/>
              <w:spacing w:after="0"/>
              <w:rPr>
                <w:sz w:val="20"/>
                <w:szCs w:val="20"/>
                <w:color w:val="auto"/>
              </w:rPr>
            </w:pPr>
            <w:r>
              <w:rPr>
                <w:rFonts w:ascii="Arial" w:cs="Arial" w:eastAsia="Arial" w:hAnsi="Arial"/>
                <w:sz w:val="16"/>
                <w:szCs w:val="16"/>
                <w:color w:val="auto"/>
              </w:rPr>
              <w:t>disposal</w:t>
            </w:r>
          </w:p>
        </w:tc>
        <w:tc>
          <w:tcPr>
            <w:tcW w:w="160" w:type="dxa"/>
            <w:vAlign w:val="bottom"/>
          </w:tcPr>
          <w:p>
            <w:pPr>
              <w:spacing w:after="0"/>
              <w:rPr>
                <w:sz w:val="17"/>
                <w:szCs w:val="17"/>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5,375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4,922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16,064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4,580</w:t>
            </w:r>
          </w:p>
        </w:tc>
      </w:tr>
      <w:tr>
        <w:trPr>
          <w:trHeight w:val="284"/>
        </w:trPr>
        <w:tc>
          <w:tcPr>
            <w:tcW w:w="28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58,636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54,212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4,580</w:t>
            </w:r>
          </w:p>
        </w:tc>
      </w:tr>
      <w:tr>
        <w:trPr>
          <w:trHeight w:val="284"/>
        </w:trPr>
        <w:tc>
          <w:tcPr>
            <w:tcW w:w="2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1,308</w:t>
            </w:r>
          </w:p>
        </w:tc>
      </w:tr>
      <w:tr>
        <w:trPr>
          <w:trHeight w:val="237"/>
        </w:trPr>
        <w:tc>
          <w:tcPr>
            <w:tcW w:w="288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30,287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29,181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1,897</w:t>
            </w: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14,678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w:t>
            </w:r>
          </w:p>
        </w:tc>
      </w:tr>
      <w:tr>
        <w:trPr>
          <w:trHeight w:val="237"/>
        </w:trPr>
        <w:tc>
          <w:tcPr>
            <w:tcW w:w="288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2,642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2,245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156</w:t>
            </w:r>
          </w:p>
        </w:tc>
      </w:tr>
      <w:tr>
        <w:trPr>
          <w:trHeight w:val="33"/>
        </w:trPr>
        <w:tc>
          <w:tcPr>
            <w:tcW w:w="2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58,636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54,212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4,580</w:t>
            </w: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activity within the restructuring related balance sheet accounts for the 2018 and 2016 Projects during the nine months ended September 30,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Asset Impairments &amp; Net</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Loss on Sale or Disposal</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 Accrued Costs</w:t>
            </w: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gridSpan w:val="5"/>
          </w:tcPr>
          <w:p>
            <w:pPr>
              <w:ind w:left="1480"/>
              <w:spacing w:after="0"/>
              <w:rPr>
                <w:sz w:val="20"/>
                <w:szCs w:val="20"/>
                <w:color w:val="auto"/>
              </w:rPr>
            </w:pPr>
            <w:r>
              <w:rPr>
                <w:rFonts w:ascii="Arial" w:cs="Arial" w:eastAsia="Arial" w:hAnsi="Arial"/>
                <w:sz w:val="16"/>
                <w:szCs w:val="16"/>
                <w:b w:val="1"/>
                <w:bCs w:val="1"/>
                <w:color w:val="auto"/>
              </w:rPr>
              <w:t>(in thousands)</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2018</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40,125</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Costs charged to expense</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79,011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3,329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82,908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 receipts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(27,448)</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Net assets disposed and impaired</w:t>
            </w:r>
          </w:p>
        </w:tc>
        <w:tc>
          <w:tcPr>
            <w:tcW w:w="22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(900)</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(3,998)</w:t>
            </w:r>
          </w:p>
        </w:tc>
      </w:tr>
      <w:tr>
        <w:trPr>
          <w:trHeight w:val="244"/>
        </w:trPr>
        <w:tc>
          <w:tcPr>
            <w:tcW w:w="3100" w:type="dxa"/>
            <w:vAlign w:val="bottom"/>
          </w:tcPr>
          <w:p>
            <w:pPr>
              <w:ind w:left="40"/>
              <w:spacing w:after="0"/>
              <w:rPr>
                <w:sz w:val="20"/>
                <w:szCs w:val="20"/>
                <w:color w:val="auto"/>
              </w:rPr>
            </w:pPr>
            <w:r>
              <w:rPr>
                <w:rFonts w:ascii="Arial" w:cs="Arial" w:eastAsia="Arial" w:hAnsi="Arial"/>
                <w:sz w:val="16"/>
                <w:szCs w:val="16"/>
                <w:color w:val="auto"/>
              </w:rPr>
              <w:t>Ending balance, September 30, 2018</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89,367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90,687</w:t>
            </w: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portion of restructuring liabilities were $42.2 million and $32.5 million as of September 30, 2018 and December 31, 2017. The current portion of restructuring liabilities are classified within other current liabilities on the Consolidated Balance Sheets. The long-term portion of restructuring liabilities balances were $48.5 million and $7.6 million as of September 30, 2018 and December 31, 2017. The long-term portion of restructuring liabilities are classified within other long-term obligations on the Consolidated Balance Sheets, and include severance accruals and facility exit costs.</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There was no preferred stock issued or outstanding at September 30, 2018 and December 31, 2017.</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before-tax amount, income tax (provision) benefit, and net-of-tax amount related to each component of OCI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28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33"/>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33"/>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49,755</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w w:val="93"/>
              </w:rPr>
              <w:t>Foreign currency translation adjustment reclassified into net income</w:t>
            </w:r>
          </w:p>
        </w:tc>
        <w:tc>
          <w:tcPr>
            <w:tcW w:w="108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1,089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1,089</w:t>
            </w:r>
          </w:p>
        </w:tc>
      </w:tr>
      <w:tr>
        <w:trPr>
          <w:trHeight w:val="33"/>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5,216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1080" w:type="dxa"/>
            <w:vAlign w:val="bottom"/>
          </w:tcPr>
          <w:p>
            <w:pPr>
              <w:spacing w:after="0"/>
              <w:rPr>
                <w:sz w:val="20"/>
                <w:szCs w:val="20"/>
                <w:color w:val="auto"/>
              </w:rPr>
            </w:pPr>
          </w:p>
        </w:tc>
        <w:tc>
          <w:tcPr>
            <w:tcW w:w="540" w:type="dxa"/>
            <w:vAlign w:val="bottom"/>
          </w:tcPr>
          <w:p>
            <w:pPr>
              <w:jc w:val="right"/>
              <w:ind w:right="38"/>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785</w:t>
            </w:r>
          </w:p>
        </w:tc>
      </w:tr>
      <w:tr>
        <w:trPr>
          <w:trHeight w:val="33"/>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defined benefit plan loss reclassified to net income</w:t>
            </w:r>
          </w:p>
        </w:tc>
        <w:tc>
          <w:tcPr>
            <w:tcW w:w="10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1,228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10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15,910</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(14,308)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52,420</w:t>
            </w:r>
          </w:p>
        </w:tc>
      </w:tr>
      <w:tr>
        <w:trPr>
          <w:trHeight w:val="33"/>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w:t>
            </w:r>
          </w:p>
        </w:tc>
      </w:tr>
      <w:tr>
        <w:trPr>
          <w:trHeight w:val="220"/>
        </w:trPr>
        <w:tc>
          <w:tcPr>
            <w:tcW w:w="4700" w:type="dxa"/>
            <w:vAlign w:val="bottom"/>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4700" w:type="dxa"/>
            <w:vAlign w:val="bottom"/>
          </w:tcPr>
          <w:p>
            <w:pPr>
              <w:ind w:left="360"/>
              <w:spacing w:after="0"/>
              <w:rPr>
                <w:sz w:val="20"/>
                <w:szCs w:val="20"/>
                <w:color w:val="auto"/>
              </w:rPr>
            </w:pPr>
            <w:r>
              <w:rPr>
                <w:rFonts w:ascii="Arial" w:cs="Arial" w:eastAsia="Arial" w:hAnsi="Arial"/>
                <w:sz w:val="16"/>
                <w:szCs w:val="16"/>
                <w:color w:val="auto"/>
              </w:rPr>
              <w:t>cash flow hedges</w:t>
            </w: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185</w:t>
            </w:r>
          </w:p>
        </w:tc>
      </w:tr>
      <w:tr>
        <w:trPr>
          <w:trHeight w:val="33"/>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defined benefit plan loss reclassified to net income</w:t>
            </w: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33"/>
        </w:trPr>
        <w:tc>
          <w:tcPr>
            <w:tcW w:w="4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tax benefit</w:t>
            </w:r>
          </w:p>
        </w:tc>
        <w:tc>
          <w:tcPr>
            <w:tcW w:w="10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w:t>
            </w:r>
          </w:p>
        </w:tc>
      </w:tr>
      <w:tr>
        <w:trPr>
          <w:trHeight w:val="297"/>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Net-of-tax amount</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13,841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(18,538)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49,304</w:t>
            </w:r>
          </w:p>
        </w:tc>
      </w:tr>
      <w:tr>
        <w:trPr>
          <w:trHeight w:val="33"/>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3"/>
              </w:rPr>
              <w:t>Foreign currency translation adjustment reclassified into net income</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1,089</w:t>
            </w:r>
          </w:p>
        </w:tc>
      </w:tr>
      <w:tr>
        <w:trPr>
          <w:trHeight w:val="220"/>
        </w:trPr>
        <w:tc>
          <w:tcPr>
            <w:tcW w:w="4700" w:type="dxa"/>
            <w:vAlign w:val="bottom"/>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4700" w:type="dxa"/>
            <w:vAlign w:val="bottom"/>
          </w:tcPr>
          <w:p>
            <w:pPr>
              <w:ind w:left="360"/>
              <w:spacing w:after="0"/>
              <w:rPr>
                <w:sz w:val="20"/>
                <w:szCs w:val="20"/>
                <w:color w:val="auto"/>
              </w:rPr>
            </w:pPr>
            <w:r>
              <w:rPr>
                <w:rFonts w:ascii="Arial" w:cs="Arial" w:eastAsia="Arial" w:hAnsi="Arial"/>
                <w:sz w:val="16"/>
                <w:szCs w:val="16"/>
                <w:color w:val="auto"/>
              </w:rPr>
              <w:t>cash flow hedges</w:t>
            </w:r>
          </w:p>
        </w:tc>
        <w:tc>
          <w:tcPr>
            <w:tcW w:w="1080" w:type="dxa"/>
            <w:vAlign w:val="bottom"/>
          </w:tcPr>
          <w:p>
            <w:pPr>
              <w:spacing w:after="0"/>
              <w:rPr>
                <w:sz w:val="17"/>
                <w:szCs w:val="17"/>
                <w:color w:val="auto"/>
              </w:rPr>
            </w:pPr>
          </w:p>
        </w:tc>
        <w:tc>
          <w:tcPr>
            <w:tcW w:w="540" w:type="dxa"/>
            <w:vAlign w:val="bottom"/>
          </w:tcPr>
          <w:p>
            <w:pPr>
              <w:jc w:val="right"/>
              <w:ind w:right="38"/>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4,770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33"/>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defined benefit plan loss reclassified to net income</w:t>
            </w:r>
          </w:p>
        </w:tc>
        <w:tc>
          <w:tcPr>
            <w:tcW w:w="1080" w:type="dxa"/>
            <w:vAlign w:val="bottom"/>
          </w:tcPr>
          <w:p>
            <w:pPr>
              <w:spacing w:after="0"/>
              <w:rPr>
                <w:sz w:val="20"/>
                <w:szCs w:val="20"/>
                <w:color w:val="auto"/>
              </w:rPr>
            </w:pPr>
          </w:p>
        </w:tc>
        <w:tc>
          <w:tcPr>
            <w:tcW w:w="540" w:type="dxa"/>
            <w:vAlign w:val="bottom"/>
          </w:tcPr>
          <w:p>
            <w:pPr>
              <w:jc w:val="right"/>
              <w:ind w:right="38"/>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1,004</w:t>
            </w:r>
          </w:p>
        </w:tc>
      </w:tr>
      <w:tr>
        <w:trPr>
          <w:trHeight w:val="33"/>
        </w:trPr>
        <w:tc>
          <w:tcPr>
            <w:tcW w:w="4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51,584</w:t>
            </w: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(Loss) on</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Pension Benefit</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Accumulated Other</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Translation</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(Loss) on Derivative</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Obligation</w:t>
            </w:r>
          </w:p>
        </w:tc>
        <w:tc>
          <w:tcPr>
            <w:tcW w:w="160" w:type="dxa"/>
            <w:vAlign w:val="bottom"/>
          </w:tcPr>
          <w:p>
            <w:pPr>
              <w:spacing w:after="0"/>
              <w:rPr>
                <w:sz w:val="17"/>
                <w:szCs w:val="17"/>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Comprehensive</w:t>
            </w: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Instruments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Income (Loss)</w:t>
            </w: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(182,986)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(229,327)</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49,304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49,009</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2,575</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50,393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51,584</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September 30,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(177,743)</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(170,478)</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(18,538)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4,770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(13,768)</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(18,538)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2,563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(14,768)</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September 30,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(147,186)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(185,246)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values of our financial instruments: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 2018</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2017</w:t>
            </w:r>
          </w:p>
        </w:tc>
        <w:tc>
          <w:tcPr>
            <w:tcW w:w="10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479"/>
              <w:spacing w:after="0"/>
              <w:rPr>
                <w:sz w:val="20"/>
                <w:szCs w:val="20"/>
                <w:color w:val="auto"/>
              </w:rPr>
            </w:pPr>
            <w:r>
              <w:rPr>
                <w:rFonts w:ascii="Arial" w:cs="Arial" w:eastAsia="Arial" w:hAnsi="Arial"/>
                <w:sz w:val="16"/>
                <w:szCs w:val="16"/>
                <w:b w:val="1"/>
                <w:bCs w:val="1"/>
                <w:color w:val="auto"/>
              </w:rPr>
              <w:t>Carrying</w:t>
            </w:r>
          </w:p>
        </w:tc>
        <w:tc>
          <w:tcPr>
            <w:tcW w:w="760" w:type="dxa"/>
            <w:vAlign w:val="bottom"/>
          </w:tcPr>
          <w:p>
            <w:pPr>
              <w:spacing w:after="0"/>
              <w:rPr>
                <w:sz w:val="18"/>
                <w:szCs w:val="18"/>
                <w:color w:val="auto"/>
              </w:rPr>
            </w:pPr>
          </w:p>
        </w:tc>
        <w:tc>
          <w:tcPr>
            <w:tcW w:w="1200" w:type="dxa"/>
            <w:vAlign w:val="bottom"/>
            <w:gridSpan w:val="2"/>
          </w:tcPr>
          <w:p>
            <w:pPr>
              <w:jc w:val="center"/>
              <w:ind w:right="780"/>
              <w:spacing w:after="0"/>
              <w:rPr>
                <w:sz w:val="20"/>
                <w:szCs w:val="20"/>
                <w:color w:val="auto"/>
              </w:rPr>
            </w:pPr>
            <w:r>
              <w:rPr>
                <w:rFonts w:ascii="Arial" w:cs="Arial" w:eastAsia="Arial" w:hAnsi="Arial"/>
                <w:sz w:val="16"/>
                <w:szCs w:val="16"/>
                <w:b w:val="1"/>
                <w:bCs w:val="1"/>
                <w:color w:val="auto"/>
              </w:rPr>
              <w:t>Fair</w:t>
            </w:r>
          </w:p>
        </w:tc>
        <w:tc>
          <w:tcPr>
            <w:tcW w:w="460" w:type="dxa"/>
            <w:vAlign w:val="bottom"/>
          </w:tcPr>
          <w:p>
            <w:pPr>
              <w:spacing w:after="0"/>
              <w:rPr>
                <w:sz w:val="18"/>
                <w:szCs w:val="18"/>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Carrying</w:t>
            </w:r>
          </w:p>
        </w:tc>
        <w:tc>
          <w:tcPr>
            <w:tcW w:w="720" w:type="dxa"/>
            <w:vAlign w:val="bottom"/>
          </w:tcPr>
          <w:p>
            <w:pPr>
              <w:spacing w:after="0"/>
              <w:rPr>
                <w:sz w:val="18"/>
                <w:szCs w:val="18"/>
                <w:color w:val="auto"/>
              </w:rPr>
            </w:pPr>
          </w:p>
        </w:tc>
        <w:tc>
          <w:tcPr>
            <w:tcW w:w="1060" w:type="dxa"/>
            <w:vAlign w:val="bottom"/>
          </w:tcPr>
          <w:p>
            <w:pPr>
              <w:jc w:val="right"/>
              <w:ind w:right="619"/>
              <w:spacing w:after="0"/>
              <w:rPr>
                <w:sz w:val="20"/>
                <w:szCs w:val="20"/>
                <w:color w:val="auto"/>
              </w:rPr>
            </w:pPr>
            <w:r>
              <w:rPr>
                <w:rFonts w:ascii="Arial" w:cs="Arial" w:eastAsia="Arial" w:hAnsi="Arial"/>
                <w:sz w:val="16"/>
                <w:szCs w:val="16"/>
                <w:b w:val="1"/>
                <w:bCs w:val="1"/>
                <w:color w:val="auto"/>
              </w:rPr>
              <w:t>Fair</w:t>
            </w:r>
          </w:p>
        </w:tc>
      </w:t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519"/>
              <w:spacing w:after="0"/>
              <w:rPr>
                <w:sz w:val="20"/>
                <w:szCs w:val="20"/>
                <w:color w:val="auto"/>
              </w:rPr>
            </w:pPr>
            <w:r>
              <w:rPr>
                <w:rFonts w:ascii="Arial" w:cs="Arial" w:eastAsia="Arial" w:hAnsi="Arial"/>
                <w:sz w:val="16"/>
                <w:szCs w:val="16"/>
                <w:b w:val="1"/>
                <w:bCs w:val="1"/>
                <w:color w:val="auto"/>
              </w:rPr>
              <w:t>Amount</w:t>
            </w:r>
          </w:p>
        </w:tc>
        <w:tc>
          <w:tcPr>
            <w:tcW w:w="760" w:type="dxa"/>
            <w:vAlign w:val="bottom"/>
          </w:tcPr>
          <w:p>
            <w:pPr>
              <w:spacing w:after="0"/>
              <w:rPr>
                <w:sz w:val="18"/>
                <w:szCs w:val="18"/>
                <w:color w:val="auto"/>
              </w:rPr>
            </w:pPr>
          </w:p>
        </w:tc>
        <w:tc>
          <w:tcPr>
            <w:tcW w:w="1200" w:type="dxa"/>
            <w:vAlign w:val="bottom"/>
            <w:gridSpan w:val="2"/>
          </w:tcPr>
          <w:p>
            <w:pPr>
              <w:jc w:val="center"/>
              <w:ind w:right="780"/>
              <w:spacing w:after="0"/>
              <w:rPr>
                <w:sz w:val="20"/>
                <w:szCs w:val="20"/>
                <w:color w:val="auto"/>
              </w:rPr>
            </w:pPr>
            <w:r>
              <w:rPr>
                <w:rFonts w:ascii="Arial" w:cs="Arial" w:eastAsia="Arial" w:hAnsi="Arial"/>
                <w:sz w:val="16"/>
                <w:szCs w:val="16"/>
                <w:b w:val="1"/>
                <w:bCs w:val="1"/>
                <w:color w:val="auto"/>
                <w:w w:val="88"/>
              </w:rPr>
              <w:t>Value</w:t>
            </w:r>
          </w:p>
        </w:tc>
        <w:tc>
          <w:tcPr>
            <w:tcW w:w="460" w:type="dxa"/>
            <w:vAlign w:val="bottom"/>
          </w:tcPr>
          <w:p>
            <w:pPr>
              <w:spacing w:after="0"/>
              <w:rPr>
                <w:sz w:val="18"/>
                <w:szCs w:val="18"/>
                <w:color w:val="auto"/>
              </w:rPr>
            </w:pPr>
          </w:p>
        </w:tc>
        <w:tc>
          <w:tcPr>
            <w:tcW w:w="1240" w:type="dxa"/>
            <w:vAlign w:val="bottom"/>
          </w:tcPr>
          <w:p>
            <w:pPr>
              <w:jc w:val="right"/>
              <w:ind w:right="499"/>
              <w:spacing w:after="0"/>
              <w:rPr>
                <w:sz w:val="20"/>
                <w:szCs w:val="20"/>
                <w:color w:val="auto"/>
              </w:rPr>
            </w:pPr>
            <w:r>
              <w:rPr>
                <w:rFonts w:ascii="Arial" w:cs="Arial" w:eastAsia="Arial" w:hAnsi="Arial"/>
                <w:sz w:val="16"/>
                <w:szCs w:val="16"/>
                <w:b w:val="1"/>
                <w:bCs w:val="1"/>
                <w:color w:val="auto"/>
              </w:rPr>
              <w:t>Amount</w:t>
            </w:r>
          </w:p>
        </w:tc>
        <w:tc>
          <w:tcPr>
            <w:tcW w:w="720" w:type="dxa"/>
            <w:vAlign w:val="bottom"/>
          </w:tcPr>
          <w:p>
            <w:pPr>
              <w:spacing w:after="0"/>
              <w:rPr>
                <w:sz w:val="18"/>
                <w:szCs w:val="18"/>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109,044</w:t>
            </w:r>
          </w:p>
        </w:tc>
        <w:tc>
          <w:tcPr>
            <w:tcW w:w="7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109,044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176,274</w:t>
            </w:r>
          </w:p>
        </w:tc>
        <w:tc>
          <w:tcPr>
            <w:tcW w:w="7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176,274</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2,106</w:t>
            </w:r>
          </w:p>
        </w:tc>
        <w:tc>
          <w:tcPr>
            <w:tcW w:w="7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2,106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311,061</w:t>
            </w:r>
          </w:p>
        </w:tc>
        <w:tc>
          <w:tcPr>
            <w:tcW w:w="7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311,061</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w:t>
            </w: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32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3,784</w:t>
            </w:r>
          </w:p>
        </w:tc>
        <w:tc>
          <w:tcPr>
            <w:tcW w:w="7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3,784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2,370</w:t>
            </w:r>
          </w:p>
        </w:tc>
        <w:tc>
          <w:tcPr>
            <w:tcW w:w="7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2,370</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caps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1,335</w:t>
            </w: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r>
      <w:tr>
        <w:trPr>
          <w:trHeight w:val="237"/>
        </w:trPr>
        <w:tc>
          <w:tcPr>
            <w:tcW w:w="4240" w:type="dxa"/>
            <w:vAlign w:val="bottom"/>
          </w:tcPr>
          <w:p>
            <w:pPr>
              <w:ind w:left="360"/>
              <w:spacing w:after="0"/>
              <w:rPr>
                <w:sz w:val="20"/>
                <w:szCs w:val="20"/>
                <w:color w:val="auto"/>
              </w:rPr>
            </w:pPr>
            <w:r>
              <w:rPr>
                <w:rFonts w:ascii="Arial" w:cs="Arial" w:eastAsia="Arial" w:hAnsi="Arial"/>
                <w:sz w:val="16"/>
                <w:szCs w:val="16"/>
                <w:color w:val="auto"/>
              </w:rPr>
              <w:t>Cross currency swaps</w:t>
            </w:r>
          </w:p>
        </w:tc>
        <w:tc>
          <w:tcPr>
            <w:tcW w:w="32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2,449</w:t>
            </w:r>
          </w:p>
        </w:tc>
        <w:tc>
          <w:tcPr>
            <w:tcW w:w="7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2,449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4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4"/>
        </w:trPr>
        <w:tc>
          <w:tcPr>
            <w:tcW w:w="4240" w:type="dxa"/>
            <w:vAlign w:val="bottom"/>
          </w:tcPr>
          <w:p>
            <w:pPr>
              <w:ind w:left="620"/>
              <w:spacing w:after="0"/>
              <w:rPr>
                <w:sz w:val="20"/>
                <w:szCs w:val="20"/>
                <w:color w:val="auto"/>
              </w:rPr>
            </w:pPr>
            <w:r>
              <w:rPr>
                <w:rFonts w:ascii="Arial" w:cs="Arial" w:eastAsia="Arial" w:hAnsi="Arial"/>
                <w:sz w:val="16"/>
                <w:szCs w:val="16"/>
                <w:color w:val="auto"/>
              </w:rPr>
              <w:t>USD denominated term loan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641,875</w:t>
            </w:r>
          </w:p>
        </w:tc>
        <w:tc>
          <w:tcPr>
            <w:tcW w:w="7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649,686</w:t>
            </w:r>
          </w:p>
        </w:tc>
        <w:tc>
          <w:tcPr>
            <w:tcW w:w="12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194,063</w:t>
            </w:r>
          </w:p>
        </w:tc>
        <w:tc>
          <w:tcPr>
            <w:tcW w:w="7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192,295</w:t>
            </w: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10,000</w:t>
            </w: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125,414</w:t>
            </w: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124,100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Senior notes</w:t>
            </w:r>
          </w:p>
        </w:tc>
        <w:tc>
          <w:tcPr>
            <w:tcW w:w="32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400,000</w:t>
            </w:r>
          </w:p>
        </w:tc>
        <w:tc>
          <w:tcPr>
            <w:tcW w:w="7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383,000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300,000</w:t>
            </w:r>
          </w:p>
        </w:tc>
        <w:tc>
          <w:tcPr>
            <w:tcW w:w="7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301,125</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42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240</w:t>
            </w:r>
          </w:p>
        </w:tc>
        <w:tc>
          <w:tcPr>
            <w:tcW w:w="7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Cash, cash equivalents, and restricted cash: </w:t>
      </w:r>
      <w:r>
        <w:rPr>
          <w:rFonts w:ascii="Arial" w:cs="Arial" w:eastAsia="Arial" w:hAnsi="Arial"/>
          <w:sz w:val="17"/>
          <w:szCs w:val="17"/>
          <w:color w:val="auto"/>
        </w:rPr>
        <w:t>Due to the liquid nature of these instruments, the carrying amount approximates fair value (Level 1).</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Credit facility - term loan and multicurrency revolving line of credit: </w:t>
      </w:r>
      <w:r>
        <w:rPr>
          <w:rFonts w:ascii="Arial" w:cs="Arial" w:eastAsia="Arial" w:hAnsi="Arial"/>
          <w:sz w:val="18"/>
          <w:szCs w:val="18"/>
          <w:color w:val="auto"/>
        </w:rPr>
        <w:t>The term loan and revolver are not traded publicly. The fair values,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upon a hypothetical market participant, are calculated using a discounted cash flow model with Level 2 inputs, including estimates of incremental borrowing rates for debt with similar terms, maturities, and credit profiles.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Notes are not registered securities nor listed on any securities exchange, but may be actively traded by qualified institutional buyers.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is estimated using Level 1 inputs, as it is based on quoted prices for these instruments in active markets.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at September 30, 2018 and December 31, 2017 do not reflect subsequent changes in the economy, interest rates, tax rates, and other variables that may affect the determination of fair value.</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under the Itron brand worldwide and manage and report under four operating segments: Electricity, Gas, Water, and Networks. Our Water operating segment includes our global water, and heat and allocation solutions. Networks became a new operating segment with the acquisition of SSNI. This structure allows each operating segment to develop its own go-to-market strategy, prioritize its marketing and research and development requirements, and focus on its strategic investments. Our sales and marketing function is managed under each operating segment. Our research and development, service delivery, and manufacturing operations are managed on a worldwide basis to promote a global perspective in our operations and processes and yet still maintain alignment with the operating segments.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three GAAP measures of segment performance: revenue, gross profit (margin), and operating income (margin). Intersegment revenues are minimal. Certain operating expenses are allocated to our Electricity, Gas, and Water operating segments based upon internally established allocation methodologies. We will not allocate operating expenses to our Networks operating segment until it is fully integrated and managed centrally. Corporate operating expenses, interest income, interest expense, other income (expense), and income tax provision are not allocated to the operating segments, nor are included in the measure of operating segment profit or loss. In addition, we allocate only certain production assets and intangible assets to our operating segments. We do not manage the performance of the operating segments on a balance sheet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ectPr>
          <w:pgSz w:w="11900" w:h="16838" w:orient="portrait"/>
          <w:cols w:equalWidth="0" w:num="1">
            <w:col w:w="11420"/>
          </w:cols>
          <w:pgMar w:left="240" w:top="125" w:right="23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Electricity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Standard electricity (electromechanical and electronic) meters; smart network and data platform solutions that include one or several of the following: smart electricity meters; smart electricity communication modules; prepayment systems, including smart key, keypad, and smart card communication technologies; smart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80" w:space="640"/>
            <w:col w:w="10000"/>
          </w:cols>
          <w:pgMar w:left="240" w:top="125" w:right="2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Gas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Standard gas meters; smart network and data platform solutions that include one or several of the following: smart gas meters; smart gas communication modules; prepayment systems, including smart key, keypad, and smart card communication technologies; smart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Water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Standard water and heat meters; smart network and data platform solutions that include one or several of the following: smart water meters and communication modules; smart heat meters; smart systems including handheld, mobile, and fixed network collection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Networks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Smart network and data platform solutions for electricity, gas, water and smart cities including advanced metering, distribution automation, demand-side management, and street lights. Solutions include one or several of the following: communications modules, access points, relays and bridges; network operating software, grid management, security and grid analytics managed services and SaaS;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20" w:space="700"/>
            <w:col w:w="10000"/>
          </w:cols>
          <w:pgMar w:left="240" w:top="125" w:right="239" w:bottom="1440" w:gutter="0" w:footer="0" w:header="0"/>
          <w:type w:val="continuous"/>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operating segments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Product revenues</w:t>
            </w: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198,026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199,784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624,139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620,958</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148,660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124,556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408,300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372,555</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106,653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109,644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350,814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327,549</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Networks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72,377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195,487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525,716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433,984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1,578,740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1,321,062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Service revenues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38,816</w:t>
            </w:r>
          </w:p>
        </w:tc>
        <w:tc>
          <w:tcPr>
            <w:tcW w:w="12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40,358</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115,686</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108,267</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22,136</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5,931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5,181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17,601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15,956</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Networks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17,412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53,828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70,246</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52,763</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210,333</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146,359</w:t>
            </w:r>
          </w:p>
        </w:tc>
      </w:tr>
      <w:tr>
        <w:trPr>
          <w:trHeight w:val="73"/>
        </w:trPr>
        <w:tc>
          <w:tcPr>
            <w:tcW w:w="42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78"/>
        </w:trPr>
        <w:tc>
          <w:tcPr>
            <w:tcW w:w="4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236,842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240,142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739,825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729,225</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156,747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131,780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431,518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394,691</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112,584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114,825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368,415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343,505</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Networks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89,789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249,315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595,962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486,747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1,789,073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1,467,421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profit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74,549</w:t>
            </w:r>
          </w:p>
        </w:tc>
        <w:tc>
          <w:tcPr>
            <w:tcW w:w="12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76,492</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221,511</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222,387</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139,826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147,880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35,139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42,734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110,779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131,402</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Networks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31,597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81,413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197,097</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165,755</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553,529</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501,669</w:t>
            </w:r>
          </w:p>
        </w:tc>
      </w:tr>
      <w:tr>
        <w:trPr>
          <w:trHeight w:val="73"/>
        </w:trPr>
        <w:tc>
          <w:tcPr>
            <w:tcW w:w="42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78"/>
        </w:trPr>
        <w:tc>
          <w:tcPr>
            <w:tcW w:w="4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52,240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31,279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20,469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18,176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59,177</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40,702</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Networks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(15,624)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(119,353)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unallocated</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(14,592)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(33,087)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(45,438)</w:t>
            </w: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41,676</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38,226</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(78,209)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106,681</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income (expense)</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(16,174)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(45,193)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(16,559)</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25,502</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33,494</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(123,402)</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90,122</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no customer represents more than 10% of total company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buy a majority of our integrated circuit board assemblies from three suppliers. Management believes that other suppliers could provide similar products, but a change in suppliers, disputes with our suppliers, or unexpected constraints on the suppliers' production capacity could adversely affect operating results.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376,676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259,796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1,080,709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824,630</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Europe, Middle East, and Africa</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177,356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171,924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564,178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493,505</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41,930</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55,027</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144,186</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149,286</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595,962</w:t>
            </w:r>
          </w:p>
        </w:tc>
        <w:tc>
          <w:tcPr>
            <w:tcW w:w="12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486,747</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1,789,073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1,467,421</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The Other region includes our operations in Latin America and Asia Pacific.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operating segments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17,772</w:t>
            </w: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Gas</w:t>
            </w:r>
          </w:p>
        </w:tc>
        <w:tc>
          <w:tcPr>
            <w:tcW w:w="10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4,363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5,084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12,819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13,831</w:t>
            </w:r>
          </w:p>
        </w:tc>
      </w:tr>
      <w:tr>
        <w:trPr>
          <w:trHeight w:val="47"/>
        </w:trPr>
        <w:tc>
          <w:tcPr>
            <w:tcW w:w="4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11,706</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Networks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15,214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45,449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unallocated</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2,691</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30,449</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16,532</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92,428</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46,000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Subsequent Event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On October 1, 2018, we realigned our operational reporting segmentation from Electricity, Gas, Water, and Networks to Device Solutions, Networked Solutions, and Outcomes. We will report segment information under the new segment structure in our 2018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net changes in the contract assets and the contract liabilities balances during the period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2018</w:t>
            </w:r>
          </w:p>
        </w:tc>
      </w:tr>
      <w:tr>
        <w:trPr>
          <w:trHeight w:val="249"/>
        </w:trPr>
        <w:tc>
          <w:tcPr>
            <w:tcW w:w="97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Contract liabilities, less</w:t>
            </w:r>
          </w:p>
        </w:tc>
      </w:tr>
      <w:tr>
        <w:trPr>
          <w:trHeight w:val="210"/>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86"/>
              </w:rPr>
              <w:t>contract assets</w:t>
            </w:r>
          </w:p>
        </w:tc>
      </w:tr>
      <w:tr>
        <w:trPr>
          <w:trHeight w:val="33"/>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59,808</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Changes due to business combination</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36,936</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 recognized from beginning contract liability</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(31,688)</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Increases due to amounts collected or due</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200,428</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 recognized from current period increases</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(142,439)</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(847)</w:t>
            </w:r>
          </w:p>
        </w:tc>
      </w:tr>
      <w:tr>
        <w:trPr>
          <w:trHeight w:val="33"/>
        </w:trPr>
        <w:tc>
          <w:tcPr>
            <w:tcW w:w="9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September 30</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122,198</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2018, total contract assets were $11.3 million and total contract liabilities were $71.1 million. On September 30, 2018, total contract assets were $15.7 million and total contract liabilities were $137.9 million. The contract assets primarily relate to contracts that include a retention clause and allocations related to contracts with multiple performance obligations. The contract liabilities primarily relate to deferred revenue, such as extended warranty and maintenance cost. During the three months ended September 30, 2018, revenue recognized of $1.6 million was related to amounts that was included as a contract liability at January 1, 2018.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Total transaction price allocated to remaining performance obligations represent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transaction price allocated to remaining performance obligations related to contracts is approximately $1.1 billion for the next twelve months and approximately $706 million for periods longer than 12 months. The total remaining performance obligations is comprised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to obtain a contract and cost to fulfill a contract with a customer</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to obtain a contract and costs to fulfill a contract were capitalized and amortized using a systematic rational approached to align with the transfer of control of underlying contracts with customers. While amounts were capitalized, amounts are not material for disclosure.</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Note 15 and the Consolidated Statement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as presented.</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Impacts on financial statements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modified retrospective transition method, we are required to provide additional disclosures during 2018 of the amount by which each financial statement line item is affected in the current reporting period, as compared with the guidance that was in effect before the change, and an explanation of the reasons for significant changes, if any.</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effects of ASC 606 and Subtopic ASC 340-40 on our Consolidated Balance Sheet as of September 30, 2018 were total deferred revenue would have been higher by approximately $23 million, of which, approximately $11 million would have been classified as short term. The difference in deferred revenue reflects the timing of revenue recognition related to certain of our customer contracts. The net impact of all adjustments would have resulted in an increase to our accumulated deficit of approximately</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$18 million. The difference in accumulated deficit reflects the cumulative effect of adoption and the net effect thereof on the Consolidated Statement of Operations for the three and nine months ended September 30, 2018. The impact of the adoption was not material to the other line items.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ASC 606 and Subtopic ASC 340-40 was not material to the Consolidated Statements of Operations for the three and nine months ended September 30, 2018.</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Business Combinations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Silver Spring Networks, Inc.</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5, 2018, we completed the acquisition of SSNI by purchasing 100% of SSNI's outstanding stock. The acquisition was financed through incremental borrowings and cash on hand. Refer to Note 6 for further discussion of our debt.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SSNI provided smart network and data platform solutions for electricity, gas, water and smart cities including advanced metering, distribution automation, demand-side management, and street lights. Solutions include one or several of the following: communications modules, access points, relays and bridges; network operating software, grid management, security and grid analytics managed services and SaaS; installation; implementation; and professional services including consulting and analysis. Itron is managing the SSNI business as our Networks operating segment.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of SSNI was $809.2 million, which is net of $97.8 million of acquired cash and cash equivalents. Of the total consideration $802.5 million was paid in cash. The remaining $6.7 million relates to the fair value of pre-acquisition service for replacement awards of unvested SSNI options and restricted stock unit awards with an Itron equivalent award. We made a preliminary allocation of the purchase price to the assets acquired and liabilities assumed based on estimated fair value assessments during the first quarter. We are continuing to collect information to determine the fair values of certain intangible assets, working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capital, and deferred income taxes, all of which could affect goodwill. The fair values of these assets and liabilities are provisional until we are able to complete our assessment.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our preliminary allocation of purchase price as of January 5,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Fair Value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2"/>
              </w:rPr>
              <w:t>Weighted Average Useful Life</w:t>
            </w:r>
          </w:p>
        </w:tc>
      </w:tr>
      <w:tr>
        <w:trPr>
          <w:trHeight w:val="33"/>
        </w:trPr>
        <w:tc>
          <w:tcPr>
            <w:tcW w:w="67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640" w:type="dxa"/>
            <w:vAlign w:val="bottom"/>
            <w:tcBorders>
              <w:bottom w:val="single" w:sz="8" w:color="CCEEFF"/>
            </w:tcBorders>
            <w:shd w:val="clear" w:color="auto" w:fill="CCEEFF"/>
          </w:tcPr>
          <w:p>
            <w:pPr>
              <w:jc w:val="right"/>
              <w:ind w:right="14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86,444</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16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27,670</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long-term assets </w:t>
            </w:r>
            <w:r>
              <w:rPr>
                <w:rFonts w:ascii="Arial" w:cs="Arial" w:eastAsia="Arial" w:hAnsi="Arial"/>
                <w:sz w:val="21"/>
                <w:szCs w:val="21"/>
                <w:color w:val="auto"/>
                <w:vertAlign w:val="superscript"/>
              </w:rPr>
              <w:t>(1)</w:t>
            </w:r>
          </w:p>
        </w:tc>
        <w:tc>
          <w:tcPr>
            <w:tcW w:w="16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r>
      <w:tr>
        <w:trPr>
          <w:trHeight w:val="297"/>
        </w:trPr>
        <w:tc>
          <w:tcPr>
            <w:tcW w:w="6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Identifiable intangible assets</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80"/>
              <w:spacing w:after="0"/>
              <w:rPr>
                <w:sz w:val="20"/>
                <w:szCs w:val="20"/>
                <w:color w:val="auto"/>
              </w:rPr>
            </w:pPr>
            <w:r>
              <w:rPr>
                <w:rFonts w:ascii="Arial" w:cs="Arial" w:eastAsia="Arial" w:hAnsi="Arial"/>
                <w:sz w:val="16"/>
                <w:szCs w:val="16"/>
                <w:color w:val="auto"/>
              </w:rPr>
              <w:t>Core-developed technology</w:t>
            </w:r>
          </w:p>
        </w:tc>
        <w:tc>
          <w:tcPr>
            <w:tcW w:w="16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81,900</w:t>
            </w:r>
          </w:p>
        </w:tc>
        <w:tc>
          <w:tcPr>
            <w:tcW w:w="24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w:t>
            </w: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Customer contract and relationships</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134,000</w:t>
            </w:r>
          </w:p>
        </w:tc>
        <w:tc>
          <w:tcPr>
            <w:tcW w:w="24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10</w:t>
            </w:r>
          </w:p>
        </w:tc>
      </w:tr>
      <w:tr>
        <w:trPr>
          <w:trHeight w:val="237"/>
        </w:trPr>
        <w:tc>
          <w:tcPr>
            <w:tcW w:w="6740" w:type="dxa"/>
            <w:vAlign w:val="bottom"/>
          </w:tcPr>
          <w:p>
            <w:pPr>
              <w:ind w:left="80"/>
              <w:spacing w:after="0"/>
              <w:rPr>
                <w:sz w:val="20"/>
                <w:szCs w:val="20"/>
                <w:color w:val="auto"/>
              </w:rPr>
            </w:pPr>
            <w:r>
              <w:rPr>
                <w:rFonts w:ascii="Arial" w:cs="Arial" w:eastAsia="Arial" w:hAnsi="Arial"/>
                <w:sz w:val="16"/>
                <w:szCs w:val="16"/>
                <w:color w:val="auto"/>
              </w:rPr>
              <w:t>Trademark and trade names</w:t>
            </w:r>
          </w:p>
        </w:tc>
        <w:tc>
          <w:tcPr>
            <w:tcW w:w="16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10,800</w:t>
            </w:r>
          </w:p>
        </w:tc>
        <w:tc>
          <w:tcPr>
            <w:tcW w:w="24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w:t>
            </w:r>
          </w:p>
        </w:tc>
      </w:tr>
      <w:tr>
        <w:trPr>
          <w:trHeight w:val="33"/>
        </w:trPr>
        <w:tc>
          <w:tcPr>
            <w:tcW w:w="67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identified intangible assets subject to amortization</w:t>
            </w:r>
          </w:p>
        </w:tc>
        <w:tc>
          <w:tcPr>
            <w:tcW w:w="16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226,700</w:t>
            </w:r>
          </w:p>
        </w:tc>
        <w:tc>
          <w:tcPr>
            <w:tcW w:w="24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8</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In-process research and development (IPR&amp;D)</w:t>
            </w:r>
          </w:p>
        </w:tc>
        <w:tc>
          <w:tcPr>
            <w:tcW w:w="16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14,400</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identified intangible assets</w:t>
            </w:r>
          </w:p>
        </w:tc>
        <w:tc>
          <w:tcPr>
            <w:tcW w:w="16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241,100</w:t>
            </w:r>
          </w:p>
        </w:tc>
        <w:tc>
          <w:tcPr>
            <w:tcW w:w="1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r>
      <w:tr>
        <w:trPr>
          <w:trHeight w:val="297"/>
        </w:trPr>
        <w:tc>
          <w:tcPr>
            <w:tcW w:w="6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570,790</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6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(90,034)</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contract and relationships</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(23,900)</w:t>
            </w:r>
          </w:p>
        </w:tc>
        <w:tc>
          <w:tcPr>
            <w:tcW w:w="24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16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(2,565)</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assets acquired</w:t>
            </w:r>
          </w:p>
        </w:tc>
        <w:tc>
          <w:tcPr>
            <w:tcW w:w="1640" w:type="dxa"/>
            <w:vAlign w:val="bottom"/>
            <w:tcBorders>
              <w:bottom w:val="single" w:sz="8" w:color="auto"/>
            </w:tcBorders>
            <w:shd w:val="clear" w:color="auto" w:fill="CCEEFF"/>
          </w:tcPr>
          <w:p>
            <w:pPr>
              <w:jc w:val="right"/>
              <w:ind w:right="14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809,215</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20" w:lineRule="exact"/>
        <w:rPr>
          <w:sz w:val="20"/>
          <w:szCs w:val="20"/>
          <w:color w:val="auto"/>
        </w:rPr>
      </w:pPr>
    </w:p>
    <w:p>
      <w:pPr>
        <w:ind w:left="340" w:right="20" w:hanging="332"/>
        <w:spacing w:after="0" w:line="215"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Reflects adjustments to deferred tax assets and liabilities, net as a result of the acquisition, and is classified as part of our overall consolidated deferred tax asset. This unfavorable deferred tax asset more than offsets the fair value of other noncurrent assets acquired.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for the identified trademarks and core-developed technology intangible assets were estimated using the relief from royalty method, which values the assets by estimating the savings achieved by ownership of trademark or technology when compared with the cost of licensing it from an independent owner.</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customer contracts and relationship were estimated using the income approach. Under the income approach, the fair value reflects the present value of the projected cash flows that are expected to be generated. The fair value of IPR&amp;D was valued utilizing the replacement cost method, which measures the value of an asset based on the cost to replace the existing asset. IPR&amp;D will be amortized using the straight-line method after the technology is fully developed and is considered a product offering of SSNI. Incremental costs to be incurred for these projects will be recognized as research and development expense as incurred within the Consolidated Statements of Operations.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Core-developed technology represents the fair values of SSNI products that have reached technological feasibility and were part of SSNI's product offerings at the date of the acquisition. Customer contracts and relationships represent the fair value of the relationships developed with its customers, including the backlog. The core-developed technology, trademarks, and customer contracts and relationships intangible assets valued using the income approach will be amortized using the estimated discounted cash flows assumed in the valuation models.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of $570.8 million arising from the acquisition consists largely of the synergies expected from combining the operations of Itron and SSNI, as well as certain intangible assets that do not qualify for separate recognition. All of the goodwill balance was assigned to the Networks reporting unit and operating segment. We will not be able to deduct any of the goodwill balance for income tax purposes.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part of the business combination, we have incurred $15.6 million of acquisition related expenses for the nine months ended September 30, 2018, which includes such activities as success fees, certain consulting and advisory costs, and incremental legal and accounting costs. In addition, for the three and nine months ended September 30, 2018, we recognized $9.4 million and $68.3 million respectively, of integration costs, which are expenses related to integrating SSNI into Itron, and includes expenses such as accounting and process integration and the related consulting fees, severance, site closure costs, system integration,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travel associated with knowledge transfers as we consolidate redundant positions. All acquisition and integration related expenses are included within general and administrative expenses in the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revenues and net loss from SSNI operations that are included in our 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Pr>
          <w:p>
            <w:pPr>
              <w:spacing w:after="0"/>
              <w:rPr>
                <w:sz w:val="17"/>
                <w:szCs w:val="17"/>
                <w:color w:val="auto"/>
              </w:rPr>
            </w:pPr>
          </w:p>
        </w:tc>
        <w:tc>
          <w:tcPr>
            <w:tcW w:w="1560" w:type="dxa"/>
            <w:vAlign w:val="bottom"/>
          </w:tcPr>
          <w:p>
            <w:pPr>
              <w:jc w:val="right"/>
              <w:ind w:right="159"/>
              <w:spacing w:after="0"/>
              <w:rPr>
                <w:sz w:val="20"/>
                <w:szCs w:val="20"/>
                <w:color w:val="auto"/>
              </w:rPr>
            </w:pPr>
            <w:r>
              <w:rPr>
                <w:rFonts w:ascii="Arial" w:cs="Arial" w:eastAsia="Arial" w:hAnsi="Arial"/>
                <w:sz w:val="16"/>
                <w:szCs w:val="16"/>
                <w:b w:val="1"/>
                <w:bCs w:val="1"/>
                <w:color w:val="auto"/>
              </w:rPr>
              <w:t>January 5, 2018 -</w:t>
            </w:r>
          </w:p>
        </w:tc>
      </w:tr>
      <w:tr>
        <w:trPr>
          <w:trHeight w:val="210"/>
        </w:trPr>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September 30, 2018</w:t>
            </w:r>
          </w:p>
        </w:tc>
        <w:tc>
          <w:tcPr>
            <w:tcW w:w="200" w:type="dxa"/>
            <w:vAlign w:val="bottom"/>
          </w:tcPr>
          <w:p>
            <w:pPr>
              <w:spacing w:after="0"/>
              <w:rPr>
                <w:sz w:val="18"/>
                <w:szCs w:val="18"/>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September 30, 2018</w:t>
            </w:r>
          </w:p>
        </w:tc>
      </w:tr>
      <w:tr>
        <w:trPr>
          <w:trHeight w:val="33"/>
        </w:trPr>
        <w:tc>
          <w:tcPr>
            <w:tcW w:w="7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3"/>
          </w:tcPr>
          <w:p>
            <w:pPr>
              <w:jc w:val="right"/>
              <w:ind w:right="117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89,789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249,315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(10,738)</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(54,411)</w:t>
            </w:r>
          </w:p>
        </w:tc>
      </w:tr>
    </w:tbl>
    <w:p>
      <w:pPr>
        <w:spacing w:after="0" w:line="200" w:lineRule="exact"/>
        <w:rPr>
          <w:sz w:val="20"/>
          <w:szCs w:val="20"/>
          <w:color w:val="auto"/>
        </w:rPr>
      </w:pPr>
    </w:p>
    <w:p>
      <w:pPr>
        <w:spacing w:after="0" w:line="2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supplemental pro forma results are based on the individual historical results of Itron and SSNI, with adjustments to give effect to the combined operations as if the acquisition had been consummated on January 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Pr>
          <w:p>
            <w:pPr>
              <w:spacing w:after="0"/>
              <w:rPr>
                <w:sz w:val="18"/>
                <w:szCs w:val="18"/>
                <w:color w:val="auto"/>
              </w:rPr>
            </w:pPr>
          </w:p>
        </w:tc>
        <w:tc>
          <w:tcPr>
            <w:tcW w:w="30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 in thousands)</w:t>
            </w: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595,962</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534,315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1,789,073</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1,826,824</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19,882</w:t>
            </w:r>
          </w:p>
        </w:tc>
        <w:tc>
          <w:tcPr>
            <w:tcW w:w="5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5,462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(108,427)</w:t>
            </w: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(1,532)</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nonrecurring adjustments reflected in the proforma schedule above are considered material and include the following:</w:t>
      </w:r>
    </w:p>
    <w:p>
      <w:pPr>
        <w:spacing w:after="0" w:line="6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Elimination of transaction costs incurred by SSNI and Itron prior to the acquisition completion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Reclassification of certain expenses incurred after the acquisition to the appropriate periods assuming the acquisition closed on January 1, 2017</w:t>
      </w:r>
    </w:p>
    <w:p>
      <w:pPr>
        <w:spacing w:after="0" w:line="24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supplemental pro forma results are intended for information purposes only and do not purport to represent what the combined companies' results of operations would actually have been had the transaction in fact occurred at an earlier date or project the results for any future date 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2017, filed with the Securities and Exchange Commission (SEC) on February 28,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222222"/>
        </w:rPr>
        <w:t xml:space="preserve">This document contains forward-looking statements concerning our operations, financial performance, revenues, earnings growth, liquidity, restructuring,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Although we believe that these assumptions and estimates are reasonable, any of these assumptions and estimates could prove to be inaccurate and the forward looking statements based on them could be incorrect and cause our actual results to vary materially from expected results. </w:t>
      </w:r>
      <w:r>
        <w:rPr>
          <w:rFonts w:ascii="Arial" w:cs="Arial" w:eastAsia="Arial" w:hAnsi="Arial"/>
          <w:sz w:val="17"/>
          <w:szCs w:val="17"/>
          <w:i w:val="1"/>
          <w:iCs w:val="1"/>
          <w:color w:val="000000"/>
        </w:rPr>
        <w:t>For</w:t>
      </w:r>
      <w:r>
        <w:rPr>
          <w:rFonts w:ascii="Arial" w:cs="Arial" w:eastAsia="Arial" w:hAnsi="Arial"/>
          <w:sz w:val="17"/>
          <w:szCs w:val="17"/>
          <w:i w:val="1"/>
          <w:iCs w:val="1"/>
          <w:color w:val="222222"/>
        </w:rPr>
        <w:t xml:space="preserve"> </w:t>
      </w:r>
      <w:r>
        <w:rPr>
          <w:rFonts w:ascii="Arial" w:cs="Arial" w:eastAsia="Arial" w:hAnsi="Arial"/>
          <w:sz w:val="17"/>
          <w:szCs w:val="17"/>
          <w:i w:val="1"/>
          <w:iCs w:val="1"/>
          <w:color w:val="000000"/>
        </w:rPr>
        <w:t>a more complete description of these and other risks, refer to Item 1A: "Risk Factors" included in our Annual Report on Form 10-K for the fiscal year ended December 31, 2017, which was filed with the SEC on February 28, 2018 and our other reports on file with the SEC. We do not undertake any obligation to update or revise any forward-looking statement in this document.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technology company, offering end-to-end solutions to enhance productivity and efficiency, primarily focused on utilities and municipalities around the globe. Our solutions generally include robust industrial grade networks, smart meters, meter data management software, and knowledge application solutions, which bring additional value to the customer. Our professional services help our customers project-manage, install, implement, operate, and maintain their systems.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Through September 30, 2018, we operated under the Itron brand worldwide and managed and reported under four operating segments: Electricity, Gas, Water, and Networks. Our Water operating segment included our global water, and heat and allocation solutions. Networks became a new operating segment with the acquisition of Silver Springs Networks, Inc. (SSNI) in January 2018. Our sales and marketing function was managed under each operating segment. Our research and development, service delivery, and manufacturing operations were managed on a worldwide basis to promote a global perspective in our operations and processes and yet still maintains alignment with the operating segments.</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reported in this quarterly report under the Electricity, Gas, Water, and Networks operating segments, we had three measures of segment performance: revenues, gross profit (margin), and operating income (margin). Intersegment revenues were minimal. Certain operating expenses were allocated to the operating segments based upon internally established allocation methodologies. Interest income, interest expense, other income (expense), income tax provision, and certain corporate operating expenses were neither allocated to the segments nor included in the measures of segment performance.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October 1, 2018, we reorganized our operational reporting segmentation from Electricity, Gas, Water, and Networks to Device Solutions, Networked Solutions, and Outcomes. As part of our reorganization, we are actively integrating recent acquisitions, driving supply chain transformation projects, making investment decisions, and implementing an organizational structure that aligns with these new segments. In conjunction with the rollout of our new operating segments, we have unified our go-to-market strategy with a single, global, sales force that will sell the full portfolio of Itron solutions, products and services. We will continue to manage our product development, service delivery, and manufacturing operations on a worldwide basis to promote global, integrated oversight of our operations and to ensure consistency and interoperability between our operating segments.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this reorganization, we will continue to operate under the Itron brand worldwide and will manage and report under the three operating segments: Device Solutions, Networked Solutions, and Outcomes. The product and operating definitions of the three segments are as follows: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Device Solutions: </w:t>
      </w:r>
      <w:r>
        <w:rPr>
          <w:rFonts w:ascii="Arial" w:cs="Arial" w:eastAsia="Arial" w:hAnsi="Arial"/>
          <w:sz w:val="18"/>
          <w:szCs w:val="18"/>
          <w:color w:val="auto"/>
        </w:rPr>
        <w:t>primarily includes hardware products used for measurement, control, or sensing that do not have communications capability embedded for</w:t>
      </w:r>
      <w:r>
        <w:rPr>
          <w:rFonts w:ascii="Arial" w:cs="Arial" w:eastAsia="Arial" w:hAnsi="Arial"/>
          <w:sz w:val="18"/>
          <w:szCs w:val="18"/>
          <w:i w:val="1"/>
          <w:iCs w:val="1"/>
          <w:color w:val="auto"/>
        </w:rPr>
        <w:t xml:space="preserve"> </w:t>
      </w:r>
      <w:r>
        <w:rPr>
          <w:rFonts w:ascii="Arial" w:cs="Arial" w:eastAsia="Arial" w:hAnsi="Arial"/>
          <w:sz w:val="18"/>
          <w:szCs w:val="18"/>
          <w:color w:val="auto"/>
        </w:rPr>
        <w:t>use with our broader Itron systems, i.e., products where Itron is not offering the complete “end-to-end” solution, but only the hardware elements. Examples of the Device Solutions portfolio include basic meters that are shipped without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communications, such as our standard gas meters, electricity IEC meters, and water meters, in addition to our heat and allocation products; communicating meters that are not a part of an Itron solution such as the Linky meter; and the implementation and installation of non-communicating devices, such as gas regulators.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Networked Solutions: </w:t>
      </w:r>
      <w:r>
        <w:rPr>
          <w:rFonts w:ascii="Arial" w:cs="Arial" w:eastAsia="Arial" w:hAnsi="Arial"/>
          <w:sz w:val="18"/>
          <w:szCs w:val="18"/>
          <w:color w:val="auto"/>
        </w:rPr>
        <w:t>primarily includes a combination of communicating devices (smart meters, modules, endpoints and sensors), network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associated application software designed and sold as a complete solution for acquiring and transporting robust application-specific data. Networked Solutions will combine, into one operating segment, the majority of the assets from the recently acquired Silver Spring Networks organization with our legacy Itron networking products and software, and the implementation and installation of communicating devices into one segment. This will include: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industrial Internet of Things (IIoT) solutions supported by this segment include automated meter reading (AMR), advanced metering infrastructure (AMI), smart grid and distribution automation (DA), and smart street lighting and smart city solutions.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Outcomes: </w:t>
      </w:r>
      <w:r>
        <w:rPr>
          <w:rFonts w:ascii="Arial" w:cs="Arial" w:eastAsia="Arial" w:hAnsi="Arial"/>
          <w:sz w:val="18"/>
          <w:szCs w:val="18"/>
          <w:color w:val="auto"/>
        </w:rPr>
        <w:t>represents our value-added, enhanced software and services operating segment in which we manage, organize, analyze, and interpret data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decision making, maximize operational profitability, drive resource efficiency, and deliver results for consumers, utilities and smart cities. Outcomes places an emphasis on delivering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of these offerings include our meter data management and analytics offerings, our managed service solutions including network-as-a-service and platform-as-a-service, forecasting software and services, and any consulting-based engagement. Within the Outcomes segment we also identify new business models, including performance-based contracting, to drive broader portfolio offerings across utilities and cities.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will begin reporting under the new segment structure in our 2018 annual report on Form 10-K.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Non-GAAP Measures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includes financial information prepared in accordance with accounting principles generally accepted in the United States (GAAP), as well as certain adjusted or non-GAAP financial measures such as constant currency, free cash flow, non-GAAP operating expenses, non-GAAP operating income, non-GAAP net income, adjusted EBITDA, and non-GAAP diluted earnings per share (EPS). We believe that non-GAAP financial measures, when reviewed in conjunction with GAAP financial measures, can provide more information to assist investors in evaluating current period performance and in assessing future performance. For these reasons, our internal management reporting also includes non-GAAP measures. We strongly encourage investors and shareholders to review our financial statements and publicly-filed reports in their entirety and not to rely on any single financial measure. Non-GAAP measures as presented herein may not be comparable to similarly titled measures used by other companies.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50-53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 and Unit Shipments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three</w:t>
      </w:r>
      <w:r>
        <w:rPr>
          <w:rFonts w:ascii="Arial" w:cs="Arial" w:eastAsia="Arial" w:hAnsi="Arial"/>
          <w:sz w:val="18"/>
          <w:szCs w:val="18"/>
          <w:i w:val="1"/>
          <w:iCs w:val="1"/>
          <w:color w:val="222222"/>
        </w:rPr>
        <w:t xml:space="preserve"> months ended </w:t>
      </w:r>
      <w:r>
        <w:rPr>
          <w:rFonts w:ascii="Arial" w:cs="Arial" w:eastAsia="Arial" w:hAnsi="Arial"/>
          <w:sz w:val="18"/>
          <w:szCs w:val="18"/>
          <w:i w:val="1"/>
          <w:iCs w:val="1"/>
          <w:color w:val="000000"/>
        </w:rPr>
        <w:t>September 30, 2018</w:t>
      </w:r>
    </w:p>
    <w:p>
      <w:pPr>
        <w:spacing w:after="0" w:line="63" w:lineRule="exact"/>
        <w:rPr>
          <w:sz w:val="20"/>
          <w:szCs w:val="20"/>
          <w:color w:val="auto"/>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Revenues were $596.0 million compared with $486.7 million in the same period last year, an increase of $109.2 million, or 22%.</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 xml:space="preserve">Gross margin was </w:t>
      </w:r>
      <w:r>
        <w:rPr>
          <w:rFonts w:ascii="Arial" w:cs="Arial" w:eastAsia="Arial" w:hAnsi="Arial"/>
          <w:sz w:val="18"/>
          <w:szCs w:val="18"/>
          <w:color w:val="000000"/>
        </w:rPr>
        <w:t>33.1%</w:t>
      </w:r>
      <w:r>
        <w:rPr>
          <w:rFonts w:ascii="Arial" w:cs="Arial" w:eastAsia="Arial" w:hAnsi="Arial"/>
          <w:sz w:val="18"/>
          <w:szCs w:val="18"/>
          <w:color w:val="222222"/>
        </w:rPr>
        <w:t xml:space="preserve"> compared with </w:t>
      </w:r>
      <w:r>
        <w:rPr>
          <w:rFonts w:ascii="Arial" w:cs="Arial" w:eastAsia="Arial" w:hAnsi="Arial"/>
          <w:sz w:val="18"/>
          <w:szCs w:val="18"/>
          <w:color w:val="000000"/>
        </w:rPr>
        <w:t>34.1%</w:t>
      </w:r>
      <w:r>
        <w:rPr>
          <w:rFonts w:ascii="Arial" w:cs="Arial" w:eastAsia="Arial" w:hAnsi="Arial"/>
          <w:sz w:val="18"/>
          <w:szCs w:val="18"/>
          <w:color w:val="222222"/>
        </w:rPr>
        <w:t xml:space="preserve"> in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Operating expenses increased $27.9 million, or 22%, compared with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Net income attributable to Itron, Inc. was $19.9 million, compared with $25.6 million in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GAAP diluted EPS decreased by $0.15 to $0.50 as compared with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Non-GAAP net income attributable to Itron, Inc., was $45.0 million compared with $30.6 million in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Non-GAAP diluted EPS was $1.13, an increase of $0.36 compared with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Adjusted EBITDA increased $22.5 million, or 39%, compared with the same period last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nine</w:t>
      </w:r>
      <w:r>
        <w:rPr>
          <w:rFonts w:ascii="Arial" w:cs="Arial" w:eastAsia="Arial" w:hAnsi="Arial"/>
          <w:sz w:val="18"/>
          <w:szCs w:val="18"/>
          <w:i w:val="1"/>
          <w:iCs w:val="1"/>
          <w:color w:val="222222"/>
        </w:rPr>
        <w:t xml:space="preserve"> months ended </w:t>
      </w:r>
      <w:r>
        <w:rPr>
          <w:rFonts w:ascii="Arial" w:cs="Arial" w:eastAsia="Arial" w:hAnsi="Arial"/>
          <w:sz w:val="18"/>
          <w:szCs w:val="18"/>
          <w:i w:val="1"/>
          <w:iCs w:val="1"/>
          <w:color w:val="000000"/>
        </w:rPr>
        <w:t>September 30, 2018</w:t>
      </w:r>
    </w:p>
    <w:p>
      <w:pPr>
        <w:spacing w:after="0" w:line="63" w:lineRule="exact"/>
        <w:rPr>
          <w:sz w:val="20"/>
          <w:szCs w:val="20"/>
          <w:color w:val="auto"/>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Revenues were $1.8 billion compared with $1.5 billion in the same period last year, an increase of $321.7 million, or 22%.</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Gross margin was 30.9% compared with 34.2% in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Operating expenses were $236.8 million higher compared with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auto"/>
        </w:rPr>
        <w:t>Net loss attributable to Itron, Inc. was $123.1 million compared with net income of $55.5 million for the same period in 2017.</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increased $13.2 million, or 8% compared with the same period in 2017.</w:t>
      </w:r>
    </w:p>
    <w:p>
      <w:pPr>
        <w:spacing w:after="0" w:line="63" w:lineRule="exact"/>
        <w:rPr>
          <w:rFonts w:ascii="Arial" w:cs="Arial" w:eastAsia="Arial" w:hAnsi="Arial"/>
          <w:sz w:val="18"/>
          <w:szCs w:val="18"/>
          <w:color w:val="auto"/>
        </w:rPr>
      </w:pPr>
    </w:p>
    <w:p>
      <w:pPr>
        <w:ind w:left="260" w:hanging="171"/>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222222"/>
        </w:rPr>
        <w:t xml:space="preserve">GAAP diluted loss per share </w:t>
      </w:r>
      <w:r>
        <w:rPr>
          <w:rFonts w:ascii="Arial" w:cs="Arial" w:eastAsia="Arial" w:hAnsi="Arial"/>
          <w:sz w:val="18"/>
          <w:szCs w:val="18"/>
          <w:color w:val="000000"/>
        </w:rPr>
        <w:t>was $3.14, compared with diluted EPS of $1.41 in 2017.</w:t>
      </w:r>
    </w:p>
    <w:p>
      <w:pPr>
        <w:spacing w:after="0" w:line="63" w:lineRule="exact"/>
        <w:rPr>
          <w:rFonts w:ascii="Arial" w:cs="Arial" w:eastAsia="Arial" w:hAnsi="Arial"/>
          <w:sz w:val="18"/>
          <w:szCs w:val="18"/>
          <w:color w:val="auto"/>
        </w:rPr>
      </w:pPr>
    </w:p>
    <w:p>
      <w:pPr>
        <w:ind w:left="260" w:hanging="171"/>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222222"/>
        </w:rPr>
        <w:t>Non-GAAP diluted EPS was $1.77, compared with $2.05 in the same period last year.</w:t>
      </w:r>
    </w:p>
    <w:p>
      <w:pPr>
        <w:spacing w:after="0" w:line="63" w:lineRule="exact"/>
        <w:rPr>
          <w:rFonts w:ascii="Arial" w:cs="Arial" w:eastAsia="Arial" w:hAnsi="Arial"/>
          <w:sz w:val="18"/>
          <w:szCs w:val="18"/>
          <w:color w:val="auto"/>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 xml:space="preserve">Total backlog was $3.1 billion and twelve-month backlog was $1.4 billion at </w:t>
      </w:r>
      <w:r>
        <w:rPr>
          <w:rFonts w:ascii="Arial" w:cs="Arial" w:eastAsia="Arial" w:hAnsi="Arial"/>
          <w:sz w:val="18"/>
          <w:szCs w:val="18"/>
          <w:color w:val="000000"/>
        </w:rPr>
        <w:t>September 30, 2018</w:t>
      </w:r>
      <w:r>
        <w:rPr>
          <w:rFonts w:ascii="Arial" w:cs="Arial" w:eastAsia="Arial" w:hAnsi="Arial"/>
          <w:sz w:val="18"/>
          <w:szCs w:val="18"/>
          <w:color w:val="222222"/>
        </w:rPr>
        <w: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5, 2018, we completed our acquisition of SSNI by purchasing all outstanding shares for $16.25 per share, resulting in a total purchase price, net of cash, of $809.2 million. SSNI provided standards-based wireless connectivity platforms and solutions to utilities and cities. The acquisition continues our focus on expanding management services and software-as-a-service solutions, which allows us to provide more value to our customers by optimizing devices, network technologies, outcomes and analytics. Upon acquisition, SSNI changed its name to Itron Networked Solutions, Inc., and will operate separately as our Networks operating segment.</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facilitate the funding of the acquisition of SSNI, we entered into a $1.2 billion senior secured credit facility (the 2018 credit facility), which amended and restated our existing senior secured credit facility. The 2018 credit facility consists of a $650 million U.S. dollar term loan and a multicurrency revolving line of credit with a principal amount of up to $500 million. We also issued $300 million of 5% senior notes on December 22, 2017 to fund this acquisition. On January 19, 2018, we issued an additional $100 million of 5% senior notes. For additional information regarding our 2018 credit facility and senior notes, refer to Item 1: "Financial Statements (Unaudited), Note 6: Debt."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implementing an integration plan associated with this acquisition. For the three and nine months ended September 30, 2018 we recognized $9.4 million and $83.9 million of acquisition and integration related expenses. We anticipate annualized savings of $50 million at the conclusion of the integration plan, which we expect to substantially complete by the end of 2020. For further discussion of the acquisition, refer to Item 1: "Financial Statements (Unaudited), Note 17: Business Combinations."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Restructuring Projects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22, 2018, our Board of Directors approved a restructuring plan (2018 Projects) to continue our efforts to optimize our global supply chain and manufacturing operations, research and development, and sales and marketing organizations. We expect to substantially complete the plan by the end of 2020. We recognized restructuring expense of $83.1 million related to the 2018 Projects during the nine months ended September 30, 2018, and we anticipate an additional $18.1 million to be recognized in future periods. At the conclusion of the 2018 Projects, we anticipate annualized savings of $45 million to $50 million. For further discussion of restructuring activities, refer to Item 1: "Financial Statements (Unaudited), Note 12: Restructuring."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22222"/>
        </w:rPr>
        <w:t>The following table summarizes the changes in GAAP and Non-GAAP financial measures: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gridSpan w:val="6"/>
          </w:tcPr>
          <w:p>
            <w:pPr>
              <w:ind w:left="46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780" w:type="dxa"/>
            <w:vAlign w:val="bottom"/>
            <w:gridSpan w:val="5"/>
          </w:tcPr>
          <w:p>
            <w:pPr>
              <w:ind w:left="540"/>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440" w:type="dxa"/>
            <w:vAlign w:val="bottom"/>
            <w:gridSpan w:val="2"/>
          </w:tcPr>
          <w:p>
            <w:pPr>
              <w:ind w:left="360"/>
              <w:spacing w:after="0"/>
              <w:rPr>
                <w:sz w:val="20"/>
                <w:szCs w:val="20"/>
                <w:color w:val="auto"/>
              </w:rPr>
            </w:pPr>
            <w:r>
              <w:rPr>
                <w:rFonts w:ascii="Arial" w:cs="Arial" w:eastAsia="Arial" w:hAnsi="Arial"/>
                <w:sz w:val="16"/>
                <w:szCs w:val="16"/>
                <w:b w:val="1"/>
                <w:bCs w:val="1"/>
                <w:color w:val="auto"/>
              </w:rPr>
              <w:t>% Change</w:t>
            </w:r>
          </w:p>
        </w:tc>
        <w:tc>
          <w:tcPr>
            <w:tcW w:w="30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340" w:type="dxa"/>
            <w:vAlign w:val="bottom"/>
          </w:tcPr>
          <w:p>
            <w:pPr>
              <w:jc w:val="center"/>
              <w:ind w:left="39"/>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60" w:type="dxa"/>
            <w:vAlign w:val="bottom"/>
            <w:gridSpan w:val="7"/>
          </w:tcPr>
          <w:p>
            <w:pPr>
              <w:jc w:val="right"/>
              <w:ind w:right="39"/>
              <w:spacing w:after="0"/>
              <w:rPr>
                <w:sz w:val="20"/>
                <w:szCs w:val="20"/>
                <w:color w:val="auto"/>
              </w:rPr>
            </w:pPr>
            <w:r>
              <w:rPr>
                <w:rFonts w:ascii="Arial" w:cs="Arial" w:eastAsia="Arial" w:hAnsi="Arial"/>
                <w:sz w:val="16"/>
                <w:szCs w:val="16"/>
                <w:b w:val="1"/>
                <w:bCs w:val="1"/>
                <w:color w:val="auto"/>
              </w:rPr>
              <w:t>(in thousands, except margin and per share data)</w:t>
            </w: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3220" w:type="dxa"/>
            <w:vAlign w:val="bottom"/>
            <w:gridSpan w:val="3"/>
          </w:tcPr>
          <w:p>
            <w:pPr>
              <w:ind w:left="40"/>
              <w:spacing w:after="0"/>
              <w:rPr>
                <w:sz w:val="20"/>
                <w:szCs w:val="20"/>
                <w:color w:val="auto"/>
              </w:rPr>
            </w:pPr>
            <w:r>
              <w:rPr>
                <w:rFonts w:ascii="Arial" w:cs="Arial" w:eastAsia="Arial" w:hAnsi="Arial"/>
                <w:sz w:val="16"/>
                <w:szCs w:val="16"/>
                <w:b w:val="1"/>
                <w:bCs w:val="1"/>
                <w:color w:val="auto"/>
              </w:rPr>
              <w:t>GAAP</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50"/>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180" w:type="dxa"/>
            <w:vAlign w:val="bottom"/>
            <w:gridSpan w:val="2"/>
          </w:tcPr>
          <w:p>
            <w:pPr>
              <w:ind w:left="240"/>
              <w:spacing w:after="0"/>
              <w:rPr>
                <w:sz w:val="20"/>
                <w:szCs w:val="20"/>
                <w:color w:val="auto"/>
              </w:rPr>
            </w:pPr>
            <w:r>
              <w:rPr>
                <w:rFonts w:ascii="Arial" w:cs="Arial" w:eastAsia="Arial" w:hAnsi="Arial"/>
                <w:sz w:val="16"/>
                <w:szCs w:val="16"/>
                <w:color w:val="auto"/>
              </w:rPr>
              <w:t>Product revenues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525,716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433,984</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w w:val="87"/>
              </w:rPr>
              <w:t>21%</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1,578,740</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1,321,062</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w w:val="93"/>
              </w:rPr>
              <w:t>20%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Service revenues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70,246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52,763</w:t>
            </w:r>
          </w:p>
        </w:tc>
        <w:tc>
          <w:tcPr>
            <w:tcW w:w="13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7"/>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210,333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146,359</w:t>
            </w:r>
          </w:p>
        </w:tc>
        <w:tc>
          <w:tcPr>
            <w:tcW w:w="134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3"/>
              </w:rPr>
              <w:t>44%</w:t>
            </w: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595,962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486,747</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w w:val="87"/>
              </w:rPr>
              <w:t>22%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1,789,073</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1,467,421</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w w:val="93"/>
              </w:rPr>
              <w:t>22%</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7"/>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197,097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165,755</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w w:val="87"/>
              </w:rPr>
              <w:t>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553,529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501,669</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w w:val="93"/>
              </w:rPr>
              <w:t>10%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155,421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127,529</w:t>
            </w:r>
          </w:p>
        </w:tc>
        <w:tc>
          <w:tcPr>
            <w:tcW w:w="13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7"/>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631,738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394,988</w:t>
            </w:r>
          </w:p>
        </w:tc>
        <w:tc>
          <w:tcPr>
            <w:tcW w:w="134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3"/>
              </w:rPr>
              <w:t>60%</w:t>
            </w:r>
          </w:p>
        </w:tc>
      </w:tr>
      <w:tr>
        <w:trPr>
          <w:trHeight w:val="237"/>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41,676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38,226</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w w:val="86"/>
              </w:rPr>
              <w:t>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(78,209)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106,681</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rPr>
              <w:t>N/A</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(4,732)</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(45,193)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(16,559)</w:t>
            </w:r>
          </w:p>
        </w:tc>
        <w:tc>
          <w:tcPr>
            <w:tcW w:w="134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2"/>
              </w:rPr>
              <w:t>173%</w:t>
            </w:r>
          </w:p>
        </w:tc>
      </w:tr>
      <w:tr>
        <w:trPr>
          <w:trHeight w:val="237"/>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Income tax benefit (provision)</w:t>
            </w:r>
          </w:p>
        </w:tc>
        <w:tc>
          <w:tcPr>
            <w:tcW w:w="3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(6,640)</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w w:val="93"/>
              </w:rPr>
              <w:t>(14)%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(32,247)</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rPr>
              <w:t>N/A</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32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Itron, Inc.</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19,882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25,576</w:t>
            </w:r>
          </w:p>
        </w:tc>
        <w:tc>
          <w:tcPr>
            <w:tcW w:w="13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3"/>
              </w:rPr>
              <w:t>(22)%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(123,127)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55,518</w:t>
            </w:r>
          </w:p>
        </w:tc>
        <w:tc>
          <w:tcPr>
            <w:tcW w:w="13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N/A</w:t>
            </w:r>
          </w:p>
        </w:tc>
      </w:tr>
      <w:tr>
        <w:trPr>
          <w:trHeight w:val="33"/>
        </w:trPr>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0"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Non-GAAP</w:t>
      </w:r>
      <w:r>
        <w:rPr>
          <w:rFonts w:ascii="Arial" w:cs="Arial" w:eastAsia="Arial" w:hAnsi="Arial"/>
          <w:sz w:val="21"/>
          <w:szCs w:val="21"/>
          <w:b w:val="1"/>
          <w:bCs w:val="1"/>
          <w:color w:val="auto"/>
          <w:vertAlign w:val="superscript"/>
        </w:rPr>
        <w:t>(1)</w:t>
      </w:r>
    </w:p>
    <w:p>
      <w:pPr>
        <w:sectPr>
          <w:pgSz w:w="11900" w:h="16838" w:orient="portrait"/>
          <w:cols w:equalWidth="0" w:num="1">
            <w:col w:w="11420"/>
          </w:cols>
          <w:pgMar w:left="240" w:top="125" w:right="239" w:bottom="1440" w:gutter="0" w:footer="0" w:header="0"/>
        </w:sectPr>
      </w:pPr>
    </w:p>
    <w:p>
      <w:pPr>
        <w:spacing w:after="0" w:line="43"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6"/>
          <w:szCs w:val="16"/>
          <w:color w:val="auto"/>
        </w:rPr>
        <w:t>Non-GAAP operating expenses</w:t>
      </w:r>
      <w:r>
        <w:rPr>
          <w:sz w:val="20"/>
          <w:szCs w:val="20"/>
          <w:color w:val="auto"/>
        </w:rPr>
        <w:tab/>
      </w:r>
      <w:r>
        <w:rPr>
          <w:rFonts w:ascii="Arial" w:cs="Arial" w:eastAsia="Arial" w:hAnsi="Arial"/>
          <w:sz w:val="16"/>
          <w:szCs w:val="16"/>
          <w:color w:val="auto"/>
        </w:rPr>
        <w:t>$</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income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Non-GAAP net income attributable to Itron, Inc.</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EBITDA</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GAAP Margins and Earnings Per Share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Product gross margin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Service gross margin</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gross margin</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86"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6"/>
          <w:szCs w:val="16"/>
          <w:color w:val="auto"/>
        </w:rPr>
        <w:t>Basic EPS</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EPS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Non-GAAP Earnings Per Share</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right"/>
              <w:ind w:right="79"/>
              <w:spacing w:after="0"/>
              <w:rPr>
                <w:sz w:val="20"/>
                <w:szCs w:val="20"/>
                <w:color w:val="auto"/>
              </w:rPr>
            </w:pPr>
            <w:r>
              <w:rPr>
                <w:rFonts w:ascii="Arial" w:cs="Arial" w:eastAsia="Arial" w:hAnsi="Arial"/>
                <w:sz w:val="16"/>
                <w:szCs w:val="16"/>
                <w:color w:val="auto"/>
                <w:w w:val="86"/>
              </w:rPr>
              <w:t>126,716</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79"/>
              <w:spacing w:after="0"/>
              <w:rPr>
                <w:sz w:val="20"/>
                <w:szCs w:val="20"/>
                <w:color w:val="auto"/>
              </w:rPr>
            </w:pPr>
            <w:r>
              <w:rPr>
                <w:rFonts w:ascii="Arial" w:cs="Arial" w:eastAsia="Arial" w:hAnsi="Arial"/>
                <w:sz w:val="16"/>
                <w:szCs w:val="16"/>
                <w:color w:val="auto"/>
              </w:rPr>
              <w:t>115,339</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10%</w:t>
            </w:r>
          </w:p>
        </w:tc>
        <w:tc>
          <w:tcPr>
            <w:tcW w:w="6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411,257</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358,383</w:t>
            </w:r>
          </w:p>
        </w:tc>
        <w:tc>
          <w:tcPr>
            <w:tcW w:w="740" w:type="dxa"/>
            <w:vAlign w:val="bottom"/>
          </w:tcPr>
          <w:p>
            <w:pPr>
              <w:jc w:val="center"/>
              <w:ind w:left="279"/>
              <w:spacing w:after="0"/>
              <w:rPr>
                <w:sz w:val="20"/>
                <w:szCs w:val="20"/>
                <w:color w:val="auto"/>
              </w:rPr>
            </w:pPr>
            <w:r>
              <w:rPr>
                <w:rFonts w:ascii="Arial" w:cs="Arial" w:eastAsia="Arial" w:hAnsi="Arial"/>
                <w:sz w:val="16"/>
                <w:szCs w:val="16"/>
                <w:color w:val="auto"/>
                <w:w w:val="93"/>
              </w:rPr>
              <w:t>15%</w:t>
            </w:r>
          </w:p>
        </w:tc>
      </w:tr>
      <w:tr>
        <w:trPr>
          <w:trHeight w:val="27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70,381</w:t>
            </w:r>
          </w:p>
        </w:tc>
        <w:tc>
          <w:tcPr>
            <w:tcW w:w="460" w:type="dxa"/>
            <w:vAlign w:val="bottom"/>
          </w:tcPr>
          <w:p>
            <w:pPr>
              <w:spacing w:after="0"/>
              <w:rPr>
                <w:sz w:val="23"/>
                <w:szCs w:val="23"/>
                <w:color w:val="auto"/>
              </w:rPr>
            </w:pPr>
          </w:p>
        </w:tc>
        <w:tc>
          <w:tcPr>
            <w:tcW w:w="1140" w:type="dxa"/>
            <w:vAlign w:val="bottom"/>
          </w:tcPr>
          <w:p>
            <w:pPr>
              <w:jc w:val="right"/>
              <w:ind w:right="279"/>
              <w:spacing w:after="0"/>
              <w:rPr>
                <w:sz w:val="20"/>
                <w:szCs w:val="20"/>
                <w:color w:val="auto"/>
              </w:rPr>
            </w:pPr>
            <w:r>
              <w:rPr>
                <w:rFonts w:ascii="Arial" w:cs="Arial" w:eastAsia="Arial" w:hAnsi="Arial"/>
                <w:sz w:val="16"/>
                <w:szCs w:val="16"/>
                <w:color w:val="auto"/>
              </w:rPr>
              <w:t>50,416</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40%</w:t>
            </w:r>
          </w:p>
        </w:tc>
        <w:tc>
          <w:tcPr>
            <w:tcW w:w="640" w:type="dxa"/>
            <w:vAlign w:val="bottom"/>
          </w:tcPr>
          <w:p>
            <w:pPr>
              <w:spacing w:after="0"/>
              <w:rPr>
                <w:sz w:val="23"/>
                <w:szCs w:val="23"/>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142,272</w:t>
            </w:r>
          </w:p>
        </w:tc>
        <w:tc>
          <w:tcPr>
            <w:tcW w:w="500" w:type="dxa"/>
            <w:vAlign w:val="bottom"/>
          </w:tcPr>
          <w:p>
            <w:pPr>
              <w:spacing w:after="0"/>
              <w:rPr>
                <w:sz w:val="23"/>
                <w:szCs w:val="23"/>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143,286</w:t>
            </w:r>
          </w:p>
        </w:tc>
        <w:tc>
          <w:tcPr>
            <w:tcW w:w="740" w:type="dxa"/>
            <w:vAlign w:val="bottom"/>
          </w:tcPr>
          <w:p>
            <w:pPr>
              <w:jc w:val="center"/>
              <w:ind w:left="259"/>
              <w:spacing w:after="0"/>
              <w:rPr>
                <w:sz w:val="20"/>
                <w:szCs w:val="20"/>
                <w:color w:val="auto"/>
              </w:rPr>
            </w:pPr>
            <w:r>
              <w:rPr>
                <w:rFonts w:ascii="Arial" w:cs="Arial" w:eastAsia="Arial" w:hAnsi="Arial"/>
                <w:sz w:val="16"/>
                <w:szCs w:val="16"/>
                <w:color w:val="auto"/>
                <w:w w:val="94"/>
              </w:rPr>
              <w:t>(1)%</w:t>
            </w:r>
          </w:p>
        </w:tc>
      </w:tr>
      <w:tr>
        <w:trPr>
          <w:trHeight w:val="27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45,046</w:t>
            </w:r>
          </w:p>
        </w:tc>
        <w:tc>
          <w:tcPr>
            <w:tcW w:w="460" w:type="dxa"/>
            <w:vAlign w:val="bottom"/>
          </w:tcPr>
          <w:p>
            <w:pPr>
              <w:spacing w:after="0"/>
              <w:rPr>
                <w:sz w:val="23"/>
                <w:szCs w:val="23"/>
                <w:color w:val="auto"/>
              </w:rPr>
            </w:pPr>
          </w:p>
        </w:tc>
        <w:tc>
          <w:tcPr>
            <w:tcW w:w="1140" w:type="dxa"/>
            <w:vAlign w:val="bottom"/>
          </w:tcPr>
          <w:p>
            <w:pPr>
              <w:jc w:val="right"/>
              <w:ind w:right="279"/>
              <w:spacing w:after="0"/>
              <w:rPr>
                <w:sz w:val="20"/>
                <w:szCs w:val="20"/>
                <w:color w:val="auto"/>
              </w:rPr>
            </w:pPr>
            <w:r>
              <w:rPr>
                <w:rFonts w:ascii="Arial" w:cs="Arial" w:eastAsia="Arial" w:hAnsi="Arial"/>
                <w:sz w:val="16"/>
                <w:szCs w:val="16"/>
                <w:color w:val="auto"/>
              </w:rPr>
              <w:t>30,585</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47%</w:t>
            </w:r>
          </w:p>
        </w:tc>
        <w:tc>
          <w:tcPr>
            <w:tcW w:w="640" w:type="dxa"/>
            <w:vAlign w:val="bottom"/>
          </w:tcPr>
          <w:p>
            <w:pPr>
              <w:spacing w:after="0"/>
              <w:rPr>
                <w:sz w:val="23"/>
                <w:szCs w:val="23"/>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70,596</w:t>
            </w:r>
          </w:p>
        </w:tc>
        <w:tc>
          <w:tcPr>
            <w:tcW w:w="500" w:type="dxa"/>
            <w:vAlign w:val="bottom"/>
          </w:tcPr>
          <w:p>
            <w:pPr>
              <w:spacing w:after="0"/>
              <w:rPr>
                <w:sz w:val="23"/>
                <w:szCs w:val="23"/>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80,695</w:t>
            </w:r>
          </w:p>
        </w:tc>
        <w:tc>
          <w:tcPr>
            <w:tcW w:w="740" w:type="dxa"/>
            <w:vAlign w:val="bottom"/>
          </w:tcPr>
          <w:p>
            <w:pPr>
              <w:jc w:val="center"/>
              <w:ind w:left="259"/>
              <w:spacing w:after="0"/>
              <w:rPr>
                <w:sz w:val="20"/>
                <w:szCs w:val="20"/>
                <w:color w:val="auto"/>
              </w:rPr>
            </w:pPr>
            <w:r>
              <w:rPr>
                <w:rFonts w:ascii="Arial" w:cs="Arial" w:eastAsia="Arial" w:hAnsi="Arial"/>
                <w:sz w:val="16"/>
                <w:szCs w:val="16"/>
                <w:color w:val="auto"/>
                <w:w w:val="93"/>
              </w:rPr>
              <w:t>(13)%</w:t>
            </w:r>
          </w:p>
        </w:tc>
      </w:tr>
      <w:tr>
        <w:trPr>
          <w:trHeight w:val="27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80,531</w:t>
            </w:r>
          </w:p>
        </w:tc>
        <w:tc>
          <w:tcPr>
            <w:tcW w:w="460" w:type="dxa"/>
            <w:vAlign w:val="bottom"/>
          </w:tcPr>
          <w:p>
            <w:pPr>
              <w:spacing w:after="0"/>
              <w:rPr>
                <w:sz w:val="23"/>
                <w:szCs w:val="23"/>
                <w:color w:val="auto"/>
              </w:rPr>
            </w:pPr>
          </w:p>
        </w:tc>
        <w:tc>
          <w:tcPr>
            <w:tcW w:w="1140" w:type="dxa"/>
            <w:vAlign w:val="bottom"/>
          </w:tcPr>
          <w:p>
            <w:pPr>
              <w:jc w:val="right"/>
              <w:ind w:right="279"/>
              <w:spacing w:after="0"/>
              <w:rPr>
                <w:sz w:val="20"/>
                <w:szCs w:val="20"/>
                <w:color w:val="auto"/>
              </w:rPr>
            </w:pPr>
            <w:r>
              <w:rPr>
                <w:rFonts w:ascii="Arial" w:cs="Arial" w:eastAsia="Arial" w:hAnsi="Arial"/>
                <w:sz w:val="16"/>
                <w:szCs w:val="16"/>
                <w:color w:val="auto"/>
              </w:rPr>
              <w:t>58,050</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39%</w:t>
            </w:r>
          </w:p>
        </w:tc>
        <w:tc>
          <w:tcPr>
            <w:tcW w:w="640" w:type="dxa"/>
            <w:vAlign w:val="bottom"/>
          </w:tcPr>
          <w:p>
            <w:pPr>
              <w:spacing w:after="0"/>
              <w:rPr>
                <w:sz w:val="23"/>
                <w:szCs w:val="23"/>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176,986</w:t>
            </w:r>
          </w:p>
        </w:tc>
        <w:tc>
          <w:tcPr>
            <w:tcW w:w="500" w:type="dxa"/>
            <w:vAlign w:val="bottom"/>
          </w:tcPr>
          <w:p>
            <w:pPr>
              <w:spacing w:after="0"/>
              <w:rPr>
                <w:sz w:val="23"/>
                <w:szCs w:val="23"/>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163,834</w:t>
            </w:r>
          </w:p>
        </w:tc>
        <w:tc>
          <w:tcPr>
            <w:tcW w:w="740" w:type="dxa"/>
            <w:vAlign w:val="bottom"/>
          </w:tcPr>
          <w:p>
            <w:pPr>
              <w:jc w:val="center"/>
              <w:ind w:left="279"/>
              <w:spacing w:after="0"/>
              <w:rPr>
                <w:sz w:val="20"/>
                <w:szCs w:val="20"/>
                <w:color w:val="auto"/>
              </w:rPr>
            </w:pPr>
            <w:r>
              <w:rPr>
                <w:rFonts w:ascii="Arial" w:cs="Arial" w:eastAsia="Arial" w:hAnsi="Arial"/>
                <w:sz w:val="16"/>
                <w:szCs w:val="16"/>
                <w:color w:val="auto"/>
                <w:w w:val="94"/>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-492760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-149860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209550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552450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40" w:type="dxa"/>
        <w:tblCellMar>
          <w:top w:w="0" w:type="dxa"/>
          <w:left w:w="0" w:type="dxa"/>
          <w:bottom w:w="0" w:type="dxa"/>
          <w:right w:w="0" w:type="dxa"/>
        </w:tblCellMar>
      </w:tblPr>
      <w:tr>
        <w:trPr>
          <w:trHeight w:val="206"/>
        </w:trPr>
        <w:tc>
          <w:tcPr>
            <w:tcW w:w="500" w:type="dxa"/>
            <w:vAlign w:val="bottom"/>
          </w:tcPr>
          <w:p>
            <w:pPr>
              <w:jc w:val="right"/>
              <w:spacing w:after="0"/>
              <w:rPr>
                <w:sz w:val="20"/>
                <w:szCs w:val="20"/>
                <w:color w:val="auto"/>
              </w:rPr>
            </w:pPr>
            <w:r>
              <w:rPr>
                <w:rFonts w:ascii="Arial" w:cs="Arial" w:eastAsia="Arial" w:hAnsi="Arial"/>
                <w:sz w:val="16"/>
                <w:szCs w:val="16"/>
                <w:color w:val="auto"/>
                <w:w w:val="88"/>
              </w:rPr>
              <w:t>32.1%</w:t>
            </w:r>
          </w:p>
        </w:tc>
        <w:tc>
          <w:tcPr>
            <w:tcW w:w="520" w:type="dxa"/>
            <w:vAlign w:val="bottom"/>
          </w:tcPr>
          <w:p>
            <w:pPr>
              <w:spacing w:after="0"/>
              <w:rPr>
                <w:sz w:val="17"/>
                <w:szCs w:val="17"/>
                <w:color w:val="auto"/>
              </w:rPr>
            </w:pPr>
          </w:p>
        </w:tc>
        <w:tc>
          <w:tcPr>
            <w:tcW w:w="1540" w:type="dxa"/>
            <w:vAlign w:val="bottom"/>
          </w:tcPr>
          <w:p>
            <w:pPr>
              <w:jc w:val="right"/>
              <w:ind w:right="679"/>
              <w:spacing w:after="0"/>
              <w:rPr>
                <w:sz w:val="20"/>
                <w:szCs w:val="20"/>
                <w:color w:val="auto"/>
              </w:rPr>
            </w:pPr>
            <w:r>
              <w:rPr>
                <w:rFonts w:ascii="Arial" w:cs="Arial" w:eastAsia="Arial" w:hAnsi="Arial"/>
                <w:sz w:val="16"/>
                <w:szCs w:val="16"/>
                <w:color w:val="auto"/>
              </w:rPr>
              <w:t>34.4%</w:t>
            </w:r>
          </w:p>
        </w:tc>
        <w:tc>
          <w:tcPr>
            <w:tcW w:w="11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29.9 %</w:t>
            </w: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70"/>
        </w:trPr>
        <w:tc>
          <w:tcPr>
            <w:tcW w:w="500" w:type="dxa"/>
            <w:vAlign w:val="bottom"/>
          </w:tcPr>
          <w:p>
            <w:pPr>
              <w:jc w:val="right"/>
              <w:spacing w:after="0"/>
              <w:rPr>
                <w:sz w:val="20"/>
                <w:szCs w:val="20"/>
                <w:color w:val="auto"/>
              </w:rPr>
            </w:pPr>
            <w:r>
              <w:rPr>
                <w:rFonts w:ascii="Arial" w:cs="Arial" w:eastAsia="Arial" w:hAnsi="Arial"/>
                <w:sz w:val="16"/>
                <w:szCs w:val="16"/>
                <w:color w:val="auto"/>
                <w:w w:val="88"/>
              </w:rPr>
              <w:t>40.7%</w:t>
            </w:r>
          </w:p>
        </w:tc>
        <w:tc>
          <w:tcPr>
            <w:tcW w:w="520" w:type="dxa"/>
            <w:vAlign w:val="bottom"/>
          </w:tcPr>
          <w:p>
            <w:pPr>
              <w:spacing w:after="0"/>
              <w:rPr>
                <w:sz w:val="23"/>
                <w:szCs w:val="23"/>
                <w:color w:val="auto"/>
              </w:rPr>
            </w:pPr>
          </w:p>
        </w:tc>
        <w:tc>
          <w:tcPr>
            <w:tcW w:w="1540" w:type="dxa"/>
            <w:vAlign w:val="bottom"/>
          </w:tcPr>
          <w:p>
            <w:pPr>
              <w:jc w:val="right"/>
              <w:ind w:right="679"/>
              <w:spacing w:after="0"/>
              <w:rPr>
                <w:sz w:val="20"/>
                <w:szCs w:val="20"/>
                <w:color w:val="auto"/>
              </w:rPr>
            </w:pPr>
            <w:r>
              <w:rPr>
                <w:rFonts w:ascii="Arial" w:cs="Arial" w:eastAsia="Arial" w:hAnsi="Arial"/>
                <w:sz w:val="16"/>
                <w:szCs w:val="16"/>
                <w:color w:val="auto"/>
              </w:rPr>
              <w:t>31.3%</w:t>
            </w:r>
          </w:p>
        </w:tc>
        <w:tc>
          <w:tcPr>
            <w:tcW w:w="1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38.7 %</w:t>
            </w:r>
          </w:p>
        </w:tc>
        <w:tc>
          <w:tcPr>
            <w:tcW w:w="5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270"/>
        </w:trPr>
        <w:tc>
          <w:tcPr>
            <w:tcW w:w="500" w:type="dxa"/>
            <w:vAlign w:val="bottom"/>
          </w:tcPr>
          <w:p>
            <w:pPr>
              <w:jc w:val="right"/>
              <w:spacing w:after="0"/>
              <w:rPr>
                <w:sz w:val="20"/>
                <w:szCs w:val="20"/>
                <w:color w:val="auto"/>
              </w:rPr>
            </w:pPr>
            <w:r>
              <w:rPr>
                <w:rFonts w:ascii="Arial" w:cs="Arial" w:eastAsia="Arial" w:hAnsi="Arial"/>
                <w:sz w:val="16"/>
                <w:szCs w:val="16"/>
                <w:color w:val="auto"/>
                <w:w w:val="88"/>
              </w:rPr>
              <w:t>33.1%</w:t>
            </w:r>
          </w:p>
        </w:tc>
        <w:tc>
          <w:tcPr>
            <w:tcW w:w="520" w:type="dxa"/>
            <w:vAlign w:val="bottom"/>
          </w:tcPr>
          <w:p>
            <w:pPr>
              <w:spacing w:after="0"/>
              <w:rPr>
                <w:sz w:val="23"/>
                <w:szCs w:val="23"/>
                <w:color w:val="auto"/>
              </w:rPr>
            </w:pPr>
          </w:p>
        </w:tc>
        <w:tc>
          <w:tcPr>
            <w:tcW w:w="1540" w:type="dxa"/>
            <w:vAlign w:val="bottom"/>
          </w:tcPr>
          <w:p>
            <w:pPr>
              <w:jc w:val="right"/>
              <w:ind w:right="679"/>
              <w:spacing w:after="0"/>
              <w:rPr>
                <w:sz w:val="20"/>
                <w:szCs w:val="20"/>
                <w:color w:val="auto"/>
              </w:rPr>
            </w:pPr>
            <w:r>
              <w:rPr>
                <w:rFonts w:ascii="Arial" w:cs="Arial" w:eastAsia="Arial" w:hAnsi="Arial"/>
                <w:sz w:val="16"/>
                <w:szCs w:val="16"/>
                <w:color w:val="auto"/>
              </w:rPr>
              <w:t>34.1%</w:t>
            </w:r>
          </w:p>
        </w:tc>
        <w:tc>
          <w:tcPr>
            <w:tcW w:w="1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30.9 %</w:t>
            </w:r>
          </w:p>
        </w:tc>
        <w:tc>
          <w:tcPr>
            <w:tcW w:w="5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567"/>
        </w:trPr>
        <w:tc>
          <w:tcPr>
            <w:tcW w:w="500" w:type="dxa"/>
            <w:vAlign w:val="bottom"/>
          </w:tcPr>
          <w:p>
            <w:pPr>
              <w:jc w:val="right"/>
              <w:spacing w:after="0"/>
              <w:rPr>
                <w:sz w:val="20"/>
                <w:szCs w:val="20"/>
                <w:color w:val="auto"/>
              </w:rPr>
            </w:pPr>
            <w:r>
              <w:rPr>
                <w:rFonts w:ascii="Arial" w:cs="Arial" w:eastAsia="Arial" w:hAnsi="Arial"/>
                <w:sz w:val="16"/>
                <w:szCs w:val="16"/>
                <w:color w:val="auto"/>
              </w:rPr>
              <w:t>7.0%</w:t>
            </w:r>
          </w:p>
        </w:tc>
        <w:tc>
          <w:tcPr>
            <w:tcW w:w="520" w:type="dxa"/>
            <w:vAlign w:val="bottom"/>
          </w:tcPr>
          <w:p>
            <w:pPr>
              <w:spacing w:after="0"/>
              <w:rPr>
                <w:sz w:val="24"/>
                <w:szCs w:val="24"/>
                <w:color w:val="auto"/>
              </w:rPr>
            </w:pPr>
          </w:p>
        </w:tc>
        <w:tc>
          <w:tcPr>
            <w:tcW w:w="1540" w:type="dxa"/>
            <w:vAlign w:val="bottom"/>
          </w:tcPr>
          <w:p>
            <w:pPr>
              <w:jc w:val="right"/>
              <w:ind w:right="679"/>
              <w:spacing w:after="0"/>
              <w:rPr>
                <w:sz w:val="20"/>
                <w:szCs w:val="20"/>
                <w:color w:val="auto"/>
              </w:rPr>
            </w:pPr>
            <w:r>
              <w:rPr>
                <w:rFonts w:ascii="Arial" w:cs="Arial" w:eastAsia="Arial" w:hAnsi="Arial"/>
                <w:sz w:val="16"/>
                <w:szCs w:val="16"/>
                <w:color w:val="auto"/>
              </w:rPr>
              <w:t>7.9%</w:t>
            </w:r>
          </w:p>
        </w:tc>
        <w:tc>
          <w:tcPr>
            <w:tcW w:w="1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c>
          <w:tcPr>
            <w:tcW w:w="5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70"/>
        </w:trPr>
        <w:tc>
          <w:tcPr>
            <w:tcW w:w="500" w:type="dxa"/>
            <w:vAlign w:val="bottom"/>
          </w:tcPr>
          <w:p>
            <w:pPr>
              <w:jc w:val="right"/>
              <w:ind w:right="139"/>
              <w:spacing w:after="0"/>
              <w:rPr>
                <w:sz w:val="20"/>
                <w:szCs w:val="20"/>
                <w:color w:val="auto"/>
              </w:rPr>
            </w:pPr>
            <w:r>
              <w:rPr>
                <w:rFonts w:ascii="Arial" w:cs="Arial" w:eastAsia="Arial" w:hAnsi="Arial"/>
                <w:sz w:val="16"/>
                <w:szCs w:val="16"/>
                <w:color w:val="auto"/>
                <w:w w:val="83"/>
              </w:rPr>
              <w:t>0.51</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9"/>
              <w:spacing w:after="0"/>
              <w:rPr>
                <w:sz w:val="20"/>
                <w:szCs w:val="20"/>
                <w:color w:val="auto"/>
              </w:rPr>
            </w:pPr>
            <w:r>
              <w:rPr>
                <w:rFonts w:ascii="Arial" w:cs="Arial" w:eastAsia="Arial" w:hAnsi="Arial"/>
                <w:sz w:val="16"/>
                <w:szCs w:val="16"/>
                <w:color w:val="auto"/>
              </w:rPr>
              <w:t>0.66</w:t>
            </w: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(3.14)</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1.44</w:t>
            </w:r>
          </w:p>
        </w:tc>
      </w:tr>
      <w:tr>
        <w:trPr>
          <w:trHeight w:val="270"/>
        </w:trPr>
        <w:tc>
          <w:tcPr>
            <w:tcW w:w="500" w:type="dxa"/>
            <w:vAlign w:val="bottom"/>
          </w:tcPr>
          <w:p>
            <w:pPr>
              <w:jc w:val="right"/>
              <w:ind w:right="139"/>
              <w:spacing w:after="0"/>
              <w:rPr>
                <w:sz w:val="20"/>
                <w:szCs w:val="20"/>
                <w:color w:val="auto"/>
              </w:rPr>
            </w:pPr>
            <w:r>
              <w:rPr>
                <w:rFonts w:ascii="Arial" w:cs="Arial" w:eastAsia="Arial" w:hAnsi="Arial"/>
                <w:sz w:val="16"/>
                <w:szCs w:val="16"/>
                <w:color w:val="auto"/>
                <w:w w:val="83"/>
              </w:rPr>
              <w:t>0.50</w:t>
            </w:r>
          </w:p>
        </w:tc>
        <w:tc>
          <w:tcPr>
            <w:tcW w:w="520" w:type="dxa"/>
            <w:vAlign w:val="bottom"/>
          </w:tcPr>
          <w:p>
            <w:pPr>
              <w:spacing w:after="0"/>
              <w:rPr>
                <w:sz w:val="23"/>
                <w:szCs w:val="23"/>
                <w:color w:val="auto"/>
              </w:rPr>
            </w:pPr>
          </w:p>
        </w:tc>
        <w:tc>
          <w:tcPr>
            <w:tcW w:w="1540" w:type="dxa"/>
            <w:vAlign w:val="bottom"/>
          </w:tcPr>
          <w:p>
            <w:pPr>
              <w:jc w:val="right"/>
              <w:ind w:right="799"/>
              <w:spacing w:after="0"/>
              <w:rPr>
                <w:sz w:val="20"/>
                <w:szCs w:val="20"/>
                <w:color w:val="auto"/>
              </w:rPr>
            </w:pPr>
            <w:r>
              <w:rPr>
                <w:rFonts w:ascii="Arial" w:cs="Arial" w:eastAsia="Arial" w:hAnsi="Arial"/>
                <w:sz w:val="16"/>
                <w:szCs w:val="16"/>
                <w:color w:val="auto"/>
              </w:rPr>
              <w:t>0.65</w:t>
            </w:r>
          </w:p>
        </w:tc>
        <w:tc>
          <w:tcPr>
            <w:tcW w:w="116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(3.14)</w:t>
            </w:r>
          </w:p>
        </w:tc>
        <w:tc>
          <w:tcPr>
            <w:tcW w:w="52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-853440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-492760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-149860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209550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7" w:lineRule="exact"/>
        <w:rPr>
          <w:sz w:val="20"/>
          <w:szCs w:val="20"/>
          <w:color w:val="auto"/>
        </w:rPr>
      </w:pPr>
    </w:p>
    <w:p>
      <w:pPr>
        <w:sectPr>
          <w:pgSz w:w="11900" w:h="16838" w:orient="portrait"/>
          <w:cols w:equalWidth="0" w:num="2">
            <w:col w:w="3340" w:space="480"/>
            <w:col w:w="7600"/>
          </w:cols>
          <w:pgMar w:left="240" w:top="125" w:right="239" w:bottom="1440" w:gutter="0" w:footer="0" w:header="0"/>
          <w:type w:val="continuous"/>
        </w:sectPr>
      </w:pPr>
    </w:p>
    <w:p>
      <w:pPr>
        <w:ind w:left="40"/>
        <w:spacing w:after="0"/>
        <w:tabs>
          <w:tab w:leader="none" w:pos="3220" w:val="left"/>
          <w:tab w:leader="none" w:pos="4040" w:val="left"/>
          <w:tab w:leader="none" w:pos="4620" w:val="left"/>
          <w:tab w:leader="none" w:pos="5440" w:val="left"/>
          <w:tab w:leader="none" w:pos="7340" w:val="left"/>
          <w:tab w:leader="none" w:pos="8160" w:val="left"/>
          <w:tab w:leader="none" w:pos="8800" w:val="left"/>
          <w:tab w:leader="none" w:pos="9620" w:val="left"/>
        </w:tabs>
        <w:rPr>
          <w:sz w:val="20"/>
          <w:szCs w:val="20"/>
          <w:color w:val="auto"/>
        </w:rPr>
      </w:pPr>
      <w:r>
        <w:rPr>
          <w:rFonts w:ascii="Arial" w:cs="Arial" w:eastAsia="Arial" w:hAnsi="Arial"/>
          <w:sz w:val="16"/>
          <w:szCs w:val="16"/>
          <w:color w:val="auto"/>
        </w:rPr>
        <w:t>Non-GAAP diluted EPS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0.77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1.77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2.05</w:t>
      </w:r>
    </w:p>
    <w:p>
      <w:pPr>
        <w:spacing w:after="0" w:line="265" w:lineRule="exact"/>
        <w:rPr>
          <w:sz w:val="20"/>
          <w:szCs w:val="20"/>
          <w:color w:val="auto"/>
        </w:rPr>
      </w:pPr>
    </w:p>
    <w:p>
      <w:pPr>
        <w:ind w:left="340" w:right="20" w:hanging="332"/>
        <w:spacing w:after="0" w:line="217" w:lineRule="auto"/>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50-53 for information about these non-GAAP measures and reconciliations to the most comparable GAAP measures.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two categories:</w:t>
      </w:r>
    </w:p>
    <w:p>
      <w:pPr>
        <w:spacing w:after="0" w:line="4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Smart metering – one-way communication of meter data or two-way communication including remote meter configuration and upgrade (consisting primarily of our OpenWay® technology).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smart meter communication modules and network interface cards can be sold separately from the meter. Any communicating meters, modules, or cards are also referred to as endpoints.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66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352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5360" w:type="dxa"/>
            <w:vAlign w:val="bottom"/>
            <w:gridSpan w:val="2"/>
          </w:tcPr>
          <w:p>
            <w:pPr>
              <w:ind w:left="4940"/>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7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7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4"/>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gridSpan w:val="4"/>
          </w:tcPr>
          <w:p>
            <w:pPr>
              <w:ind w:left="1080"/>
              <w:spacing w:after="0"/>
              <w:rPr>
                <w:sz w:val="20"/>
                <w:szCs w:val="20"/>
                <w:color w:val="auto"/>
              </w:rPr>
            </w:pPr>
            <w:r>
              <w:rPr>
                <w:rFonts w:ascii="Arial" w:cs="Arial" w:eastAsia="Arial" w:hAnsi="Arial"/>
                <w:sz w:val="16"/>
                <w:szCs w:val="16"/>
                <w:b w:val="1"/>
                <w:bCs w:val="1"/>
                <w:color w:val="auto"/>
              </w:rPr>
              <w:t>(units in thousands)</w:t>
            </w:r>
          </w:p>
        </w:tc>
        <w:tc>
          <w:tcPr>
            <w:tcW w:w="1700" w:type="dxa"/>
            <w:vAlign w:val="bottom"/>
          </w:tcPr>
          <w:p>
            <w:pPr>
              <w:spacing w:after="0"/>
              <w:rPr>
                <w:sz w:val="18"/>
                <w:szCs w:val="18"/>
                <w:color w:val="auto"/>
              </w:rPr>
            </w:pPr>
          </w:p>
        </w:tc>
      </w:tr>
      <w:tr>
        <w:trPr>
          <w:trHeight w:val="303"/>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 xml:space="preserve">Meters </w:t>
            </w:r>
            <w:r>
              <w:rPr>
                <w:rFonts w:ascii="Arial" w:cs="Arial" w:eastAsia="Arial" w:hAnsi="Arial"/>
                <w:sz w:val="21"/>
                <w:szCs w:val="21"/>
                <w:color w:val="auto"/>
                <w:vertAlign w:val="superscript"/>
              </w:rPr>
              <w:t>(1)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5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12,220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12,000</w:t>
            </w:r>
          </w:p>
        </w:tc>
      </w:tr>
      <w:tr>
        <w:trPr>
          <w:trHeight w:val="237"/>
        </w:trPr>
        <w:tc>
          <w:tcPr>
            <w:tcW w:w="5360" w:type="dxa"/>
            <w:vAlign w:val="bottom"/>
            <w:gridSpan w:val="2"/>
          </w:tcPr>
          <w:p>
            <w:pPr>
              <w:ind w:left="380"/>
              <w:spacing w:after="0"/>
              <w:rPr>
                <w:sz w:val="20"/>
                <w:szCs w:val="20"/>
                <w:color w:val="auto"/>
              </w:rPr>
            </w:pPr>
            <w:r>
              <w:rPr>
                <w:rFonts w:ascii="Arial" w:cs="Arial" w:eastAsia="Arial" w:hAnsi="Arial"/>
                <w:sz w:val="16"/>
                <w:szCs w:val="16"/>
                <w:color w:val="auto"/>
              </w:rPr>
              <w:t>Smart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2,460</w:t>
            </w:r>
          </w:p>
        </w:tc>
        <w:tc>
          <w:tcPr>
            <w:tcW w:w="12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2,590</w:t>
            </w:r>
          </w:p>
        </w:tc>
        <w:tc>
          <w:tcPr>
            <w:tcW w:w="1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8,390</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7,600</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1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6,510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6,230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20,610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19,600</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477"/>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Stand-alone communication modules and network interface</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9"/>
        </w:trPr>
        <w:tc>
          <w:tcPr>
            <w:tcW w:w="5360" w:type="dxa"/>
            <w:vAlign w:val="bottom"/>
            <w:gridSpan w:val="2"/>
          </w:tcPr>
          <w:p>
            <w:pPr>
              <w:ind w:left="360"/>
              <w:spacing w:after="0" w:line="239" w:lineRule="exact"/>
              <w:rPr>
                <w:sz w:val="20"/>
                <w:szCs w:val="20"/>
                <w:color w:val="auto"/>
              </w:rPr>
            </w:pPr>
            <w:r>
              <w:rPr>
                <w:rFonts w:ascii="Arial" w:cs="Arial" w:eastAsia="Arial" w:hAnsi="Arial"/>
                <w:sz w:val="16"/>
                <w:szCs w:val="16"/>
                <w:color w:val="auto"/>
              </w:rPr>
              <w:t xml:space="preserve">cards </w:t>
            </w:r>
            <w:r>
              <w:rPr>
                <w:rFonts w:ascii="Arial" w:cs="Arial" w:eastAsia="Arial" w:hAnsi="Arial"/>
                <w:sz w:val="21"/>
                <w:szCs w:val="21"/>
                <w:color w:val="auto"/>
                <w:vertAlign w:val="superscript"/>
              </w:rPr>
              <w:t>(2)</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50"/>
        </w:trPr>
        <w:tc>
          <w:tcPr>
            <w:tcW w:w="53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Smart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2,970</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1,480</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7,980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4,410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The Networks operating segment shipped an immaterial number of meters during the three and nine months ended September 30, 2018.</w:t>
      </w:r>
    </w:p>
    <w:p>
      <w:pPr>
        <w:ind w:right="860" w:firstLine="8"/>
        <w:spacing w:after="0" w:line="298" w:lineRule="auto"/>
        <w:tabs>
          <w:tab w:leader="none" w:pos="153"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The Networks operating segment shipped approximately 1,090,000 and 3,140,000 network interface cards, respectively, during the three and nine months ended September 30,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revenues and gross profit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40" w:type="dxa"/>
            <w:vAlign w:val="bottom"/>
            <w:gridSpan w:val="3"/>
            <w:vMerge w:val="restart"/>
          </w:tcPr>
          <w:p>
            <w:pPr>
              <w:jc w:val="right"/>
              <w:ind w:right="439"/>
              <w:spacing w:after="0"/>
              <w:rPr>
                <w:sz w:val="20"/>
                <w:szCs w:val="20"/>
                <w:color w:val="auto"/>
              </w:rPr>
            </w:pPr>
            <w:r>
              <w:rPr>
                <w:rFonts w:ascii="Arial" w:cs="Arial" w:eastAsia="Arial" w:hAnsi="Arial"/>
                <w:sz w:val="16"/>
                <w:szCs w:val="16"/>
                <w:b w:val="1"/>
                <w:bCs w:val="1"/>
                <w:color w:val="auto"/>
                <w:w w:val="99"/>
              </w:rPr>
              <w:t>Three Months Ended September 30,</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595,962</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486,747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(8,732)</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117,947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109,215</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197,097</w:t>
            </w:r>
          </w:p>
        </w:tc>
        <w:tc>
          <w:tcPr>
            <w:tcW w:w="5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165,755</w:t>
            </w:r>
          </w:p>
        </w:tc>
        <w:tc>
          <w:tcPr>
            <w:tcW w:w="2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(2,721)</w:t>
            </w:r>
          </w:p>
        </w:tc>
        <w:tc>
          <w:tcPr>
            <w:tcW w:w="3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34,063</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31,342</w:t>
            </w:r>
          </w:p>
        </w:tc>
        <w:tc>
          <w:tcPr>
            <w:tcW w:w="0" w:type="dxa"/>
            <w:vAlign w:val="bottom"/>
          </w:tcPr>
          <w:p>
            <w:pPr>
              <w:spacing w:after="0"/>
              <w:rPr>
                <w:sz w:val="1"/>
                <w:szCs w:val="1"/>
                <w:color w:val="auto"/>
              </w:rPr>
            </w:pPr>
          </w:p>
        </w:tc>
      </w:tr>
      <w:tr>
        <w:trPr>
          <w:trHeight w:val="681"/>
        </w:trPr>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gridSpan w:val="3"/>
            <w:vMerge w:val="restart"/>
          </w:tcPr>
          <w:p>
            <w:pPr>
              <w:jc w:val="right"/>
              <w:ind w:right="479"/>
              <w:spacing w:after="0"/>
              <w:rPr>
                <w:sz w:val="20"/>
                <w:szCs w:val="20"/>
                <w:color w:val="auto"/>
              </w:rPr>
            </w:pPr>
            <w:r>
              <w:rPr>
                <w:rFonts w:ascii="Arial" w:cs="Arial" w:eastAsia="Arial" w:hAnsi="Arial"/>
                <w:sz w:val="16"/>
                <w:szCs w:val="16"/>
                <w:b w:val="1"/>
                <w:bCs w:val="1"/>
                <w:color w:val="auto"/>
              </w:rPr>
              <w:t>Nine Months Ended September 30,</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1,789,073</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1,467,421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28,568</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293,084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321,652</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553,529</w:t>
            </w:r>
          </w:p>
        </w:tc>
        <w:tc>
          <w:tcPr>
            <w:tcW w:w="5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501,669</w:t>
            </w:r>
          </w:p>
        </w:tc>
        <w:tc>
          <w:tcPr>
            <w:tcW w:w="2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8,082</w:t>
            </w:r>
          </w:p>
        </w:tc>
        <w:tc>
          <w:tcPr>
            <w:tcW w:w="3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43,778</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51,860</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40" w:hanging="332"/>
        <w:spacing w:after="0" w:line="217"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22222"/>
        </w:rPr>
        <w:t xml:space="preserve">Revenues increased $109.2 million, or 22%, for the </w:t>
      </w:r>
      <w:r>
        <w:rPr>
          <w:rFonts w:ascii="Arial" w:cs="Arial" w:eastAsia="Arial" w:hAnsi="Arial"/>
          <w:sz w:val="17"/>
          <w:szCs w:val="17"/>
          <w:color w:val="000000"/>
        </w:rPr>
        <w:t>three</w:t>
      </w:r>
      <w:r>
        <w:rPr>
          <w:rFonts w:ascii="Arial" w:cs="Arial" w:eastAsia="Arial" w:hAnsi="Arial"/>
          <w:sz w:val="17"/>
          <w:szCs w:val="17"/>
          <w:color w:val="222222"/>
        </w:rPr>
        <w:t xml:space="preserve"> months ended </w:t>
      </w:r>
      <w:r>
        <w:rPr>
          <w:rFonts w:ascii="Arial" w:cs="Arial" w:eastAsia="Arial" w:hAnsi="Arial"/>
          <w:sz w:val="17"/>
          <w:szCs w:val="17"/>
          <w:color w:val="000000"/>
        </w:rPr>
        <w:t>September 30, 2018</w:t>
      </w:r>
      <w:r>
        <w:rPr>
          <w:rFonts w:ascii="Arial" w:cs="Arial" w:eastAsia="Arial" w:hAnsi="Arial"/>
          <w:sz w:val="17"/>
          <w:szCs w:val="17"/>
          <w:color w:val="222222"/>
        </w:rPr>
        <w:t xml:space="preserve">, compared with the same period in </w:t>
      </w:r>
      <w:r>
        <w:rPr>
          <w:rFonts w:ascii="Arial" w:cs="Arial" w:eastAsia="Arial" w:hAnsi="Arial"/>
          <w:sz w:val="17"/>
          <w:szCs w:val="17"/>
          <w:color w:val="000000"/>
        </w:rPr>
        <w:t>2017</w:t>
      </w:r>
      <w:r>
        <w:rPr>
          <w:rFonts w:ascii="Arial" w:cs="Arial" w:eastAsia="Arial" w:hAnsi="Arial"/>
          <w:sz w:val="17"/>
          <w:szCs w:val="17"/>
          <w:color w:val="222222"/>
        </w:rPr>
        <w:t xml:space="preserve">. This growth for the three months ended </w:t>
      </w:r>
      <w:r>
        <w:rPr>
          <w:rFonts w:ascii="Arial" w:cs="Arial" w:eastAsia="Arial" w:hAnsi="Arial"/>
          <w:sz w:val="17"/>
          <w:szCs w:val="17"/>
          <w:color w:val="000000"/>
        </w:rPr>
        <w:t>September 30, 2018</w:t>
      </w:r>
      <w:r>
        <w:rPr>
          <w:rFonts w:ascii="Arial" w:cs="Arial" w:eastAsia="Arial" w:hAnsi="Arial"/>
          <w:sz w:val="17"/>
          <w:szCs w:val="17"/>
          <w:color w:val="222222"/>
        </w:rPr>
        <w:t xml:space="preserve"> was primarily due to our new Networks operating segment, which contributed $89.8 million of revenues for the three months ended </w:t>
      </w:r>
      <w:r>
        <w:rPr>
          <w:rFonts w:ascii="Arial" w:cs="Arial" w:eastAsia="Arial" w:hAnsi="Arial"/>
          <w:sz w:val="17"/>
          <w:szCs w:val="17"/>
          <w:color w:val="000000"/>
        </w:rPr>
        <w:t>September 30, 2018</w:t>
      </w:r>
      <w:r>
        <w:rPr>
          <w:rFonts w:ascii="Arial" w:cs="Arial" w:eastAsia="Arial" w:hAnsi="Arial"/>
          <w:sz w:val="17"/>
          <w:szCs w:val="17"/>
          <w:color w:val="222222"/>
        </w:rPr>
        <w:t>, while changes in exchange rates unfavorably impacted total revenues by $8.7 million during that period. Product revenues increased $91.7 million, or 21%, including $72.4 million from the Networks operating segment. Service revenues during the third quarter of 2018 increased $17.5 million, or 33%, due to $17.4 million contributed from the Networks operating segment.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22222"/>
        </w:rPr>
        <w:t xml:space="preserve">Revenues increased $321.7 million, or 22%, for the nine months ended </w:t>
      </w:r>
      <w:r>
        <w:rPr>
          <w:rFonts w:ascii="Arial" w:cs="Arial" w:eastAsia="Arial" w:hAnsi="Arial"/>
          <w:sz w:val="18"/>
          <w:szCs w:val="18"/>
          <w:color w:val="000000"/>
        </w:rPr>
        <w:t>September 30, 2018</w:t>
      </w:r>
      <w:r>
        <w:rPr>
          <w:rFonts w:ascii="Arial" w:cs="Arial" w:eastAsia="Arial" w:hAnsi="Arial"/>
          <w:sz w:val="18"/>
          <w:szCs w:val="18"/>
          <w:color w:val="222222"/>
        </w:rPr>
        <w:t xml:space="preserve">, compared with the same period in </w:t>
      </w:r>
      <w:r>
        <w:rPr>
          <w:rFonts w:ascii="Arial" w:cs="Arial" w:eastAsia="Arial" w:hAnsi="Arial"/>
          <w:sz w:val="18"/>
          <w:szCs w:val="18"/>
          <w:color w:val="000000"/>
        </w:rPr>
        <w:t>2017. During this period, our</w:t>
      </w:r>
      <w:r>
        <w:rPr>
          <w:rFonts w:ascii="Arial" w:cs="Arial" w:eastAsia="Arial" w:hAnsi="Arial"/>
          <w:sz w:val="18"/>
          <w:szCs w:val="18"/>
          <w:color w:val="222222"/>
        </w:rPr>
        <w:t xml:space="preserve"> </w:t>
      </w:r>
      <w:r>
        <w:rPr>
          <w:rFonts w:ascii="Arial" w:cs="Arial" w:eastAsia="Arial" w:hAnsi="Arial"/>
          <w:sz w:val="18"/>
          <w:szCs w:val="18"/>
          <w:color w:val="000000"/>
        </w:rPr>
        <w:t>Networks operating segment contributed $249.3 million to the growth while c</w:t>
      </w:r>
      <w:r>
        <w:rPr>
          <w:rFonts w:ascii="Arial" w:cs="Arial" w:eastAsia="Arial" w:hAnsi="Arial"/>
          <w:sz w:val="18"/>
          <w:szCs w:val="18"/>
          <w:color w:val="222222"/>
        </w:rPr>
        <w:t>hanges in exchange rates favorably impacted total revenues by $28.6 million.</w:t>
      </w:r>
      <w:r>
        <w:rPr>
          <w:rFonts w:ascii="Arial" w:cs="Arial" w:eastAsia="Arial" w:hAnsi="Arial"/>
          <w:sz w:val="18"/>
          <w:szCs w:val="18"/>
          <w:color w:val="000000"/>
        </w:rPr>
        <w:t xml:space="preserve"> For the nine months ended September 30, 2018, product revenues increased $257.7 million as compared with the same period in 2017. The Networks operating segment contributed $195.5 million of product revenues growth, while Gas and Water operating segments showed improvement for the nine months ended</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September 30, 2018. Service revenues increased $64.0 million during the nine months ended September 30, 2018 as compared with 2017 due to our recent acquisitions of our Networks operating segment and Distributed Energy Management (DEM) business, which contributed $53.8 million and $13.7 million in service revenues growth,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no customer represents more than 10% of total company revenues.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222222"/>
        </w:rPr>
        <w:t xml:space="preserve">Gross margin for the </w:t>
      </w:r>
      <w:r>
        <w:rPr>
          <w:rFonts w:ascii="Arial" w:cs="Arial" w:eastAsia="Arial" w:hAnsi="Arial"/>
          <w:sz w:val="16"/>
          <w:szCs w:val="16"/>
          <w:color w:val="000000"/>
        </w:rPr>
        <w:t>third</w:t>
      </w:r>
      <w:r>
        <w:rPr>
          <w:rFonts w:ascii="Arial" w:cs="Arial" w:eastAsia="Arial" w:hAnsi="Arial"/>
          <w:sz w:val="16"/>
          <w:szCs w:val="16"/>
          <w:color w:val="222222"/>
        </w:rPr>
        <w:t xml:space="preserve"> quarter of </w:t>
      </w:r>
      <w:r>
        <w:rPr>
          <w:rFonts w:ascii="Arial" w:cs="Arial" w:eastAsia="Arial" w:hAnsi="Arial"/>
          <w:sz w:val="16"/>
          <w:szCs w:val="16"/>
          <w:color w:val="000000"/>
        </w:rPr>
        <w:t>2018</w:t>
      </w:r>
      <w:r>
        <w:rPr>
          <w:rFonts w:ascii="Arial" w:cs="Arial" w:eastAsia="Arial" w:hAnsi="Arial"/>
          <w:sz w:val="16"/>
          <w:szCs w:val="16"/>
          <w:color w:val="222222"/>
        </w:rPr>
        <w:t xml:space="preserve"> was 33.1%, compared with 34.1% for the same period in </w:t>
      </w:r>
      <w:r>
        <w:rPr>
          <w:rFonts w:ascii="Arial" w:cs="Arial" w:eastAsia="Arial" w:hAnsi="Arial"/>
          <w:sz w:val="16"/>
          <w:szCs w:val="16"/>
          <w:color w:val="000000"/>
        </w:rPr>
        <w:t>2017</w:t>
      </w:r>
      <w:r>
        <w:rPr>
          <w:rFonts w:ascii="Arial" w:cs="Arial" w:eastAsia="Arial" w:hAnsi="Arial"/>
          <w:sz w:val="16"/>
          <w:szCs w:val="16"/>
          <w:color w:val="222222"/>
        </w:rPr>
        <w:t xml:space="preserve">. Our gross margin associated with product sales decreased to 32.1% for the three months ended </w:t>
      </w:r>
      <w:r>
        <w:rPr>
          <w:rFonts w:ascii="Arial" w:cs="Arial" w:eastAsia="Arial" w:hAnsi="Arial"/>
          <w:sz w:val="16"/>
          <w:szCs w:val="16"/>
          <w:color w:val="000000"/>
        </w:rPr>
        <w:t>September 30, 2018</w:t>
      </w:r>
      <w:r>
        <w:rPr>
          <w:rFonts w:ascii="Arial" w:cs="Arial" w:eastAsia="Arial" w:hAnsi="Arial"/>
          <w:sz w:val="16"/>
          <w:szCs w:val="16"/>
          <w:color w:val="222222"/>
        </w:rPr>
        <w:t xml:space="preserve"> compared with 34.4% for the same period in 2017. Commodity and component price increases and increased costs in our manufacturing operations all resulted in compressed margins in 2018. These impacts were partially offset by reduced variable compensation expense. Gross margin associated with our service revenues increased to 40.7% for the three months ended </w:t>
      </w:r>
      <w:r>
        <w:rPr>
          <w:rFonts w:ascii="Arial" w:cs="Arial" w:eastAsia="Arial" w:hAnsi="Arial"/>
          <w:sz w:val="16"/>
          <w:szCs w:val="16"/>
          <w:color w:val="000000"/>
        </w:rPr>
        <w:t>September 30, 2018</w:t>
      </w:r>
      <w:r>
        <w:rPr>
          <w:rFonts w:ascii="Arial" w:cs="Arial" w:eastAsia="Arial" w:hAnsi="Arial"/>
          <w:sz w:val="16"/>
          <w:szCs w:val="16"/>
          <w:color w:val="222222"/>
        </w:rPr>
        <w:t xml:space="preserve"> as compared with 31.3% for the same period in 2017. The increase in gross margins resulted primarily from the inclusion of our Networks operating segment.</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 xml:space="preserve">Gross margin for the </w:t>
      </w:r>
      <w:r>
        <w:rPr>
          <w:rFonts w:ascii="Arial" w:cs="Arial" w:eastAsia="Arial" w:hAnsi="Arial"/>
          <w:sz w:val="18"/>
          <w:szCs w:val="18"/>
          <w:color w:val="000000"/>
        </w:rPr>
        <w:t>nine</w:t>
      </w:r>
      <w:r>
        <w:rPr>
          <w:rFonts w:ascii="Arial" w:cs="Arial" w:eastAsia="Arial" w:hAnsi="Arial"/>
          <w:sz w:val="18"/>
          <w:szCs w:val="18"/>
          <w:color w:val="222222"/>
        </w:rPr>
        <w:t xml:space="preserve"> months ended </w:t>
      </w:r>
      <w:r>
        <w:rPr>
          <w:rFonts w:ascii="Arial" w:cs="Arial" w:eastAsia="Arial" w:hAnsi="Arial"/>
          <w:sz w:val="18"/>
          <w:szCs w:val="18"/>
          <w:color w:val="000000"/>
        </w:rPr>
        <w:t>September 30, 2018</w:t>
      </w:r>
      <w:r>
        <w:rPr>
          <w:rFonts w:ascii="Arial" w:cs="Arial" w:eastAsia="Arial" w:hAnsi="Arial"/>
          <w:sz w:val="18"/>
          <w:szCs w:val="18"/>
          <w:color w:val="222222"/>
        </w:rPr>
        <w:t xml:space="preserve"> was 30.9%, compared with 34.2% for the same period in </w:t>
      </w:r>
      <w:r>
        <w:rPr>
          <w:rFonts w:ascii="Arial" w:cs="Arial" w:eastAsia="Arial" w:hAnsi="Arial"/>
          <w:sz w:val="18"/>
          <w:szCs w:val="18"/>
          <w:color w:val="000000"/>
        </w:rPr>
        <w:t>2017</w:t>
      </w:r>
      <w:r>
        <w:rPr>
          <w:rFonts w:ascii="Arial" w:cs="Arial" w:eastAsia="Arial" w:hAnsi="Arial"/>
          <w:sz w:val="18"/>
          <w:szCs w:val="18"/>
          <w:color w:val="222222"/>
        </w:rPr>
        <w:t xml:space="preserve">. Our gross margin associated with product sales decreased to 29.9% for the </w:t>
      </w:r>
      <w:r>
        <w:rPr>
          <w:rFonts w:ascii="Arial" w:cs="Arial" w:eastAsia="Arial" w:hAnsi="Arial"/>
          <w:sz w:val="18"/>
          <w:szCs w:val="18"/>
          <w:color w:val="000000"/>
        </w:rPr>
        <w:t>nine</w:t>
      </w:r>
      <w:r>
        <w:rPr>
          <w:rFonts w:ascii="Arial" w:cs="Arial" w:eastAsia="Arial" w:hAnsi="Arial"/>
          <w:sz w:val="18"/>
          <w:szCs w:val="18"/>
          <w:color w:val="222222"/>
        </w:rPr>
        <w:t xml:space="preserve"> months ended </w:t>
      </w:r>
      <w:r>
        <w:rPr>
          <w:rFonts w:ascii="Arial" w:cs="Arial" w:eastAsia="Arial" w:hAnsi="Arial"/>
          <w:sz w:val="18"/>
          <w:szCs w:val="18"/>
          <w:color w:val="000000"/>
        </w:rPr>
        <w:t>September 30, 2018</w:t>
      </w:r>
      <w:r>
        <w:rPr>
          <w:rFonts w:ascii="Arial" w:cs="Arial" w:eastAsia="Arial" w:hAnsi="Arial"/>
          <w:sz w:val="18"/>
          <w:szCs w:val="18"/>
          <w:color w:val="222222"/>
        </w:rPr>
        <w:t xml:space="preserve"> compared with 34.5% for the same period in 2017. This decline was the result of the continued transition of our supply chain and temporary manufacturing inefficiencies, as well as a reduction related to the insurance recovery in 2017 related to a warranty matter. Gross margin associated with our service revenues improved to 38.7% for the nine months ended </w:t>
      </w:r>
      <w:r>
        <w:rPr>
          <w:rFonts w:ascii="Arial" w:cs="Arial" w:eastAsia="Arial" w:hAnsi="Arial"/>
          <w:sz w:val="18"/>
          <w:szCs w:val="18"/>
          <w:color w:val="000000"/>
        </w:rPr>
        <w:t>September 30, 2018</w:t>
      </w:r>
      <w:r>
        <w:rPr>
          <w:rFonts w:ascii="Arial" w:cs="Arial" w:eastAsia="Arial" w:hAnsi="Arial"/>
          <w:sz w:val="18"/>
          <w:szCs w:val="18"/>
          <w:color w:val="222222"/>
        </w:rPr>
        <w:t xml:space="preserve"> as compared with 31.4% for the same period in 2017. The improvement in gross margin associated with service revenues is due primarily to the inclusion of our Networks operating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operating expenses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3580" w:type="dxa"/>
            <w:vAlign w:val="bottom"/>
            <w:gridSpan w:val="6"/>
            <w:vMerge w:val="restart"/>
          </w:tcPr>
          <w:p>
            <w:pPr>
              <w:jc w:val="center"/>
              <w:ind w:right="80"/>
              <w:spacing w:after="0"/>
              <w:rPr>
                <w:sz w:val="20"/>
                <w:szCs w:val="20"/>
                <w:color w:val="auto"/>
              </w:rPr>
            </w:pPr>
            <w:r>
              <w:rPr>
                <w:rFonts w:ascii="Arial" w:cs="Arial" w:eastAsia="Arial" w:hAnsi="Arial"/>
                <w:sz w:val="16"/>
                <w:szCs w:val="16"/>
                <w:b w:val="1"/>
                <w:bCs w:val="1"/>
                <w:color w:val="auto"/>
                <w:w w:val="91"/>
              </w:rPr>
              <w:t>Three Months Ended September 30,</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58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and marketing</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6,675</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47,239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42,455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4,674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4,784</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2,754</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17,960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5,625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12,421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12,335</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1,344</w:t>
            </w:r>
          </w:p>
        </w:tc>
        <w:tc>
          <w:tcPr>
            <w:tcW w:w="0" w:type="dxa"/>
            <w:vAlign w:val="bottom"/>
          </w:tcPr>
          <w:p>
            <w:pPr>
              <w:spacing w:after="0"/>
              <w:rPr>
                <w:sz w:val="1"/>
                <w:szCs w:val="1"/>
                <w:color w:val="auto"/>
              </w:rPr>
            </w:pPr>
          </w:p>
        </w:tc>
      </w:tr>
      <w:tr>
        <w:trPr>
          <w:trHeight w:val="217"/>
        </w:trPr>
        <w:tc>
          <w:tcPr>
            <w:tcW w:w="324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155,421</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127,529</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29,236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27,892</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40" w:type="dxa"/>
            <w:vAlign w:val="bottom"/>
          </w:tcPr>
          <w:p>
            <w:pPr>
              <w:spacing w:after="0"/>
              <w:rPr>
                <w:sz w:val="24"/>
                <w:szCs w:val="24"/>
                <w:color w:val="auto"/>
              </w:rPr>
            </w:pPr>
          </w:p>
        </w:tc>
        <w:tc>
          <w:tcPr>
            <w:tcW w:w="3580" w:type="dxa"/>
            <w:vAlign w:val="bottom"/>
            <w:gridSpan w:val="6"/>
            <w:vMerge w:val="restart"/>
          </w:tcPr>
          <w:p>
            <w:pPr>
              <w:jc w:val="center"/>
              <w:ind w:right="80"/>
              <w:spacing w:after="0"/>
              <w:rPr>
                <w:sz w:val="20"/>
                <w:szCs w:val="20"/>
                <w:color w:val="auto"/>
              </w:rPr>
            </w:pPr>
            <w:r>
              <w:rPr>
                <w:rFonts w:ascii="Arial" w:cs="Arial" w:eastAsia="Arial" w:hAnsi="Arial"/>
                <w:sz w:val="16"/>
                <w:szCs w:val="16"/>
                <w:b w:val="1"/>
                <w:bCs w:val="1"/>
                <w:color w:val="auto"/>
                <w:w w:val="91"/>
              </w:rPr>
              <w:t>Nine Months Ended September 30,</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Effect of Changes in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58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and marketing</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144,573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126,298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18,275</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162,298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126,246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2,845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33,207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36,052</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188,260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119,883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65,952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68,377</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53,699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15,144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37,891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38,555</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82,908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75,491</w:t>
            </w:r>
          </w:p>
        </w:tc>
        <w:tc>
          <w:tcPr>
            <w:tcW w:w="0" w:type="dxa"/>
            <w:vAlign w:val="bottom"/>
          </w:tcPr>
          <w:p>
            <w:pPr>
              <w:spacing w:after="0"/>
              <w:rPr>
                <w:sz w:val="1"/>
                <w:szCs w:val="1"/>
                <w:color w:val="auto"/>
              </w:rPr>
            </w:pPr>
          </w:p>
        </w:tc>
      </w:tr>
      <w:tr>
        <w:trPr>
          <w:trHeight w:val="217"/>
        </w:trPr>
        <w:tc>
          <w:tcPr>
            <w:tcW w:w="324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631,738</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394,988</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9,656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227,094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236,750</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increased $27.9 million for the three months ended September 30, 2018 as compared with the same period in 2017. This was primarily due to our acquisition of SSNI and the related amortization of intangible assets, research and development expenses, and acquisitions and integration related expenses. These increases were partially offset by reduced variable compensation in 2018.</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increased $236.8 million for the nine months ended September 30, 2018 as compared with the same period in 2017. The was primarily due to increased restructuring expense following the announcement of the 2018 Projects in the first quarter of 2018, increased acquisition and integration related expenses included within general and administrative expenses, and increased amortization of intangible asset and research and development expenses. These increases were partially offset by reduced variable compensation expense in 2018. Operating expenses were unfavorably impacted by $9.7 million due to the effect of changes in foreign currency exchange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3360" w:type="dxa"/>
            <w:vAlign w:val="bottom"/>
            <w:gridSpan w:val="5"/>
          </w:tcPr>
          <w:p>
            <w:pPr>
              <w:jc w:val="right"/>
              <w:ind w:right="339"/>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5"/>
          </w:tcPr>
          <w:p>
            <w:pPr>
              <w:ind w:left="160"/>
              <w:spacing w:after="0"/>
              <w:rPr>
                <w:sz w:val="20"/>
                <w:szCs w:val="20"/>
                <w:color w:val="auto"/>
              </w:rPr>
            </w:pPr>
            <w:r>
              <w:rPr>
                <w:rFonts w:ascii="Arial" w:cs="Arial" w:eastAsia="Arial" w:hAnsi="Arial"/>
                <w:sz w:val="16"/>
                <w:szCs w:val="16"/>
                <w:b w:val="1"/>
                <w:bCs w:val="1"/>
                <w:color w:val="auto"/>
              </w:rPr>
              <w:t>Nine Months Ended September 30,</w:t>
            </w:r>
          </w:p>
        </w:tc>
        <w:tc>
          <w:tcPr>
            <w:tcW w:w="80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1"/>
        </w:trPr>
        <w:tc>
          <w:tcPr>
            <w:tcW w:w="28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6"/>
                <w:szCs w:val="16"/>
                <w:b w:val="1"/>
                <w:bCs w:val="1"/>
                <w:color w:val="auto"/>
              </w:rPr>
              <w:t>% Change</w:t>
            </w:r>
          </w:p>
        </w:tc>
        <w:tc>
          <w:tcPr>
            <w:tcW w:w="280" w:type="dxa"/>
            <w:vAlign w:val="bottom"/>
          </w:tcPr>
          <w:p>
            <w:pPr>
              <w:spacing w:after="0"/>
              <w:rPr>
                <w:sz w:val="20"/>
                <w:szCs w:val="20"/>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28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2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w:t>
            </w:r>
          </w:p>
        </w:tc>
        <w:tc>
          <w:tcPr>
            <w:tcW w:w="10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(41)%</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18%</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0"/>
              </w:rPr>
              <w:t>(12,948)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(3,199)</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305%</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(38,495)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(9,276)</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2"/>
              </w:rPr>
              <w:t>315%</w:t>
            </w:r>
          </w:p>
        </w:tc>
      </w:tr>
      <w:tr>
        <w:trPr>
          <w:trHeight w:val="33"/>
        </w:trPr>
        <w:tc>
          <w:tcPr>
            <w:tcW w:w="2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358%</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628%</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(2,434)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(1,995)</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22%</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(2,598)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(7,951)</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3"/>
              </w:rPr>
              <w:t>(67)%</w:t>
            </w:r>
          </w:p>
        </w:tc>
      </w:tr>
      <w:tr>
        <w:trPr>
          <w:trHeight w:val="33"/>
        </w:trPr>
        <w:tc>
          <w:tcPr>
            <w:tcW w:w="28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57"/>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(16,174)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(4,732)</w:t>
            </w:r>
          </w:p>
        </w:tc>
        <w:tc>
          <w:tcPr>
            <w:tcW w:w="10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242%</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(45,193)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(16,559)</w:t>
            </w: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173%</w:t>
            </w:r>
          </w:p>
        </w:tc>
      </w:tr>
      <w:tr>
        <w:trPr>
          <w:trHeight w:val="20"/>
        </w:trPr>
        <w:tc>
          <w:tcPr>
            <w:tcW w:w="2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other income (expense) for the three and nine months ended September 30, 2018 was a net expense of $16.2 million and $45.2 million, respectively, compared with $4.7 million and $16.6 million in the same periods in 2017. The increases were related to the increase in interest expense and amortization of prepaid debt fees as a result of the funding from the 2018 credit facility and senior secured notes. During the nine month periods, we had reduced losses, classified within other income (expense), resulting from foreign currency exchange fluctuations from transactions denominated in a currency other than our various subsidiary entities' functional currencies.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nine months ended September 30, 2018, our income tax expense (benefit) was $5.7 million and $(1.7) million compared with income tax expense of $6.6 million and $32.2 million for the same period in 2017. Our tax rate for the three and nine months ended September 30, 2018 of 22% and 1% differed from the federal statutory rate of 21% due to the forecasted mix of earnings in domestic and international jurisdictions, a benefit related to excess stock-based compensation, uncertain tax positions, and losses experienced in jurisdictions with valuation allowances on deferred tax assets. Our tax rate for the three and nine months ended September 30, 2017 of 20% and 36% differed from the federal statutory rate of 35% due to the forecasted mix of earnings in domestic and international jurisdictions, a benefit related to excess stock based compensation, and losses experienced in jurisdictions with valuation allowances on deferred tax assets.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tax provision for December 31, 2017 included the provisional determination of the impact to our deferred tax positions of the Tax Cuts and Jobs Act. We will continue to review any additional guidance issued by the U.S. Department of the Treasury, Internal Revenue Service, Financial Accounting Standards Board, or other regulatory bodies and adjust our provisional amount during the measurement period, which should not extend beyond one year from the enactment date of December 22, 2017. For the three and nine months ended September 30, 2018, no changes to these provisional amounts have been recognized.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(Unaudited) Note 15: Segment Information."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3"/>
              </w:rPr>
              <w:t>Nine Months Ended September 30,</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Revenues</w:t>
            </w:r>
          </w:p>
        </w:tc>
        <w:tc>
          <w:tcPr>
            <w:tcW w:w="120" w:type="dxa"/>
            <w:vAlign w:val="bottom"/>
          </w:tcPr>
          <w:p>
            <w:pPr>
              <w:spacing w:after="0"/>
              <w:rPr>
                <w:sz w:val="22"/>
                <w:szCs w:val="22"/>
                <w:color w:val="auto"/>
              </w:rPr>
            </w:pPr>
          </w:p>
        </w:tc>
        <w:tc>
          <w:tcPr>
            <w:tcW w:w="1500" w:type="dxa"/>
            <w:vAlign w:val="bottom"/>
            <w:gridSpan w:val="4"/>
          </w:tcPr>
          <w:p>
            <w:pPr>
              <w:jc w:val="center"/>
              <w:ind w:left="649"/>
              <w:spacing w:after="0"/>
              <w:rPr>
                <w:sz w:val="20"/>
                <w:szCs w:val="20"/>
                <w:color w:val="auto"/>
              </w:rPr>
            </w:pPr>
            <w:r>
              <w:rPr>
                <w:rFonts w:ascii="Arial" w:cs="Arial" w:eastAsia="Arial" w:hAnsi="Arial"/>
                <w:sz w:val="13"/>
                <w:szCs w:val="13"/>
                <w:b w:val="1"/>
                <w:bCs w:val="1"/>
                <w:color w:val="auto"/>
                <w:w w:val="87"/>
              </w:rPr>
              <w:t>(in thousands)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4"/>
              </w:rPr>
              <w:t>(in thousands)</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236,842</w:t>
            </w:r>
          </w:p>
        </w:tc>
        <w:tc>
          <w:tcPr>
            <w:tcW w:w="54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240,142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4"/>
              </w:rPr>
              <w:t>(1)%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739,825</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729,225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88"/>
              </w:rPr>
              <w:t>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156,747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131,780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color w:val="auto"/>
                <w:w w:val="99"/>
              </w:rPr>
              <w:t>19%</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431,518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394,691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w w:val="88"/>
              </w:rPr>
              <w:t>9%</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112,584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114,825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4"/>
              </w:rPr>
              <w:t>(2)%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368,415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343,505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88"/>
              </w:rPr>
              <w:t>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Networks</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89,789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gridSpan w:val="2"/>
          </w:tcPr>
          <w:p>
            <w:pPr>
              <w:jc w:val="center"/>
              <w:ind w:right="240"/>
              <w:spacing w:after="0"/>
              <w:rPr>
                <w:sz w:val="20"/>
                <w:szCs w:val="20"/>
                <w:color w:val="auto"/>
              </w:rPr>
            </w:pPr>
            <w:r>
              <w:rPr>
                <w:rFonts w:ascii="Arial" w:cs="Arial" w:eastAsia="Arial" w:hAnsi="Arial"/>
                <w:sz w:val="14"/>
                <w:szCs w:val="14"/>
                <w:color w:val="auto"/>
              </w:rPr>
              <w:t>N/A</w:t>
            </w: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249,315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gridSpan w:val="2"/>
          </w:tcPr>
          <w:p>
            <w:pPr>
              <w:jc w:val="center"/>
              <w:ind w:right="220"/>
              <w:spacing w:after="0"/>
              <w:rPr>
                <w:sz w:val="20"/>
                <w:szCs w:val="20"/>
                <w:color w:val="auto"/>
              </w:rPr>
            </w:pPr>
            <w:r>
              <w:rPr>
                <w:rFonts w:ascii="Arial" w:cs="Arial" w:eastAsia="Arial" w:hAnsi="Arial"/>
                <w:sz w:val="14"/>
                <w:szCs w:val="14"/>
                <w:color w:val="auto"/>
              </w:rPr>
              <w:t>N/A</w:t>
            </w:r>
          </w:p>
        </w:tc>
        <w:tc>
          <w:tcPr>
            <w:tcW w:w="9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595,962</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486,747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49"/>
              <w:spacing w:after="0"/>
              <w:rPr>
                <w:sz w:val="20"/>
                <w:szCs w:val="20"/>
                <w:color w:val="auto"/>
              </w:rPr>
            </w:pPr>
            <w:r>
              <w:rPr>
                <w:rFonts w:ascii="Arial" w:cs="Arial" w:eastAsia="Arial" w:hAnsi="Arial"/>
                <w:sz w:val="14"/>
                <w:szCs w:val="14"/>
                <w:color w:val="auto"/>
                <w:w w:val="99"/>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1,789,073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1,467,421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right="29"/>
              <w:spacing w:after="0"/>
              <w:rPr>
                <w:sz w:val="20"/>
                <w:szCs w:val="20"/>
                <w:color w:val="auto"/>
              </w:rPr>
            </w:pPr>
            <w:r>
              <w:rPr>
                <w:rFonts w:ascii="Arial" w:cs="Arial" w:eastAsia="Arial" w:hAnsi="Arial"/>
                <w:sz w:val="14"/>
                <w:szCs w:val="14"/>
                <w:color w:val="auto"/>
                <w:w w:val="92"/>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2"/>
              </w:rPr>
              <w:t>Three Months Ended September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2"/>
              </w:rPr>
              <w:t>Nine Months Ended 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w w:val="89"/>
              </w:rPr>
              <w:t>2018</w:t>
            </w: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88"/>
              </w:rPr>
              <w:t>Gross</w:t>
            </w: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i w:val="1"/>
                <w:iCs w:val="1"/>
                <w:color w:val="auto"/>
                <w:w w:val="88"/>
              </w:rPr>
              <w:t>Gross</w:t>
            </w:r>
          </w:p>
        </w:tc>
        <w:tc>
          <w:tcPr>
            <w:tcW w:w="120" w:type="dxa"/>
            <w:vAlign w:val="bottom"/>
          </w:tcPr>
          <w:p>
            <w:pPr>
              <w:spacing w:after="0"/>
              <w:rPr>
                <w:sz w:val="13"/>
                <w:szCs w:val="13"/>
                <w:color w:val="auto"/>
              </w:rPr>
            </w:pPr>
          </w:p>
        </w:tc>
        <w:tc>
          <w:tcPr>
            <w:tcW w:w="1000" w:type="dxa"/>
            <w:vAlign w:val="bottom"/>
          </w:tcPr>
          <w:p>
            <w:pPr>
              <w:jc w:val="center"/>
              <w:ind w:right="29"/>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2"/>
              </w:rPr>
              <w:t>Profit</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i w:val="1"/>
                <w:iCs w:val="1"/>
                <w:color w:val="auto"/>
                <w:w w:val="95"/>
              </w:rPr>
              <w:t>Margin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i w:val="1"/>
                <w:iCs w:val="1"/>
                <w:color w:val="auto"/>
                <w:w w:val="98"/>
              </w:rPr>
              <w:t>Profit</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2"/>
              </w:rPr>
              <w:t>Profit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2"/>
              </w:rPr>
              <w:t>Profit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Margin</w:t>
            </w:r>
          </w:p>
        </w:tc>
        <w:tc>
          <w:tcPr>
            <w:tcW w:w="0" w:type="dxa"/>
            <w:vAlign w:val="bottom"/>
          </w:tcPr>
          <w:p>
            <w:pPr>
              <w:spacing w:after="0"/>
              <w:rPr>
                <w:sz w:val="1"/>
                <w:szCs w:val="1"/>
                <w:color w:val="auto"/>
              </w:rPr>
            </w:pPr>
          </w:p>
        </w:tc>
      </w:tr>
      <w:tr>
        <w:trPr>
          <w:trHeight w:val="143"/>
        </w:trPr>
        <w:tc>
          <w:tcPr>
            <w:tcW w:w="1960" w:type="dxa"/>
            <w:vAlign w:val="bottom"/>
          </w:tcPr>
          <w:p>
            <w:pPr>
              <w:ind w:left="40"/>
              <w:spacing w:after="0" w:line="143" w:lineRule="exact"/>
              <w:rPr>
                <w:sz w:val="20"/>
                <w:szCs w:val="20"/>
                <w:color w:val="auto"/>
              </w:rPr>
            </w:pPr>
            <w:r>
              <w:rPr>
                <w:rFonts w:ascii="Arial" w:cs="Arial" w:eastAsia="Arial" w:hAnsi="Arial"/>
                <w:sz w:val="14"/>
                <w:szCs w:val="14"/>
                <w:b w:val="1"/>
                <w:bCs w:val="1"/>
                <w:i w:val="1"/>
                <w:iCs w:val="1"/>
                <w:color w:val="auto"/>
              </w:rPr>
              <w:t>Segment Gross Profit and</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29"/>
              <w:spacing w:after="0"/>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Margin</w:t>
            </w: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74,549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right="268"/>
              <w:spacing w:after="0"/>
              <w:rPr>
                <w:sz w:val="20"/>
                <w:szCs w:val="20"/>
                <w:color w:val="auto"/>
              </w:rPr>
            </w:pPr>
            <w:r>
              <w:rPr>
                <w:rFonts w:ascii="Arial" w:cs="Arial" w:eastAsia="Arial" w:hAnsi="Arial"/>
                <w:sz w:val="14"/>
                <w:szCs w:val="14"/>
                <w:color w:val="auto"/>
                <w:w w:val="90"/>
              </w:rPr>
              <w:t>31.5%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76,492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221,511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0"/>
              </w:rPr>
              <w:t>29.9%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222,387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30.5%</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55,812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center"/>
              <w:ind w:right="268"/>
              <w:spacing w:after="0"/>
              <w:rPr>
                <w:sz w:val="20"/>
                <w:szCs w:val="20"/>
                <w:color w:val="auto"/>
              </w:rPr>
            </w:pPr>
            <w:r>
              <w:rPr>
                <w:rFonts w:ascii="Arial" w:cs="Arial" w:eastAsia="Arial" w:hAnsi="Arial"/>
                <w:sz w:val="14"/>
                <w:szCs w:val="14"/>
                <w:color w:val="auto"/>
                <w:w w:val="90"/>
              </w:rPr>
              <w:t>35.6%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46,529</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139,826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center"/>
              <w:ind w:right="108"/>
              <w:spacing w:after="0"/>
              <w:rPr>
                <w:sz w:val="20"/>
                <w:szCs w:val="20"/>
                <w:color w:val="auto"/>
              </w:rPr>
            </w:pPr>
            <w:r>
              <w:rPr>
                <w:rFonts w:ascii="Arial" w:cs="Arial" w:eastAsia="Arial" w:hAnsi="Arial"/>
                <w:sz w:val="14"/>
                <w:szCs w:val="14"/>
                <w:color w:val="auto"/>
                <w:w w:val="90"/>
              </w:rPr>
              <w:t>32.4%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147,880</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37.5%</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35,139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right="268"/>
              <w:spacing w:after="0"/>
              <w:rPr>
                <w:sz w:val="20"/>
                <w:szCs w:val="20"/>
                <w:color w:val="auto"/>
              </w:rPr>
            </w:pPr>
            <w:r>
              <w:rPr>
                <w:rFonts w:ascii="Arial" w:cs="Arial" w:eastAsia="Arial" w:hAnsi="Arial"/>
                <w:sz w:val="14"/>
                <w:szCs w:val="14"/>
                <w:color w:val="auto"/>
                <w:w w:val="90"/>
              </w:rPr>
              <w:t>31.2%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42,734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110,779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0"/>
              </w:rPr>
              <w:t>30.1%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131,402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38.3%</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Networks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31,597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center"/>
              <w:ind w:right="268"/>
              <w:spacing w:after="0"/>
              <w:rPr>
                <w:sz w:val="20"/>
                <w:szCs w:val="20"/>
                <w:color w:val="auto"/>
              </w:rPr>
            </w:pPr>
            <w:r>
              <w:rPr>
                <w:rFonts w:ascii="Arial" w:cs="Arial" w:eastAsia="Arial" w:hAnsi="Arial"/>
                <w:sz w:val="14"/>
                <w:szCs w:val="14"/>
                <w:color w:val="auto"/>
                <w:w w:val="90"/>
              </w:rPr>
              <w:t>35.2%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81,413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center"/>
              <w:ind w:right="108"/>
              <w:spacing w:after="0"/>
              <w:rPr>
                <w:sz w:val="20"/>
                <w:szCs w:val="20"/>
                <w:color w:val="auto"/>
              </w:rPr>
            </w:pPr>
            <w:r>
              <w:rPr>
                <w:rFonts w:ascii="Arial" w:cs="Arial" w:eastAsia="Arial" w:hAnsi="Arial"/>
                <w:sz w:val="14"/>
                <w:szCs w:val="14"/>
                <w:color w:val="auto"/>
                <w:w w:val="90"/>
              </w:rPr>
              <w:t>32.7%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3"/>
        </w:trPr>
        <w:tc>
          <w:tcPr>
            <w:tcW w:w="1960" w:type="dxa"/>
            <w:vAlign w:val="bottom"/>
            <w:tcBorders>
              <w:top w:val="single" w:sz="8" w:color="CCEEFF"/>
            </w:tcBorders>
            <w:shd w:val="clear" w:color="auto" w:fill="CCEEFF"/>
          </w:tcPr>
          <w:p>
            <w:pPr>
              <w:ind w:left="660"/>
              <w:spacing w:after="0" w:line="143" w:lineRule="exact"/>
              <w:rPr>
                <w:sz w:val="20"/>
                <w:szCs w:val="20"/>
                <w:color w:val="auto"/>
              </w:rPr>
            </w:pPr>
            <w:r>
              <w:rPr>
                <w:rFonts w:ascii="Arial" w:cs="Arial" w:eastAsia="Arial" w:hAnsi="Arial"/>
                <w:sz w:val="14"/>
                <w:szCs w:val="14"/>
                <w:color w:val="auto"/>
                <w:w w:val="97"/>
              </w:rPr>
              <w:t>Total gross profit and</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197,097</w:t>
            </w: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165,755</w:t>
            </w: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553,529</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501,669</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margin</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center"/>
              <w:ind w:right="268"/>
              <w:spacing w:after="0"/>
              <w:rPr>
                <w:sz w:val="20"/>
                <w:szCs w:val="20"/>
                <w:color w:val="auto"/>
              </w:rPr>
            </w:pPr>
            <w:r>
              <w:rPr>
                <w:rFonts w:ascii="Arial" w:cs="Arial" w:eastAsia="Arial" w:hAnsi="Arial"/>
                <w:sz w:val="14"/>
                <w:szCs w:val="14"/>
                <w:color w:val="auto"/>
                <w:w w:val="90"/>
              </w:rPr>
              <w:t>33.1%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34.1%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center"/>
              <w:ind w:right="108"/>
              <w:spacing w:after="0"/>
              <w:rPr>
                <w:sz w:val="20"/>
                <w:szCs w:val="20"/>
                <w:color w:val="auto"/>
              </w:rPr>
            </w:pPr>
            <w:r>
              <w:rPr>
                <w:rFonts w:ascii="Arial" w:cs="Arial" w:eastAsia="Arial" w:hAnsi="Arial"/>
                <w:sz w:val="14"/>
                <w:szCs w:val="14"/>
                <w:color w:val="auto"/>
                <w:w w:val="90"/>
              </w:rPr>
              <w:t>30.9%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34.2%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3"/>
              </w:rPr>
              <w:t>Nine Months Ended September 30,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b w:val="1"/>
                <w:bCs w:val="1"/>
                <w:i w:val="1"/>
                <w:iCs w:val="1"/>
                <w:color w:val="auto"/>
                <w:w w:val="95"/>
              </w:rPr>
              <w:t>Segment Operating Expenses</w:t>
            </w:r>
          </w:p>
        </w:tc>
        <w:tc>
          <w:tcPr>
            <w:tcW w:w="120" w:type="dxa"/>
            <w:vAlign w:val="bottom"/>
          </w:tcPr>
          <w:p>
            <w:pPr>
              <w:spacing w:after="0"/>
              <w:rPr>
                <w:sz w:val="22"/>
                <w:szCs w:val="22"/>
                <w:color w:val="auto"/>
              </w:rPr>
            </w:pPr>
          </w:p>
        </w:tc>
        <w:tc>
          <w:tcPr>
            <w:tcW w:w="1500" w:type="dxa"/>
            <w:vAlign w:val="bottom"/>
            <w:gridSpan w:val="4"/>
          </w:tcPr>
          <w:p>
            <w:pPr>
              <w:jc w:val="center"/>
              <w:ind w:left="649"/>
              <w:spacing w:after="0"/>
              <w:rPr>
                <w:sz w:val="20"/>
                <w:szCs w:val="20"/>
                <w:color w:val="auto"/>
              </w:rPr>
            </w:pPr>
            <w:r>
              <w:rPr>
                <w:rFonts w:ascii="Arial" w:cs="Arial" w:eastAsia="Arial" w:hAnsi="Arial"/>
                <w:sz w:val="13"/>
                <w:szCs w:val="13"/>
                <w:b w:val="1"/>
                <w:bCs w:val="1"/>
                <w:color w:val="auto"/>
                <w:w w:val="87"/>
              </w:rPr>
              <w:t>(in thousands)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4"/>
              </w:rPr>
              <w:t>(in thousands)</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48,696</w:t>
            </w:r>
          </w:p>
        </w:tc>
        <w:tc>
          <w:tcPr>
            <w:tcW w:w="54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59,175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6"/>
              </w:rPr>
              <w:t>(18)%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169,429</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170,147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8"/>
              </w:rPr>
              <w:t>—%</w:t>
            </w: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24,533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26,060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color w:val="auto"/>
                <w:w w:val="94"/>
              </w:rPr>
              <w:t>(6)%</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121,650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88,703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w w:val="92"/>
              </w:rPr>
              <w:t>37%</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28,280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8"/>
              </w:rPr>
              <w:t>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106,806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90,700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2"/>
              </w:rPr>
              <w:t>18%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Networks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47,221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rPr>
              <w:t>N/A</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200,766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rPr>
              <w:t>N/A</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unallocated</w:t>
            </w: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6,691</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6"/>
              </w:rPr>
              <w:t>(54)%</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33,087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45,438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6"/>
              </w:rPr>
              <w:t>(27)%</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80" w:type="dxa"/>
            <w:vAlign w:val="bottom"/>
            <w:gridSpan w:val="2"/>
          </w:tcPr>
          <w:p>
            <w:pPr>
              <w:jc w:val="right"/>
              <w:spacing w:after="0"/>
              <w:rPr>
                <w:sz w:val="20"/>
                <w:szCs w:val="20"/>
                <w:color w:val="auto"/>
              </w:rPr>
            </w:pPr>
            <w:r>
              <w:rPr>
                <w:rFonts w:ascii="Arial" w:cs="Arial" w:eastAsia="Arial" w:hAnsi="Arial"/>
                <w:sz w:val="14"/>
                <w:szCs w:val="14"/>
                <w:color w:val="auto"/>
              </w:rPr>
              <w:t>Total operating expenses $</w:t>
            </w:r>
          </w:p>
        </w:tc>
        <w:tc>
          <w:tcPr>
            <w:tcW w:w="960" w:type="dxa"/>
            <w:vAlign w:val="bottom"/>
          </w:tcPr>
          <w:p>
            <w:pPr>
              <w:jc w:val="right"/>
              <w:spacing w:after="0"/>
              <w:rPr>
                <w:sz w:val="20"/>
                <w:szCs w:val="20"/>
                <w:color w:val="auto"/>
              </w:rPr>
            </w:pPr>
            <w:r>
              <w:rPr>
                <w:rFonts w:ascii="Arial" w:cs="Arial" w:eastAsia="Arial" w:hAnsi="Arial"/>
                <w:sz w:val="14"/>
                <w:szCs w:val="14"/>
                <w:color w:val="auto"/>
              </w:rPr>
              <w:t>155,421</w:t>
            </w:r>
          </w:p>
        </w:tc>
        <w:tc>
          <w:tcPr>
            <w:tcW w:w="54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127,529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color w:val="auto"/>
                <w:w w:val="99"/>
              </w:rPr>
              <w:t>22%</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631,738</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394,988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w w:val="92"/>
              </w:rPr>
              <w:t>60%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2"/>
              </w:rPr>
              <w:t>Three Months Ended September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2"/>
              </w:rPr>
              <w:t>Nine Months Ended 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w w:val="89"/>
              </w:rPr>
              <w:t>2018</w:t>
            </w: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000" w:type="dxa"/>
            <w:vAlign w:val="bottom"/>
          </w:tcPr>
          <w:p>
            <w:pPr>
              <w:jc w:val="center"/>
              <w:ind w:right="49"/>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Income (Loss)</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i w:val="1"/>
                <w:iCs w:val="1"/>
                <w:color w:val="auto"/>
                <w:w w:val="95"/>
              </w:rPr>
              <w:t>Margin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i w:val="1"/>
                <w:iCs w:val="1"/>
                <w:color w:val="auto"/>
                <w:w w:val="88"/>
              </w:rPr>
              <w:t>Income (Loss)</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0"/>
              </w:rPr>
              <w:t>Income (Loss)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0"/>
              </w:rPr>
              <w:t>Income (Loss)</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Margin</w:t>
            </w:r>
          </w:p>
        </w:tc>
        <w:tc>
          <w:tcPr>
            <w:tcW w:w="0" w:type="dxa"/>
            <w:vAlign w:val="bottom"/>
          </w:tcPr>
          <w:p>
            <w:pPr>
              <w:spacing w:after="0"/>
              <w:rPr>
                <w:sz w:val="1"/>
                <w:szCs w:val="1"/>
                <w:color w:val="auto"/>
              </w:rPr>
            </w:pPr>
          </w:p>
        </w:tc>
      </w:tr>
      <w:tr>
        <w:trPr>
          <w:trHeight w:val="143"/>
        </w:trPr>
        <w:tc>
          <w:tcPr>
            <w:tcW w:w="1960" w:type="dxa"/>
            <w:vAlign w:val="bottom"/>
          </w:tcPr>
          <w:p>
            <w:pPr>
              <w:ind w:left="40"/>
              <w:spacing w:after="0" w:line="143" w:lineRule="exact"/>
              <w:rPr>
                <w:sz w:val="20"/>
                <w:szCs w:val="20"/>
                <w:color w:val="auto"/>
              </w:rPr>
            </w:pPr>
            <w:r>
              <w:rPr>
                <w:rFonts w:ascii="Arial" w:cs="Arial" w:eastAsia="Arial" w:hAnsi="Arial"/>
                <w:sz w:val="14"/>
                <w:szCs w:val="14"/>
                <w:b w:val="1"/>
                <w:bCs w:val="1"/>
                <w:i w:val="1"/>
                <w:iCs w:val="1"/>
                <w:color w:val="auto"/>
              </w:rPr>
              <w:t>Segment Operating Income</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29"/>
              <w:spacing w:after="0"/>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w w:val="99"/>
              </w:rPr>
              <w:t>(Loss) and Operating Margin</w:t>
            </w: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25,853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right="268"/>
              <w:spacing w:after="0"/>
              <w:rPr>
                <w:sz w:val="20"/>
                <w:szCs w:val="20"/>
                <w:color w:val="auto"/>
              </w:rPr>
            </w:pPr>
            <w:r>
              <w:rPr>
                <w:rFonts w:ascii="Arial" w:cs="Arial" w:eastAsia="Arial" w:hAnsi="Arial"/>
                <w:sz w:val="14"/>
                <w:szCs w:val="14"/>
                <w:color w:val="auto"/>
                <w:w w:val="90"/>
              </w:rPr>
              <w:t>10.9%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17,317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52,082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3"/>
              </w:rPr>
              <w:t>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52,240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31,279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center"/>
              <w:ind w:right="268"/>
              <w:spacing w:after="0"/>
              <w:rPr>
                <w:sz w:val="20"/>
                <w:szCs w:val="20"/>
                <w:color w:val="auto"/>
              </w:rPr>
            </w:pPr>
            <w:r>
              <w:rPr>
                <w:rFonts w:ascii="Arial" w:cs="Arial" w:eastAsia="Arial" w:hAnsi="Arial"/>
                <w:sz w:val="14"/>
                <w:szCs w:val="14"/>
                <w:color w:val="auto"/>
                <w:w w:val="90"/>
              </w:rPr>
              <w:t>20.0%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20,469</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15.5%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18,176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center"/>
              <w:ind w:right="128"/>
              <w:spacing w:after="0"/>
              <w:rPr>
                <w:sz w:val="20"/>
                <w:szCs w:val="20"/>
                <w:color w:val="auto"/>
              </w:rPr>
            </w:pPr>
            <w:r>
              <w:rPr>
                <w:rFonts w:ascii="Arial" w:cs="Arial" w:eastAsia="Arial" w:hAnsi="Arial"/>
                <w:sz w:val="14"/>
                <w:szCs w:val="14"/>
                <w:color w:val="auto"/>
                <w:w w:val="93"/>
              </w:rPr>
              <w:t>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59,177</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15.0%</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right="288"/>
              <w:spacing w:after="0"/>
              <w:rPr>
                <w:sz w:val="20"/>
                <w:szCs w:val="20"/>
                <w:color w:val="auto"/>
              </w:rPr>
            </w:pPr>
            <w:r>
              <w:rPr>
                <w:rFonts w:ascii="Arial" w:cs="Arial" w:eastAsia="Arial" w:hAnsi="Arial"/>
                <w:sz w:val="14"/>
                <w:szCs w:val="14"/>
                <w:color w:val="auto"/>
                <w:w w:val="93"/>
              </w:rPr>
              <w:t>6.1%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15,032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3"/>
              </w:rPr>
              <w:t>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40,702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11.8%</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Networks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(15,624)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center"/>
              <w:ind w:right="268"/>
              <w:spacing w:after="0"/>
              <w:rPr>
                <w:sz w:val="20"/>
                <w:szCs w:val="20"/>
                <w:color w:val="auto"/>
              </w:rPr>
            </w:pPr>
            <w:r>
              <w:rPr>
                <w:rFonts w:ascii="Arial" w:cs="Arial" w:eastAsia="Arial" w:hAnsi="Arial"/>
                <w:sz w:val="14"/>
                <w:szCs w:val="14"/>
                <w:color w:val="auto"/>
                <w:w w:val="97"/>
              </w:rPr>
              <w:t>(17.4)%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(119,353)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center"/>
              <w:ind w:right="108"/>
              <w:spacing w:after="0"/>
              <w:rPr>
                <w:sz w:val="20"/>
                <w:szCs w:val="20"/>
                <w:color w:val="auto"/>
              </w:rPr>
            </w:pPr>
            <w:r>
              <w:rPr>
                <w:rFonts w:ascii="Arial" w:cs="Arial" w:eastAsia="Arial" w:hAnsi="Arial"/>
                <w:sz w:val="14"/>
                <w:szCs w:val="14"/>
                <w:color w:val="auto"/>
                <w:w w:val="97"/>
              </w:rPr>
              <w:t>(47.9)%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unallocated</w:t>
            </w: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(6,691)</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right="268"/>
              <w:spacing w:after="0"/>
              <w:rPr>
                <w:sz w:val="20"/>
                <w:szCs w:val="20"/>
                <w:color w:val="auto"/>
              </w:rPr>
            </w:pPr>
            <w:r>
              <w:rPr>
                <w:rFonts w:ascii="Arial" w:cs="Arial" w:eastAsia="Arial" w:hAnsi="Arial"/>
                <w:sz w:val="14"/>
                <w:szCs w:val="14"/>
                <w:color w:val="auto"/>
                <w:w w:val="96"/>
              </w:rPr>
              <w:t>(1.1)%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(14,592)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(33,087)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6"/>
              </w:rPr>
              <w:t>(1.8)%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(45,438)</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(3.1)%</w:t>
            </w:r>
          </w:p>
        </w:tc>
        <w:tc>
          <w:tcPr>
            <w:tcW w:w="0" w:type="dxa"/>
            <w:vAlign w:val="bottom"/>
          </w:tcPr>
          <w:p>
            <w:pPr>
              <w:spacing w:after="0"/>
              <w:rPr>
                <w:sz w:val="1"/>
                <w:szCs w:val="1"/>
                <w:color w:val="auto"/>
              </w:rPr>
            </w:pPr>
          </w:p>
        </w:tc>
      </w:tr>
      <w:tr>
        <w:trPr>
          <w:trHeight w:val="243"/>
        </w:trPr>
        <w:tc>
          <w:tcPr>
            <w:tcW w:w="1960" w:type="dxa"/>
            <w:vAlign w:val="bottom"/>
          </w:tcPr>
          <w:p>
            <w:pPr>
              <w:ind w:left="660"/>
              <w:spacing w:after="0"/>
              <w:rPr>
                <w:sz w:val="20"/>
                <w:szCs w:val="20"/>
                <w:color w:val="auto"/>
              </w:rPr>
            </w:pPr>
            <w:r>
              <w:rPr>
                <w:rFonts w:ascii="Arial" w:cs="Arial" w:eastAsia="Arial" w:hAnsi="Arial"/>
                <w:sz w:val="14"/>
                <w:szCs w:val="14"/>
                <w:color w:val="auto"/>
              </w:rPr>
              <w:t>Total Company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41,676</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center"/>
              <w:ind w:right="288"/>
              <w:spacing w:after="0"/>
              <w:rPr>
                <w:sz w:val="20"/>
                <w:szCs w:val="20"/>
                <w:color w:val="auto"/>
              </w:rPr>
            </w:pPr>
            <w:r>
              <w:rPr>
                <w:rFonts w:ascii="Arial" w:cs="Arial" w:eastAsia="Arial" w:hAnsi="Arial"/>
                <w:sz w:val="14"/>
                <w:szCs w:val="14"/>
                <w:color w:val="auto"/>
                <w:w w:val="93"/>
              </w:rPr>
              <w:t>7.0%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38,226</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7.9%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center"/>
              <w:ind w:right="108"/>
              <w:spacing w:after="0"/>
              <w:rPr>
                <w:sz w:val="20"/>
                <w:szCs w:val="20"/>
                <w:color w:val="auto"/>
              </w:rPr>
            </w:pPr>
            <w:r>
              <w:rPr>
                <w:rFonts w:ascii="Arial" w:cs="Arial" w:eastAsia="Arial" w:hAnsi="Arial"/>
                <w:sz w:val="14"/>
                <w:szCs w:val="14"/>
                <w:color w:val="auto"/>
                <w:w w:val="96"/>
              </w:rPr>
              <w:t>(4.4)%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106,681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7.3%</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Electricity operating segment financial results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358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Three Months Ended September 30,</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Electricity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236,842</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240,142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(2,664)</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74,549</w:t>
            </w:r>
          </w:p>
        </w:tc>
        <w:tc>
          <w:tcPr>
            <w:tcW w:w="5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76,492</w:t>
            </w:r>
          </w:p>
        </w:tc>
        <w:tc>
          <w:tcPr>
            <w:tcW w:w="2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(863)</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(1,080)</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(1,943)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48,696</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59,175</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(10,140)</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(10,479)</w:t>
            </w:r>
          </w:p>
        </w:tc>
        <w:tc>
          <w:tcPr>
            <w:tcW w:w="0" w:type="dxa"/>
            <w:vAlign w:val="bottom"/>
          </w:tcPr>
          <w:p>
            <w:pPr>
              <w:spacing w:after="0"/>
              <w:rPr>
                <w:sz w:val="1"/>
                <w:szCs w:val="1"/>
                <w:color w:val="auto"/>
              </w:rPr>
            </w:pPr>
          </w:p>
        </w:tc>
      </w:tr>
      <w:tr>
        <w:trPr>
          <w:trHeight w:val="648"/>
        </w:trPr>
        <w:tc>
          <w:tcPr>
            <w:tcW w:w="3100" w:type="dxa"/>
            <w:vAlign w:val="bottom"/>
          </w:tcPr>
          <w:p>
            <w:pPr>
              <w:spacing w:after="0"/>
              <w:rPr>
                <w:sz w:val="24"/>
                <w:szCs w:val="24"/>
                <w:color w:val="auto"/>
              </w:rPr>
            </w:pPr>
          </w:p>
        </w:tc>
        <w:tc>
          <w:tcPr>
            <w:tcW w:w="3580" w:type="dxa"/>
            <w:vAlign w:val="bottom"/>
            <w:gridSpan w:val="4"/>
            <w:vMerge w:val="restart"/>
          </w:tcPr>
          <w:p>
            <w:pPr>
              <w:jc w:val="right"/>
              <w:ind w:right="479"/>
              <w:spacing w:after="0"/>
              <w:rPr>
                <w:sz w:val="20"/>
                <w:szCs w:val="20"/>
                <w:color w:val="auto"/>
              </w:rPr>
            </w:pPr>
            <w:r>
              <w:rPr>
                <w:rFonts w:ascii="Arial" w:cs="Arial" w:eastAsia="Arial" w:hAnsi="Arial"/>
                <w:sz w:val="16"/>
                <w:szCs w:val="16"/>
                <w:b w:val="1"/>
                <w:bCs w:val="1"/>
                <w:color w:val="auto"/>
              </w:rPr>
              <w:t>Nine Months Ended September 30,</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Electricity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739,825</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729,225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10,314</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10,600</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w w:val="89"/>
              </w:rPr>
              <w:t>221,511</w:t>
            </w:r>
          </w:p>
        </w:tc>
        <w:tc>
          <w:tcPr>
            <w:tcW w:w="5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222,387</w:t>
            </w:r>
          </w:p>
        </w:tc>
        <w:tc>
          <w:tcPr>
            <w:tcW w:w="2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2,704</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(3,580)</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169,429</w:t>
            </w:r>
          </w:p>
        </w:tc>
        <w:tc>
          <w:tcPr>
            <w:tcW w:w="5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170,147</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2,478</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(3,196)</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2018 vs. Three months ended September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decreased $3.3 million, or 1% for the three months ended September 30, 2018 compared with the same period in 2017. We had strong product revenue growth in our Europe, Middle East, and Africa (EMEA) region. These increases were offset by a decline in North America product revenues. Changes in foreign currency exchange rates unfavorably impacted revenues by $2.7 million.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2018 vs. Nine months ended September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$10.6 million, or 1%, primarily due to strong growth in EMEA product revenues in 2018. Our DEM business revenues increased $20.7 million, along with $10.3 million of favorable foreign currency exchange rate impacts, in 2018 as compared with 2017. These were partially offset by reduced product revenues in North America in 2018.</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2018 vs. Three months ended September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was 31.5% for the three months ended September 30, 2018, compared with 31.9% for the same period in 2017. The 40 basis point decrease over the prior year was primarily the result of reduced margins in North America due to unfavorable product mix and increased component costs, offset by reduced variable compensation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2018 vs. Nine months ended September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2018, gross margin was 29.9%, compared with 30.5% for the same period in 2017. The 60 basis point reduction over the prior year was primarily the result of increased component costs and unfavorable product mix. These unfavorable impacts were partially offset by reduced variable compensation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2018 vs. Three months ended September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$10.5 million, or 18%, for the three months ended September 30, 2018, compared with the same period in 2017. The decrease was primarily a result of lower acquisition and integration expenses associated with the Comverge Inc. acquisition in 2017 and a decrease in general and administrative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2018 vs. Nine months ended September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$0.7 million, for the nine months ended September 30, 2018, compared with the same period in 2017. The decrease resulted primarily from lower acquisition and integration related expenses and general and administrative expenses, partially offset by higher restructuring expenses following the announcement of the 2018 Projects.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Gas operating segment financial results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358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Three Months Ended September 30,</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156,747</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131,780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(2,540)</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27,507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24,967</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55,812</w:t>
            </w:r>
          </w:p>
        </w:tc>
        <w:tc>
          <w:tcPr>
            <w:tcW w:w="5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46,529</w:t>
            </w:r>
          </w:p>
        </w:tc>
        <w:tc>
          <w:tcPr>
            <w:tcW w:w="2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(641)</w:t>
            </w:r>
          </w:p>
        </w:tc>
        <w:tc>
          <w:tcPr>
            <w:tcW w:w="30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9,924</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9,283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24,533</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26,060</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(1,314)</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648"/>
        </w:trPr>
        <w:tc>
          <w:tcPr>
            <w:tcW w:w="3100" w:type="dxa"/>
            <w:vAlign w:val="bottom"/>
          </w:tcPr>
          <w:p>
            <w:pPr>
              <w:spacing w:after="0"/>
              <w:rPr>
                <w:sz w:val="24"/>
                <w:szCs w:val="24"/>
                <w:color w:val="auto"/>
              </w:rPr>
            </w:pPr>
          </w:p>
        </w:tc>
        <w:tc>
          <w:tcPr>
            <w:tcW w:w="3580" w:type="dxa"/>
            <w:vAlign w:val="bottom"/>
            <w:gridSpan w:val="4"/>
            <w:vMerge w:val="restart"/>
          </w:tcPr>
          <w:p>
            <w:pPr>
              <w:jc w:val="right"/>
              <w:ind w:right="479"/>
              <w:spacing w:after="0"/>
              <w:rPr>
                <w:sz w:val="20"/>
                <w:szCs w:val="20"/>
                <w:color w:val="auto"/>
              </w:rPr>
            </w:pPr>
            <w:r>
              <w:rPr>
                <w:rFonts w:ascii="Arial" w:cs="Arial" w:eastAsia="Arial" w:hAnsi="Arial"/>
                <w:sz w:val="16"/>
                <w:szCs w:val="16"/>
                <w:b w:val="1"/>
                <w:bCs w:val="1"/>
                <w:color w:val="auto"/>
              </w:rPr>
              <w:t>Nine Months Ended September 30,</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431,518</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394,691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6,071</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30,756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36,827</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w w:val="89"/>
              </w:rPr>
              <w:t>139,826</w:t>
            </w:r>
          </w:p>
        </w:tc>
        <w:tc>
          <w:tcPr>
            <w:tcW w:w="5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147,880</w:t>
            </w:r>
          </w:p>
        </w:tc>
        <w:tc>
          <w:tcPr>
            <w:tcW w:w="2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533</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(8,587)</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(8,054)</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121,650</w:t>
            </w:r>
          </w:p>
        </w:tc>
        <w:tc>
          <w:tcPr>
            <w:tcW w:w="5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88,703</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1,946</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31,001</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32,947</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2018 vs. Three months ended September 30, 2017</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Revenues increased $25.0 million, or 19%, for the three months ended September 30, 2018 compared with the same period in 2017. This was primarily related to increased product sales in North America and EMEA offset by $2.5 million of unfavorable changes in foreign currency exchange rates.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2018 vs. Nine months ended September 30,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increased $36.8 million, or 9%, compared with the same period in 2017. This increase was due to strong product sales in EMEA and North America. Changes in foreign currency exchange rates favorably impacted revenues by $6.1 million.</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2018 vs. Three months ended September 30,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35.6% for the three months ended September 30, 2018, compared with 35.3% for the same period in 2017. The 30 basis point increase was related to higher product revenues offset by supply chain transition inefficiencies and increased component costs.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2018 vs. Nine months ended September 30,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32.4%, compared with 37.5% for the same period last year. The 510 basis point decrease was related to unfavorable product mix, supply chain transitions combined with higher component costs and increased warranty expense.</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2018 vs. Three months ended September 30, 2017</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Operating expenses decreased $1.5 million, or 6%, for the three months ended September 30, 2018, compared with the same period in 2017, primarily related to lower research and development costs.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2018 vs. Nine months ended September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$32.9 million, or 37%, for the nine months ended September 30, 2018, compared with the same period in 2017. The increase is due to higher restructuring expenses following the announcement of the 2018 Projects partially offset by lower research and development costs and general and administrative expenses.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Water operating segment financial results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358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Three Months Ended September 30,</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Water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112,584</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114,825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(3,529)</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(2,241)</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35,139</w:t>
            </w:r>
          </w:p>
        </w:tc>
        <w:tc>
          <w:tcPr>
            <w:tcW w:w="5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42,734</w:t>
            </w:r>
          </w:p>
        </w:tc>
        <w:tc>
          <w:tcPr>
            <w:tcW w:w="2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(1,218)</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(6,377)</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(7,595)</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28,280</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27,702</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971</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648"/>
        </w:trPr>
        <w:tc>
          <w:tcPr>
            <w:tcW w:w="3100" w:type="dxa"/>
            <w:vAlign w:val="bottom"/>
          </w:tcPr>
          <w:p>
            <w:pPr>
              <w:spacing w:after="0"/>
              <w:rPr>
                <w:sz w:val="24"/>
                <w:szCs w:val="24"/>
                <w:color w:val="auto"/>
              </w:rPr>
            </w:pPr>
          </w:p>
        </w:tc>
        <w:tc>
          <w:tcPr>
            <w:tcW w:w="3580" w:type="dxa"/>
            <w:vAlign w:val="bottom"/>
            <w:gridSpan w:val="4"/>
            <w:vMerge w:val="restart"/>
          </w:tcPr>
          <w:p>
            <w:pPr>
              <w:jc w:val="right"/>
              <w:ind w:right="479"/>
              <w:spacing w:after="0"/>
              <w:rPr>
                <w:sz w:val="20"/>
                <w:szCs w:val="20"/>
                <w:color w:val="auto"/>
              </w:rPr>
            </w:pPr>
            <w:r>
              <w:rPr>
                <w:rFonts w:ascii="Arial" w:cs="Arial" w:eastAsia="Arial" w:hAnsi="Arial"/>
                <w:sz w:val="16"/>
                <w:szCs w:val="16"/>
                <w:b w:val="1"/>
                <w:bCs w:val="1"/>
                <w:color w:val="auto"/>
              </w:rPr>
              <w:t>Nine Months Ended September 30,</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Water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368,415</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343,505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12,183</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24,910</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w w:val="89"/>
              </w:rPr>
              <w:t>110,779</w:t>
            </w:r>
          </w:p>
        </w:tc>
        <w:tc>
          <w:tcPr>
            <w:tcW w:w="5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131,402</w:t>
            </w:r>
          </w:p>
        </w:tc>
        <w:tc>
          <w:tcPr>
            <w:tcW w:w="2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4,846</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(25,469)</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(20,623)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106,806</w:t>
            </w:r>
          </w:p>
        </w:tc>
        <w:tc>
          <w:tcPr>
            <w:tcW w:w="5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90,700</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3,312</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12,794</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16,106</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2018 vs. Three months ended September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decreased $2.2 million, or 2%, for the three months ended September 30, 2018, compared with the same period in 2017. This was primarily related to decreased product revenues in North America and EMEA. Revenues were unfavorably impacted by $3.5 million due to changes in foreign currency exchange rates.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2018 vs. Nine months ended September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$24.9 million, or 7%, for the nine months ended September 30, 2018, compared with the same period in 2017. This growth was driven by product revenues in North America, Latin America, and Asia Pacific. Revenues were favorably impacted by $12.2 million due to changes in foreign currency exchange rates.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2018 vs. Three months ended September 30, 2017</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Gross margin decreased to 31.2%, compared with 37.2% in 2017. The 600 basis point decrease in gross margin was driven primarily by the reversal of warranty provisions in 2017. In addition, higher commodity prices and product mix unfavorably impacted margins in 2018.</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2018 vs. Nine months ended September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decreased to 30.1% for the nine months ended September 30, 2018, compared with 38.3% for the same period last year, primarily as the result of an insurance recovery related to a warranty matter and the release of specific warranty reserves in 2017. Higher commodity and supply costs and unfavorable product mix also contributed to the reduced gross margin in 2018.</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2018 vs. Three months ended September 30,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for the three months ended September 30, 2018 increased $0.6 million, or 2%, compared with 2017. This was primarily related to the release of restructuring expenses in 2017, partially offset by a decrease in sales and marketing expenses in 2018.</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2018 vs. Nine months ended September 30,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for the nine months ended September 30, 2018 increased $16.1 million, or 18%, compared with the same period last year, primarily as the result of increase in restructuring expenses following the announcement of the 2018 Projects early in the year.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Networks is a new operating segment with the acquisition of SSNI; therefore no data for comparable periods is available. The Networks operating segment financial results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3180" w:type="dxa"/>
            <w:vAlign w:val="bottom"/>
            <w:gridSpan w:val="3"/>
            <w:vMerge w:val="restart"/>
          </w:tcPr>
          <w:p>
            <w:pPr>
              <w:jc w:val="right"/>
              <w:ind w:right="39"/>
              <w:spacing w:after="0"/>
              <w:rPr>
                <w:sz w:val="20"/>
                <w:szCs w:val="20"/>
                <w:color w:val="auto"/>
              </w:rPr>
            </w:pPr>
            <w:r>
              <w:rPr>
                <w:rFonts w:ascii="Arial" w:cs="Arial" w:eastAsia="Arial" w:hAnsi="Arial"/>
                <w:sz w:val="16"/>
                <w:szCs w:val="16"/>
                <w:b w:val="1"/>
                <w:bCs w:val="1"/>
                <w:color w:val="auto"/>
              </w:rPr>
              <w:t>Three Months Ended September 30,</w:t>
            </w:r>
          </w:p>
        </w:tc>
        <w:tc>
          <w:tcPr>
            <w:tcW w:w="40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318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Networks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89,789</w:t>
            </w:r>
          </w:p>
        </w:tc>
        <w:tc>
          <w:tcPr>
            <w:tcW w:w="14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89,789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89,789</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31,597</w:t>
            </w:r>
          </w:p>
        </w:tc>
        <w:tc>
          <w:tcPr>
            <w:tcW w:w="1440" w:type="dxa"/>
            <w:vAlign w:val="bottom"/>
          </w:tcPr>
          <w:p>
            <w:pPr>
              <w:spacing w:after="0"/>
              <w:rPr>
                <w:sz w:val="20"/>
                <w:szCs w:val="20"/>
                <w:color w:val="auto"/>
              </w:rPr>
            </w:pPr>
          </w:p>
        </w:tc>
        <w:tc>
          <w:tcPr>
            <w:tcW w:w="400" w:type="dxa"/>
            <w:vAlign w:val="bottom"/>
          </w:tcPr>
          <w:p>
            <w:pPr>
              <w:ind w:lef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20" w:type="dxa"/>
            <w:vAlign w:val="bottom"/>
          </w:tcPr>
          <w:p>
            <w:pPr>
              <w:ind w:left="1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31,597</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31,597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47,221</w:t>
            </w:r>
          </w:p>
        </w:tc>
        <w:tc>
          <w:tcPr>
            <w:tcW w:w="1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47,221</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47,221</w:t>
            </w:r>
          </w:p>
        </w:tc>
        <w:tc>
          <w:tcPr>
            <w:tcW w:w="0" w:type="dxa"/>
            <w:vAlign w:val="bottom"/>
          </w:tcPr>
          <w:p>
            <w:pPr>
              <w:spacing w:after="0"/>
              <w:rPr>
                <w:sz w:val="1"/>
                <w:szCs w:val="1"/>
                <w:color w:val="auto"/>
              </w:rPr>
            </w:pPr>
          </w:p>
        </w:tc>
      </w:tr>
      <w:tr>
        <w:trPr>
          <w:trHeight w:val="648"/>
        </w:trPr>
        <w:tc>
          <w:tcPr>
            <w:tcW w:w="3100" w:type="dxa"/>
            <w:vAlign w:val="bottom"/>
          </w:tcPr>
          <w:p>
            <w:pPr>
              <w:spacing w:after="0"/>
              <w:rPr>
                <w:sz w:val="24"/>
                <w:szCs w:val="24"/>
                <w:color w:val="auto"/>
              </w:rPr>
            </w:pPr>
          </w:p>
        </w:tc>
        <w:tc>
          <w:tcPr>
            <w:tcW w:w="3180" w:type="dxa"/>
            <w:vAlign w:val="bottom"/>
            <w:gridSpan w:val="3"/>
            <w:vMerge w:val="restart"/>
          </w:tcPr>
          <w:p>
            <w:pPr>
              <w:jc w:val="right"/>
              <w:ind w:right="79"/>
              <w:spacing w:after="0"/>
              <w:rPr>
                <w:sz w:val="20"/>
                <w:szCs w:val="20"/>
                <w:color w:val="auto"/>
              </w:rPr>
            </w:pPr>
            <w:r>
              <w:rPr>
                <w:rFonts w:ascii="Arial" w:cs="Arial" w:eastAsia="Arial" w:hAnsi="Arial"/>
                <w:sz w:val="16"/>
                <w:szCs w:val="16"/>
                <w:b w:val="1"/>
                <w:bCs w:val="1"/>
                <w:color w:val="auto"/>
              </w:rPr>
              <w:t>Nine Months Ended September 30,</w:t>
            </w:r>
          </w:p>
        </w:tc>
        <w:tc>
          <w:tcPr>
            <w:tcW w:w="400" w:type="dxa"/>
            <w:vAlign w:val="bottom"/>
          </w:tcPr>
          <w:p>
            <w:pPr>
              <w:spacing w:after="0"/>
              <w:rPr>
                <w:sz w:val="24"/>
                <w:szCs w:val="24"/>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318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Networks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249,315</w:t>
            </w:r>
          </w:p>
        </w:tc>
        <w:tc>
          <w:tcPr>
            <w:tcW w:w="14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249,315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249,315</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81,413</w:t>
            </w:r>
          </w:p>
        </w:tc>
        <w:tc>
          <w:tcPr>
            <w:tcW w:w="1440" w:type="dxa"/>
            <w:vAlign w:val="bottom"/>
          </w:tcPr>
          <w:p>
            <w:pPr>
              <w:spacing w:after="0"/>
              <w:rPr>
                <w:sz w:val="20"/>
                <w:szCs w:val="20"/>
                <w:color w:val="auto"/>
              </w:rPr>
            </w:pPr>
          </w:p>
        </w:tc>
        <w:tc>
          <w:tcPr>
            <w:tcW w:w="400" w:type="dxa"/>
            <w:vAlign w:val="bottom"/>
          </w:tcPr>
          <w:p>
            <w:pPr>
              <w:ind w:lef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20" w:type="dxa"/>
            <w:vAlign w:val="bottom"/>
          </w:tcPr>
          <w:p>
            <w:pPr>
              <w:ind w:left="1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81,413</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81,413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200,766</w:t>
            </w:r>
          </w:p>
        </w:tc>
        <w:tc>
          <w:tcPr>
            <w:tcW w:w="1440" w:type="dxa"/>
            <w:vAlign w:val="bottom"/>
            <w:shd w:val="clear" w:color="auto" w:fill="CCEEFF"/>
          </w:tcPr>
          <w:p>
            <w:pPr>
              <w:spacing w:after="0"/>
              <w:rPr>
                <w:sz w:val="20"/>
                <w:szCs w:val="20"/>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200,766</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200,766</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2018</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Networks operating segment recognized $89.8 million in revenues for the three months ended September 30, 2018. This revenue was primarily related to product revenues in North America.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2018</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Networks operating segment recognized $249.3 million in revenues for the nine months ended September 30, 2018. This revenue was primarily related to product revenues in North America.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Gross margin for the Networks operating segment was 35.2% for the third quarter of 2018.</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Gross margin for the Networks operating segment was 32.7% for the nine months ended September 30, 2018.</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2018</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Operating expenses for the three months ended September 30, 2018 were $47.2 million. This was primarily comprised of acquisition and integration related expenses of $9.4 million, net amortization of acquired intangible assets and liabilities of $13.3 million, and sales and marketing expenses of $11.1 million.</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2018</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Operating expenses for the nine months ended September 30, 2018 were $200.8 million. This included acquisition and integration related expenses of $83.9 million, net amortization of acquired intangible assets and liabilities of $39.4 million, and research and development expenses of $39.6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September 30, 2018 vs. Three months ended September 30,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decreased by $7.9 million, or 54%, for the three months ended September 30, 2018 compared with the same period in 2017. The decrease was primarily due to reduced variable compensation expense and acquisition and integration expenses in 2018.</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Nine months ended September 30, 2018 vs. Nine months ended September 30, 2017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Corporate unallocated expenses decreased by $12.4 million, or 27%, for the nine months ended September 30, 2018 compared with the same period in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due to reduced variable compensation expense and lower litigation expenses in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remaining performance obligations disclosed in Item 1: "Financial Statements (Unaudited), Note 16: Revenues."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 xml:space="preserve">Backlog </w:t>
            </w:r>
            <w:r>
              <w:rPr>
                <w:rFonts w:ascii="Arial" w:cs="Arial" w:eastAsia="Arial" w:hAnsi="Arial"/>
                <w:sz w:val="21"/>
                <w:szCs w:val="21"/>
                <w:b w:val="1"/>
                <w:bCs w:val="1"/>
                <w:color w:val="auto"/>
                <w:w w:val="88"/>
                <w:vertAlign w:val="superscript"/>
              </w:rPr>
              <w:t>(1)</w:t>
            </w:r>
          </w:p>
        </w:tc>
        <w:tc>
          <w:tcPr>
            <w:tcW w:w="540" w:type="dxa"/>
            <w:vAlign w:val="bottom"/>
          </w:tcPr>
          <w:p>
            <w:pPr>
              <w:spacing w:after="0"/>
              <w:rPr>
                <w:sz w:val="21"/>
                <w:szCs w:val="21"/>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5"/>
              </w:rPr>
              <w:t xml:space="preserve">Backlog </w:t>
            </w:r>
            <w:r>
              <w:rPr>
                <w:rFonts w:ascii="Arial" w:cs="Arial" w:eastAsia="Arial" w:hAnsi="Arial"/>
                <w:sz w:val="21"/>
                <w:szCs w:val="21"/>
                <w:b w:val="1"/>
                <w:bCs w:val="1"/>
                <w:color w:val="auto"/>
                <w:w w:val="85"/>
                <w:vertAlign w:val="superscript"/>
              </w:rPr>
              <w:t>(2)</w:t>
            </w:r>
          </w:p>
        </w:tc>
      </w:tr>
      <w:tr>
        <w:trPr>
          <w:trHeight w:val="231"/>
        </w:trPr>
        <w:tc>
          <w:tcPr>
            <w:tcW w:w="4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2018</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593</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3,112</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1,350</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June 30, 2018</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579</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3,113</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1,426</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2018</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557</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3,139</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1,363</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2017</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810</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1,750</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931</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2017</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343</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1,488</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847</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ind w:left="340" w:hanging="332"/>
        <w:spacing w:after="0" w:line="215"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Ending total backlog related to the Networks operating segment includes $1.5 billion as of September 30, 2018 and $1.4 billion as of both June 30, 2018 and March 31, 2018.</w:t>
      </w:r>
    </w:p>
    <w:p>
      <w:pPr>
        <w:ind w:left="340" w:hanging="332"/>
        <w:spacing w:after="0" w:line="209"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Ending 12-month backlog includes $406.4 million, $377.7 million and $336.9 million related to the Networks operating segment as of September 30, 2018, June 30, 2018 and March 31, 2018,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b w:val="1"/>
                <w:bCs w:val="1"/>
                <w:color w:val="auto"/>
                <w:w w:val="96"/>
              </w:rPr>
              <w:t>Total Bookings</w:t>
            </w:r>
          </w:p>
        </w:tc>
        <w:tc>
          <w:tcPr>
            <w:tcW w:w="420" w:type="dxa"/>
            <w:vAlign w:val="bottom"/>
          </w:tcPr>
          <w:p>
            <w:pPr>
              <w:spacing w:after="0"/>
              <w:rPr>
                <w:sz w:val="18"/>
                <w:szCs w:val="18"/>
                <w:color w:val="auto"/>
              </w:rPr>
            </w:pPr>
          </w:p>
        </w:tc>
        <w:tc>
          <w:tcPr>
            <w:tcW w:w="1440" w:type="dxa"/>
            <w:vAlign w:val="bottom"/>
          </w:tcPr>
          <w:p>
            <w:pPr>
              <w:jc w:val="right"/>
              <w:ind w:right="439"/>
              <w:spacing w:after="0"/>
              <w:rPr>
                <w:sz w:val="20"/>
                <w:szCs w:val="20"/>
                <w:color w:val="auto"/>
              </w:rPr>
            </w:pPr>
            <w:r>
              <w:rPr>
                <w:rFonts w:ascii="Arial" w:cs="Arial" w:eastAsia="Arial" w:hAnsi="Arial"/>
                <w:sz w:val="16"/>
                <w:szCs w:val="16"/>
                <w:b w:val="1"/>
                <w:bCs w:val="1"/>
                <w:color w:val="auto"/>
              </w:rPr>
              <w:t>Electricity</w:t>
            </w:r>
          </w:p>
        </w:tc>
        <w:tc>
          <w:tcPr>
            <w:tcW w:w="360" w:type="dxa"/>
            <w:vAlign w:val="bottom"/>
          </w:tcPr>
          <w:p>
            <w:pPr>
              <w:spacing w:after="0"/>
              <w:rPr>
                <w:sz w:val="18"/>
                <w:szCs w:val="18"/>
                <w:color w:val="auto"/>
              </w:rPr>
            </w:pPr>
          </w:p>
        </w:tc>
        <w:tc>
          <w:tcPr>
            <w:tcW w:w="1460" w:type="dxa"/>
            <w:vAlign w:val="bottom"/>
          </w:tcPr>
          <w:p>
            <w:pPr>
              <w:jc w:val="right"/>
              <w:ind w:right="639"/>
              <w:spacing w:after="0"/>
              <w:rPr>
                <w:sz w:val="20"/>
                <w:szCs w:val="20"/>
                <w:color w:val="auto"/>
              </w:rPr>
            </w:pPr>
            <w:r>
              <w:rPr>
                <w:rFonts w:ascii="Arial" w:cs="Arial" w:eastAsia="Arial" w:hAnsi="Arial"/>
                <w:sz w:val="16"/>
                <w:szCs w:val="16"/>
                <w:b w:val="1"/>
                <w:bCs w:val="1"/>
                <w:color w:val="auto"/>
              </w:rPr>
              <w:t>Gas</w:t>
            </w:r>
          </w:p>
        </w:tc>
        <w:tc>
          <w:tcPr>
            <w:tcW w:w="460" w:type="dxa"/>
            <w:vAlign w:val="bottom"/>
          </w:tcPr>
          <w:p>
            <w:pPr>
              <w:spacing w:after="0"/>
              <w:rPr>
                <w:sz w:val="18"/>
                <w:szCs w:val="18"/>
                <w:color w:val="auto"/>
              </w:rPr>
            </w:pPr>
          </w:p>
        </w:tc>
        <w:tc>
          <w:tcPr>
            <w:tcW w:w="1340" w:type="dxa"/>
            <w:vAlign w:val="bottom"/>
          </w:tcPr>
          <w:p>
            <w:pPr>
              <w:jc w:val="right"/>
              <w:ind w:right="559"/>
              <w:spacing w:after="0"/>
              <w:rPr>
                <w:sz w:val="20"/>
                <w:szCs w:val="20"/>
                <w:color w:val="auto"/>
              </w:rPr>
            </w:pPr>
            <w:r>
              <w:rPr>
                <w:rFonts w:ascii="Arial" w:cs="Arial" w:eastAsia="Arial" w:hAnsi="Arial"/>
                <w:sz w:val="16"/>
                <w:szCs w:val="16"/>
                <w:b w:val="1"/>
                <w:bCs w:val="1"/>
                <w:color w:val="auto"/>
              </w:rPr>
              <w:t>Water</w:t>
            </w:r>
          </w:p>
        </w:tc>
        <w:tc>
          <w:tcPr>
            <w:tcW w:w="400" w:type="dxa"/>
            <w:vAlign w:val="bottom"/>
          </w:tcPr>
          <w:p>
            <w:pPr>
              <w:spacing w:after="0"/>
              <w:rPr>
                <w:sz w:val="18"/>
                <w:szCs w:val="18"/>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Networks</w:t>
            </w: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2018</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278</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June 30, 2018</w:t>
            </w:r>
          </w:p>
        </w:tc>
        <w:tc>
          <w:tcPr>
            <w:tcW w:w="2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579</w:t>
            </w:r>
          </w:p>
        </w:tc>
        <w:tc>
          <w:tcPr>
            <w:tcW w:w="4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283</w:t>
            </w:r>
          </w:p>
        </w:tc>
        <w:tc>
          <w:tcPr>
            <w:tcW w:w="3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46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4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2018</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December 31, 2017</w:t>
            </w:r>
          </w:p>
        </w:tc>
        <w:tc>
          <w:tcPr>
            <w:tcW w:w="2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810</w:t>
            </w:r>
          </w:p>
        </w:tc>
        <w:tc>
          <w:tcPr>
            <w:tcW w:w="4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477</w:t>
            </w:r>
          </w:p>
        </w:tc>
        <w:tc>
          <w:tcPr>
            <w:tcW w:w="3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199</w:t>
            </w:r>
          </w:p>
        </w:tc>
        <w:tc>
          <w:tcPr>
            <w:tcW w:w="46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4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2017</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136</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4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67,383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114,501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0"/>
              </w:rPr>
              <w:t>(845,749)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(132,331)</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408,356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14,169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(6,175)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7,680</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increase in cash, cash equivalents, and restricted cash</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(376,185)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was $111.2 million at September 30, 2018, compared with $487.3 million at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December 31, 2017. The $376.2 million decrease in cash, cash equivalents, and restricted cash for the nine months ended September 30, 2018 was primarily the result of investing activities related to our acquisition of SSNI and a decrease in cash flows provided by operating activities, due to SSNI acquisition and integration costs, partially offset by increased net proceeds from borrowings associated with financing the acquisition of SSNI.</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provided by operating activities during the nine months ended September 30, 2018 was $67.4 million compared with $114.5 million during the same period in 2017. The decrease was primarily due to a reduction in net income (loss) adjusted for non-cash items and changes in operating asset and liabilities. Net income (loss) for the nine months ended September 30, 2018 includes $83.9 million of acquisition and integration related expenses, most of which were paid in cash. In addition, cash used for accounts payable increased $34.1 million due to the timing of payments. These were partially offset by $83.1 million of accrued severance recognized for the 2018 Projects, most of which will be paid in future periods.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Cash used by investing activities during the nine months ended September 30, 2018 was $713.4 million higher compared with the same period in 2017. This increased use of cash was primarily related to the larger acquisition of SSNI in 2018 as compared with our acquisition of Comverge Inc. in 2017.</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provided by financing activities during the nine months ended September 30, 2018 was $408.4 million, compared with $14.2 million for the same period in 2017. The increase in cash provided by financing activities was primarily caused by $576.9 million of proceeds from borrowings utilized for the acquisition of SSNI in 2018. This was partially offset by a $157.5 million increased use of cash for debt repayments, and a $24.0 million increased use of cash for debt issuance costs.</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nine months ended September 30, 2018 was a decrease of $6.2 million, compared with an increase of $7.7 million for the same period in 2017. The impact of exchange rates is the result of an increase in the U.S. dollar value compared with most foreign currencies during the nine months ended September 30, 2018, compared with a decrease in value compared with most foreign currencies during the same period in 2017.</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67,383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114,501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Acquisitions of property, plant, and equipment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(42,493)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(33,493)</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Free cash flow</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24,890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81,008</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Free cash flow decreased primarily as a result of lower cash provided by operating activities. See the cash flow discussion of operating activities above. In addition, acquisition of property, plant, and equipment increased $9.0 million during the nine months ended September 30, 2018 primarily due to investments related to our </w:t>
      </w:r>
      <w:r>
        <w:rPr>
          <w:rFonts w:ascii="Arial" w:cs="Arial" w:eastAsia="Arial" w:hAnsi="Arial"/>
          <w:sz w:val="18"/>
          <w:szCs w:val="18"/>
          <w:color w:val="222222"/>
        </w:rPr>
        <w:t>strategic sourcing projects and related manufacturing and supplier transitions.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September 30, 2018 and December 31, 2017 that we believe are reasonably likely to have a current or future effect on our financial condition, results of operations, or cash flows.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of debt. Working capital, which represents current assets less current liabilities continues to be a net positive position.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5, 2018, we entered into a credit agreement providing for committed credit facilities in the amount of $1.2 billion U.S. dollars which amended and restated in its entirety our credit agreement dated June 23, 2015 and replaced committed facilities in the amount of $725 million.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Both the term loan and the revolver mature on January 5, 2023, and can be repaid without penalty. Amounts repaid on the term loan may not be reborrowed and amounts borrowed under the revolver during the credit facility term may be repaid and reborrowed until the revolver's maturity, at which time all outstanding loans together with all accrued and unpaid interest must be repaid.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our borrowing, refer to Item 1: "Financial Statements (Unaudited), Note 6: Debt."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the acquisition of SSNI, we announced an integration plan to obtain approximately $50 million of annualized savings by the end of 2020. We have recognized $83.9 million of the acquisition and integration related expenses during the nine months ended September 30, 2018, and expect to recognize an additional $15 million to $25 million of expenses in future periods, of which approximately 95% will be cash expenses. The majority of the additional expenses are expected to be recognized over the next 12 months.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For further details regarding our acquisition and integration activities, refer to Item 1: "Financial Statements (Unaudited), Note 17: Business Combinations."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2018, $90.7 million was accrued for restructuring projects, of which $42.2 million is expected to be paid over the next 12 months. We also expect to recognize approximately $23 million in future restructuring costs, which will result in cash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our restructuring activities, refer to Item 1: "Financial Statements (Unaudited), Note 12: Restructuring."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$2 million in state taxes and $14 million in local and foreign taxes during 2018. We do not expect to pay any U.S. federal taxes. For a discussion of our tax provision and unrecognized tax benefits, see Item 1: "Financial Statements (Unaudited), Note 10: Income Taxes."</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September 30, 2018, we are under examination by certain tax authorities for the 2010 to 2016 tax years. The material jurisdictions where we are subject to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provided for U.S. deferred taxes related to the cash held in certain foreign subsidiaries because our investment is considered permanent in duration. As of September 30, 2018, there was $39.6 million of cash and short-term investments held by certain foreign subsidiaries in which we are permanently reinvested for tax purposes. If this cash were repatriated to fund U.S. operations, additional tax costs may be required. Tax is one of the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September 30, 2018, $6.8 million of our consolidated cash balance is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w:t>
      </w:r>
      <w:r>
        <w:rPr>
          <w:rFonts w:ascii="Arial" w:cs="Arial" w:eastAsia="Arial" w:hAnsi="Arial"/>
          <w:sz w:val="18"/>
          <w:szCs w:val="18"/>
          <w:color w:val="222222"/>
        </w:rPr>
        <w:t>our dependence on certain key vendors and components,</w:t>
      </w:r>
      <w:r>
        <w:rPr>
          <w:rFonts w:ascii="Arial" w:cs="Arial" w:eastAsia="Arial" w:hAnsi="Arial"/>
          <w:sz w:val="18"/>
          <w:szCs w:val="18"/>
          <w:color w:val="auto"/>
        </w:rPr>
        <w:t xml:space="preserve">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2017, which was filed with the SEC on February 28, 2018, as well as "Quantitative and Qualitative Disclosures About Market Risk" within Item 3 of Part I included in this Quarterly Report on Form 10-Q.</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(Unaudited), Note 11: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preparation of our consolidated financial statements in conformity with GAAP requires us to make estimates and assumptions that affect amounts reported in the consolidated financial statements. Changes in these estimates and assumptions are considered reasonably possible and may have a material effect on our consolidated financial statements and thus actual results could differ from the amounts reported and disclosed herein. Our critical accounting policies that require the use of estimates and assumptions were discussed in detail in the 2017 Annual Report on Form 10-K and have not changed materially, with the exception of the adoption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are prepared in accordance with GAAP, which we supplement with certain non-GAAP financial information. These non-GAAP measures should not be considered in isolation or as a substitute for the related GAAP measures, and other companies may define such measures differently. We encourage investors to review our financial statements and publicly-filed reports in their entirety and not to rely on any single financial measure. These non-GAAP measures exclude the impact of certain expenses that we do not believe are indicative of our core operating results. We use these non-GAAP financial measures for financial and operational decision making and/or as a means for determining executive compensation.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Non-GAAP operating expenses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operating income</w:t>
      </w:r>
      <w:r>
        <w:rPr>
          <w:rFonts w:ascii="Arial" w:cs="Arial" w:eastAsia="Arial" w:hAnsi="Arial"/>
          <w:sz w:val="17"/>
          <w:szCs w:val="17"/>
          <w:color w:val="auto"/>
        </w:rPr>
        <w:t xml:space="preserve"> – We define non-GAAP operating expenses as operating expenses excluding certain expenses related to the amortization of intangible assets, restructuring, acquisition and integration, and goodwill impairment. We define non-GAAP operating income as operating income excluding the expenses related to the amortization of intangible assets, restructuring, acquisition and integration, and goodwill impairment.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Non-GAAP net income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diluted EPS</w:t>
      </w:r>
      <w:r>
        <w:rPr>
          <w:rFonts w:ascii="Arial" w:cs="Arial" w:eastAsia="Arial" w:hAnsi="Arial"/>
          <w:sz w:val="17"/>
          <w:szCs w:val="17"/>
          <w:color w:val="auto"/>
        </w:rPr>
        <w:t xml:space="preserve"> – We define non-GAAP net income as net income attributable to Itron, Inc. excluding the expenses associated with amortization of intangible assets, restructuring, acquisition and integration, goodwill impairment, amortization of debt placement fees, the transition to the Tax Cuts and Jobs Act,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Adjusted EBITDA</w:t>
      </w:r>
      <w:r>
        <w:rPr>
          <w:rFonts w:ascii="Arial" w:cs="Arial" w:eastAsia="Arial" w:hAnsi="Arial"/>
          <w:sz w:val="17"/>
          <w:szCs w:val="17"/>
          <w:color w:val="auto"/>
        </w:rPr>
        <w:t xml:space="preserve"> – We define adjusted EBITDA as net income (a) minus interest income, (b) plus interest expense, depreciation and amortization, restructuring, acquisition and integration related expense,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Constant currency</w:t>
      </w:r>
      <w:r>
        <w:rPr>
          <w:rFonts w:ascii="Arial" w:cs="Arial" w:eastAsia="Arial" w:hAnsi="Arial"/>
          <w:sz w:val="17"/>
          <w:szCs w:val="17"/>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diluted EPS, adjusted EBITDA, free cash flow, and operating income by operating segment with the most directly comparable GAAP financial measures.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TOTAL COMPANY RECONCILIATIONS</w:t>
            </w:r>
          </w:p>
        </w:tc>
        <w:tc>
          <w:tcPr>
            <w:tcW w:w="300" w:type="dxa"/>
            <w:vAlign w:val="bottom"/>
          </w:tcPr>
          <w:p>
            <w:pPr>
              <w:spacing w:after="0"/>
              <w:rPr>
                <w:sz w:val="18"/>
                <w:szCs w:val="18"/>
                <w:color w:val="auto"/>
              </w:rPr>
            </w:pPr>
          </w:p>
        </w:tc>
        <w:tc>
          <w:tcPr>
            <w:tcW w:w="32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14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September 30,</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5"/>
          </w:tcPr>
          <w:p>
            <w:pPr>
              <w:ind w:left="160"/>
              <w:spacing w:after="0"/>
              <w:rPr>
                <w:sz w:val="20"/>
                <w:szCs w:val="20"/>
                <w:color w:val="auto"/>
              </w:rPr>
            </w:pPr>
            <w:r>
              <w:rPr>
                <w:rFonts w:ascii="Arial" w:cs="Arial" w:eastAsia="Arial" w:hAnsi="Arial"/>
                <w:sz w:val="16"/>
                <w:szCs w:val="16"/>
                <w:b w:val="1"/>
                <w:bCs w:val="1"/>
                <w:color w:val="auto"/>
              </w:rPr>
              <w:t>(in thousands, except per share data)</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6"/>
                <w:szCs w:val="16"/>
                <w:b w:val="1"/>
                <w:bCs w:val="1"/>
                <w:color w:val="auto"/>
              </w:rPr>
              <w:t>NON-GAAP OPERATING EXPENSES</w:t>
            </w: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expenses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155,421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127,529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631,738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394,988</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(17,960)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(53,699)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(15,144)</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(7,417)</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Acquisition and integration related expense</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(83,874)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(14,044)</w:t>
            </w:r>
          </w:p>
        </w:tc>
        <w:tc>
          <w:tcPr>
            <w:tcW w:w="0" w:type="dxa"/>
            <w:vAlign w:val="bottom"/>
          </w:tcPr>
          <w:p>
            <w:pPr>
              <w:spacing w:after="0"/>
              <w:rPr>
                <w:sz w:val="1"/>
                <w:szCs w:val="1"/>
                <w:color w:val="auto"/>
              </w:rPr>
            </w:pPr>
          </w:p>
        </w:tc>
      </w:tr>
      <w:tr>
        <w:trPr>
          <w:trHeight w:val="33"/>
        </w:trPr>
        <w:tc>
          <w:tcPr>
            <w:tcW w:w="4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operating expenses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126,716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115,339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411,257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358,383</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income (loss)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106,681</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17,960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5,625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53,699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15,144</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82,908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7,417</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Acquisition and integration related expense</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10,079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7,243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83,874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14,044</w:t>
            </w:r>
          </w:p>
        </w:tc>
        <w:tc>
          <w:tcPr>
            <w:tcW w:w="0" w:type="dxa"/>
            <w:vAlign w:val="bottom"/>
          </w:tcPr>
          <w:p>
            <w:pPr>
              <w:spacing w:after="0"/>
              <w:rPr>
                <w:sz w:val="1"/>
                <w:szCs w:val="1"/>
                <w:color w:val="auto"/>
              </w:rPr>
            </w:pPr>
          </w:p>
        </w:tc>
      </w:tr>
      <w:tr>
        <w:trPr>
          <w:trHeight w:val="33"/>
        </w:trPr>
        <w:tc>
          <w:tcPr>
            <w:tcW w:w="4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operating 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70,381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50,416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142,272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143,286</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NET INCOME &amp; DILUTED EPS</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net income (loss) attributable to Itron, Inc.</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(123,127)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55,518</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17,960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5,625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53,699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15,144</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Amortization of debt placement fees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Restructuring</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82,908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7,417</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Acquisition and integration related expense</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83,874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14,044</w:t>
            </w: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Income tax effect of non-GAAP adjustments</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(32,451)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(12,153)</w:t>
            </w: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net income attributable to Itron, Inc.</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45,046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30,585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70,596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80,695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diluted EPS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w w:val="99"/>
              </w:rPr>
              <w:t>Weighted average common shares outstanding - Diluted</w:t>
            </w: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39,467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39,825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39,339</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ADJUSTED EBITDA</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net income (loss) attributable to Itron, Inc.</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(123,127)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55,518</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10,076</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Income tax provision (benefit)</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5,715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6,640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32,247</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92,428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46,000</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Restructuring</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82,908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7,417</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Acquisition and integration related expense</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83,874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14,044</w:t>
            </w:r>
          </w:p>
        </w:tc>
        <w:tc>
          <w:tcPr>
            <w:tcW w:w="0" w:type="dxa"/>
            <w:vAlign w:val="bottom"/>
          </w:tcPr>
          <w:p>
            <w:pPr>
              <w:spacing w:after="0"/>
              <w:rPr>
                <w:sz w:val="1"/>
                <w:szCs w:val="1"/>
                <w:color w:val="auto"/>
              </w:rPr>
            </w:pPr>
          </w:p>
        </w:tc>
      </w:tr>
      <w:tr>
        <w:trPr>
          <w:trHeight w:val="244"/>
        </w:trPr>
        <w:tc>
          <w:tcPr>
            <w:tcW w:w="4340" w:type="dxa"/>
            <w:vAlign w:val="bottom"/>
          </w:tcPr>
          <w:p>
            <w:pPr>
              <w:ind w:left="340"/>
              <w:spacing w:after="0"/>
              <w:rPr>
                <w:sz w:val="20"/>
                <w:szCs w:val="20"/>
                <w:color w:val="auto"/>
              </w:rPr>
            </w:pPr>
            <w:r>
              <w:rPr>
                <w:rFonts w:ascii="Arial" w:cs="Arial" w:eastAsia="Arial" w:hAnsi="Arial"/>
                <w:sz w:val="16"/>
                <w:szCs w:val="16"/>
                <w:color w:val="auto"/>
              </w:rPr>
              <w:t>Adjusted EBITDA</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80,531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58,050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176,986</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163,834</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FREE CASH FLOW</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provided (used) by operating activities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67,383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114,501</w:t>
            </w:r>
          </w:p>
        </w:tc>
        <w:tc>
          <w:tcPr>
            <w:tcW w:w="0" w:type="dxa"/>
            <w:vAlign w:val="bottom"/>
          </w:tcPr>
          <w:p>
            <w:pPr>
              <w:spacing w:after="0"/>
              <w:rPr>
                <w:sz w:val="1"/>
                <w:szCs w:val="1"/>
                <w:color w:val="auto"/>
              </w:rPr>
            </w:pPr>
          </w:p>
        </w:tc>
      </w:tr>
      <w:tr>
        <w:trPr>
          <w:trHeight w:val="237"/>
        </w:trPr>
        <w:tc>
          <w:tcPr>
            <w:tcW w:w="4340" w:type="dxa"/>
            <w:vAlign w:val="bottom"/>
          </w:tcPr>
          <w:p>
            <w:pPr>
              <w:ind w:left="440"/>
              <w:spacing w:after="0"/>
              <w:rPr>
                <w:sz w:val="20"/>
                <w:szCs w:val="20"/>
                <w:color w:val="auto"/>
              </w:rPr>
            </w:pPr>
            <w:r>
              <w:rPr>
                <w:rFonts w:ascii="Arial" w:cs="Arial" w:eastAsia="Arial" w:hAnsi="Arial"/>
                <w:sz w:val="16"/>
                <w:szCs w:val="16"/>
                <w:color w:val="auto"/>
              </w:rPr>
              <w:t>Acquisitions of property, plant, and equipment</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(13,184)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(11,595)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(42,493)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(33,493)</w:t>
            </w:r>
          </w:p>
        </w:tc>
        <w:tc>
          <w:tcPr>
            <w:tcW w:w="0" w:type="dxa"/>
            <w:vAlign w:val="bottom"/>
          </w:tcPr>
          <w:p>
            <w:pPr>
              <w:spacing w:after="0"/>
              <w:rPr>
                <w:sz w:val="1"/>
                <w:szCs w:val="1"/>
                <w:color w:val="auto"/>
              </w:rPr>
            </w:pPr>
          </w:p>
        </w:tc>
      </w:tr>
      <w:tr>
        <w:trPr>
          <w:trHeight w:val="33"/>
        </w:trPr>
        <w:tc>
          <w:tcPr>
            <w:tcW w:w="4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Free Cash Flow</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37,320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24,890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81,008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The income tax effect of non-GAAP adjustments is calculated using the statutory tax rates for the relevant jurisdictions if no valuation allowance exists. If a valuation allowance exists, there is no tax impact to the non-GAAP adjustment.</w:t>
      </w:r>
    </w:p>
    <w:p>
      <w:pPr>
        <w:sectPr>
          <w:pgSz w:w="11900" w:h="16838" w:orient="portrait"/>
          <w:cols w:equalWidth="0" w:num="1">
            <w:col w:w="11420"/>
          </w:cols>
          <w:pgMar w:left="240" w:top="125"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SEGMENT RECONCILIATIONS</w:t>
            </w:r>
          </w:p>
        </w:tc>
        <w:tc>
          <w:tcPr>
            <w:tcW w:w="300" w:type="dxa"/>
            <w:vAlign w:val="bottom"/>
          </w:tcPr>
          <w:p>
            <w:pPr>
              <w:spacing w:after="0"/>
              <w:rPr>
                <w:sz w:val="18"/>
                <w:szCs w:val="18"/>
                <w:color w:val="auto"/>
              </w:rPr>
            </w:pPr>
          </w:p>
        </w:tc>
        <w:tc>
          <w:tcPr>
            <w:tcW w:w="32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500" w:type="dxa"/>
            <w:vAlign w:val="bottom"/>
          </w:tcPr>
          <w:p>
            <w:pPr>
              <w:spacing w:after="0"/>
              <w:rPr>
                <w:sz w:val="18"/>
                <w:szCs w:val="18"/>
                <w:color w:val="auto"/>
              </w:rPr>
            </w:pPr>
          </w:p>
        </w:tc>
        <w:tc>
          <w:tcPr>
            <w:tcW w:w="296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140"/>
              <w:spacing w:after="0"/>
              <w:rPr>
                <w:sz w:val="20"/>
                <w:szCs w:val="20"/>
                <w:color w:val="auto"/>
              </w:rPr>
            </w:pPr>
            <w:r>
              <w:rPr>
                <w:rFonts w:ascii="Arial" w:cs="Arial" w:eastAsia="Arial" w:hAnsi="Arial"/>
                <w:sz w:val="16"/>
                <w:szCs w:val="16"/>
                <w:b w:val="1"/>
                <w:bCs w:val="1"/>
                <w:color w:val="auto"/>
              </w:rPr>
              <w:t>NON-GAAP OPERATING INCOME - ELECTRICITY</w:t>
            </w: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Electricity - GAAP operating income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52,240</w:t>
            </w:r>
          </w:p>
        </w:tc>
        <w:tc>
          <w:tcPr>
            <w:tcW w:w="0" w:type="dxa"/>
            <w:vAlign w:val="bottom"/>
          </w:tcPr>
          <w:p>
            <w:pPr>
              <w:spacing w:after="0"/>
              <w:rPr>
                <w:sz w:val="1"/>
                <w:szCs w:val="1"/>
                <w:color w:val="auto"/>
              </w:rPr>
            </w:pPr>
          </w:p>
        </w:tc>
      </w:tr>
      <w:tr>
        <w:trPr>
          <w:trHeight w:val="237"/>
        </w:trPr>
        <w:tc>
          <w:tcPr>
            <w:tcW w:w="436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2,772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3,260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8,494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8,350</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37"/>
        </w:trPr>
        <w:tc>
          <w:tcPr>
            <w:tcW w:w="4360" w:type="dxa"/>
            <w:vAlign w:val="bottom"/>
          </w:tcPr>
          <w:p>
            <w:pPr>
              <w:ind w:left="360"/>
              <w:spacing w:after="0"/>
              <w:rPr>
                <w:sz w:val="20"/>
                <w:szCs w:val="20"/>
                <w:color w:val="auto"/>
              </w:rPr>
            </w:pPr>
            <w:r>
              <w:rPr>
                <w:rFonts w:ascii="Arial" w:cs="Arial" w:eastAsia="Arial" w:hAnsi="Arial"/>
                <w:sz w:val="16"/>
                <w:szCs w:val="16"/>
                <w:color w:val="auto"/>
              </w:rPr>
              <w:t>Acquisition and integration related expense (recovery)</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3,586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9,787</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Electricity - Non-GAAP operating 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29,020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79,505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71,934</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 - GAS</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Gas - GAAP operating income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59,177</w:t>
            </w:r>
          </w:p>
        </w:tc>
        <w:tc>
          <w:tcPr>
            <w:tcW w:w="0" w:type="dxa"/>
            <w:vAlign w:val="bottom"/>
          </w:tcPr>
          <w:p>
            <w:pPr>
              <w:spacing w:after="0"/>
              <w:rPr>
                <w:sz w:val="1"/>
                <w:szCs w:val="1"/>
                <w:color w:val="auto"/>
              </w:rPr>
            </w:pPr>
          </w:p>
        </w:tc>
      </w:tr>
      <w:tr>
        <w:trPr>
          <w:trHeight w:val="237"/>
        </w:trPr>
        <w:tc>
          <w:tcPr>
            <w:tcW w:w="436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1,078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3,309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3,961</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40,792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4,717</w:t>
            </w:r>
          </w:p>
        </w:tc>
        <w:tc>
          <w:tcPr>
            <w:tcW w:w="0" w:type="dxa"/>
            <w:vAlign w:val="bottom"/>
          </w:tcPr>
          <w:p>
            <w:pPr>
              <w:spacing w:after="0"/>
              <w:rPr>
                <w:sz w:val="1"/>
                <w:szCs w:val="1"/>
                <w:color w:val="auto"/>
              </w:rPr>
            </w:pPr>
          </w:p>
        </w:tc>
      </w:tr>
      <w:tr>
        <w:trPr>
          <w:trHeight w:val="244"/>
        </w:trPr>
        <w:tc>
          <w:tcPr>
            <w:tcW w:w="4360" w:type="dxa"/>
            <w:vAlign w:val="bottom"/>
          </w:tcPr>
          <w:p>
            <w:pPr>
              <w:ind w:left="240"/>
              <w:spacing w:after="0"/>
              <w:rPr>
                <w:sz w:val="20"/>
                <w:szCs w:val="20"/>
                <w:color w:val="auto"/>
              </w:rPr>
            </w:pPr>
            <w:r>
              <w:rPr>
                <w:rFonts w:ascii="Arial" w:cs="Arial" w:eastAsia="Arial" w:hAnsi="Arial"/>
                <w:sz w:val="16"/>
                <w:szCs w:val="16"/>
                <w:color w:val="auto"/>
              </w:rPr>
              <w:t>Gas - Non-GAAP operating income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31,688</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21,138</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62,277</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67,855</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 - WATER</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Water - GAAP operating income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40,702</w:t>
            </w:r>
          </w:p>
        </w:tc>
        <w:tc>
          <w:tcPr>
            <w:tcW w:w="0" w:type="dxa"/>
            <w:vAlign w:val="bottom"/>
          </w:tcPr>
          <w:p>
            <w:pPr>
              <w:spacing w:after="0"/>
              <w:rPr>
                <w:sz w:val="1"/>
                <w:szCs w:val="1"/>
                <w:color w:val="auto"/>
              </w:rPr>
            </w:pPr>
          </w:p>
        </w:tc>
      </w:tr>
      <w:tr>
        <w:trPr>
          <w:trHeight w:val="237"/>
        </w:trPr>
        <w:tc>
          <w:tcPr>
            <w:tcW w:w="436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2,452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2,833</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37"/>
        </w:trPr>
        <w:tc>
          <w:tcPr>
            <w:tcW w:w="4360" w:type="dxa"/>
            <w:vAlign w:val="bottom"/>
          </w:tcPr>
          <w:p>
            <w:pPr>
              <w:ind w:left="360"/>
              <w:spacing w:after="0"/>
              <w:rPr>
                <w:sz w:val="20"/>
                <w:szCs w:val="20"/>
                <w:color w:val="auto"/>
              </w:rPr>
            </w:pPr>
            <w:r>
              <w:rPr>
                <w:rFonts w:ascii="Arial" w:cs="Arial" w:eastAsia="Arial" w:hAnsi="Arial"/>
                <w:sz w:val="16"/>
                <w:szCs w:val="16"/>
                <w:color w:val="auto"/>
              </w:rPr>
              <w:t>Acquisition and integration related expenses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Water - Non-GAAP operating 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22,106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43,981</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 - NETWORKS</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Networks - GAAP operating loss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36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13,301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39,444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360" w:type="dxa"/>
            <w:vAlign w:val="bottom"/>
          </w:tcPr>
          <w:p>
            <w:pPr>
              <w:ind w:left="240"/>
              <w:spacing w:after="0"/>
              <w:rPr>
                <w:sz w:val="20"/>
                <w:szCs w:val="20"/>
                <w:color w:val="auto"/>
              </w:rPr>
            </w:pPr>
            <w:r>
              <w:rPr>
                <w:rFonts w:ascii="Arial" w:cs="Arial" w:eastAsia="Arial" w:hAnsi="Arial"/>
                <w:sz w:val="16"/>
                <w:szCs w:val="16"/>
                <w:color w:val="auto"/>
              </w:rPr>
              <w:t>Networks - Non-GAAP operating income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7,058</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4,031</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 - CORPORATE</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Arial" w:cs="Arial" w:eastAsia="Arial" w:hAnsi="Arial"/>
                <w:sz w:val="16"/>
                <w:szCs w:val="16"/>
                <w:b w:val="1"/>
                <w:bCs w:val="1"/>
                <w:color w:val="auto"/>
              </w:rPr>
              <w:t>UNALLOCATED</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Corporate unallocated - GAAP operating loss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(45,438)</w:t>
            </w:r>
          </w:p>
        </w:tc>
        <w:tc>
          <w:tcPr>
            <w:tcW w:w="0" w:type="dxa"/>
            <w:vAlign w:val="bottom"/>
          </w:tcPr>
          <w:p>
            <w:pPr>
              <w:spacing w:after="0"/>
              <w:rPr>
                <w:sz w:val="1"/>
                <w:szCs w:val="1"/>
                <w:color w:val="auto"/>
              </w:rPr>
            </w:pPr>
          </w:p>
        </w:tc>
      </w:tr>
      <w:tr>
        <w:trPr>
          <w:trHeight w:val="237"/>
        </w:trPr>
        <w:tc>
          <w:tcPr>
            <w:tcW w:w="436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6,679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4,257</w:t>
            </w:r>
          </w:p>
        </w:tc>
        <w:tc>
          <w:tcPr>
            <w:tcW w:w="0" w:type="dxa"/>
            <w:vAlign w:val="bottom"/>
          </w:tcPr>
          <w:p>
            <w:pPr>
              <w:spacing w:after="0"/>
              <w:rPr>
                <w:sz w:val="1"/>
                <w:szCs w:val="1"/>
                <w:color w:val="auto"/>
              </w:rPr>
            </w:pPr>
          </w:p>
        </w:tc>
      </w:tr>
      <w:tr>
        <w:trPr>
          <w:trHeight w:val="244"/>
        </w:trPr>
        <w:tc>
          <w:tcPr>
            <w:tcW w:w="4360" w:type="dxa"/>
            <w:vAlign w:val="bottom"/>
          </w:tcPr>
          <w:p>
            <w:pPr>
              <w:ind w:left="240"/>
              <w:spacing w:after="0"/>
              <w:rPr>
                <w:sz w:val="20"/>
                <w:szCs w:val="20"/>
                <w:color w:val="auto"/>
              </w:rPr>
            </w:pPr>
            <w:r>
              <w:rPr>
                <w:rFonts w:ascii="Arial" w:cs="Arial" w:eastAsia="Arial" w:hAnsi="Arial"/>
                <w:sz w:val="16"/>
                <w:szCs w:val="16"/>
                <w:color w:val="auto"/>
              </w:rPr>
              <w:t>Corporate unallocated - Non-GAAP operating loss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(5,741)</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(10,567)</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(25,647)</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(40,484)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interest rate risk through our variable rate debt instruments. 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At September 30, 2018, our LIBOR-based debt balance was $652.0 million.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The interest rate cap contracts expire on June 23, 2020 and were entered into in order to limit our interest rate exposure on $100 million of our variable LIBOR-based debt up to 2.00%. In the event LIBOR is higher than 2.00%, we will pay interest at the capped rate of 2.00% with respect to the $100 million notional amount of such agreements. The interest rate cap contracts do not include the effect of the applicable margin.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2018, we entered into a cross-currency swap which converts $56.0 million of floating rate U.S. Dollar denominated debt into fixed rate euro denominated debt. This cross-currency swap matures on April 30, 2021 and mitigates the risk associated with fluctuations in interest and currency rates impacting cash flows related to a U.S. Dollar denominated debt in a euro functional currency entity.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September 30, 2018. Weighted average variable rates in the table are based on implied forward rates in the Reuters U.S. dollar yield curve as of September 30, 2018 and our estimated leverage ratio, which determines our additional interest rate margin at September 30, 2018.</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Fair Value</w:t>
            </w:r>
          </w:p>
        </w:tc>
      </w:tr>
      <w:tr>
        <w:trPr>
          <w:trHeight w:val="534"/>
        </w:trPr>
        <w:tc>
          <w:tcPr>
            <w:tcW w:w="2920" w:type="dxa"/>
            <w:vAlign w:val="bottom"/>
          </w:tcPr>
          <w:p>
            <w:pPr>
              <w:ind w:left="40"/>
              <w:spacing w:after="0"/>
              <w:rPr>
                <w:sz w:val="20"/>
                <w:szCs w:val="20"/>
                <w:color w:val="auto"/>
              </w:rPr>
            </w:pPr>
            <w:r>
              <w:rPr>
                <w:rFonts w:ascii="Arial" w:cs="Arial" w:eastAsia="Arial" w:hAnsi="Arial"/>
                <w:sz w:val="14"/>
                <w:szCs w:val="14"/>
                <w:i w:val="1"/>
                <w:iCs w:val="1"/>
                <w:color w:val="auto"/>
              </w:rPr>
              <w:t>Variable Rate Debt</w:t>
            </w: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76"/>
        </w:trPr>
        <w:tc>
          <w:tcPr>
            <w:tcW w:w="2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Principal: U.S. dollar term loan</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28,438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44,777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60,937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438,660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641,875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649,686</w:t>
            </w:r>
          </w:p>
        </w:tc>
      </w:tr>
      <w:tr>
        <w:trPr>
          <w:trHeight w:val="264"/>
        </w:trPr>
        <w:tc>
          <w:tcPr>
            <w:tcW w:w="2920" w:type="dxa"/>
            <w:vAlign w:val="bottom"/>
          </w:tcPr>
          <w:p>
            <w:pPr>
              <w:ind w:left="620"/>
              <w:spacing w:after="0"/>
              <w:rPr>
                <w:sz w:val="20"/>
                <w:szCs w:val="20"/>
                <w:color w:val="auto"/>
              </w:rPr>
            </w:pPr>
            <w:r>
              <w:rPr>
                <w:rFonts w:ascii="Arial" w:cs="Arial" w:eastAsia="Arial" w:hAnsi="Arial"/>
                <w:sz w:val="14"/>
                <w:szCs w:val="14"/>
                <w:color w:val="auto"/>
              </w:rPr>
              <w:t>Weighted average interest rate</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2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157"/>
        </w:trPr>
        <w:tc>
          <w:tcPr>
            <w:tcW w:w="2920" w:type="dxa"/>
            <w:vAlign w:val="bottom"/>
          </w:tcPr>
          <w:p>
            <w:pPr>
              <w:ind w:left="620"/>
              <w:spacing w:after="0" w:line="157" w:lineRule="exact"/>
              <w:rPr>
                <w:sz w:val="20"/>
                <w:szCs w:val="20"/>
                <w:color w:val="auto"/>
              </w:rPr>
            </w:pPr>
            <w:r>
              <w:rPr>
                <w:rFonts w:ascii="Arial" w:cs="Arial" w:eastAsia="Arial" w:hAnsi="Arial"/>
                <w:sz w:val="14"/>
                <w:szCs w:val="14"/>
                <w:color w:val="auto"/>
                <w:w w:val="98"/>
              </w:rPr>
              <w:t>Principal: Multicurrency revolving line</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920" w:type="dxa"/>
            <w:vAlign w:val="bottom"/>
          </w:tcPr>
          <w:p>
            <w:pPr>
              <w:ind w:left="620"/>
              <w:spacing w:after="0"/>
              <w:rPr>
                <w:sz w:val="20"/>
                <w:szCs w:val="20"/>
                <w:color w:val="auto"/>
              </w:rPr>
            </w:pPr>
            <w:r>
              <w:rPr>
                <w:rFonts w:ascii="Arial" w:cs="Arial" w:eastAsia="Arial" w:hAnsi="Arial"/>
                <w:sz w:val="14"/>
                <w:szCs w:val="14"/>
                <w:color w:val="auto"/>
              </w:rPr>
              <w:t>of credit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10,137</w:t>
            </w:r>
          </w:p>
        </w:tc>
      </w:tr>
      <w:tr>
        <w:trPr>
          <w:trHeight w:val="276"/>
        </w:trPr>
        <w:tc>
          <w:tcPr>
            <w:tcW w:w="2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Weighted average interest rate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70"/>
        </w:trPr>
        <w:tc>
          <w:tcPr>
            <w:tcW w:w="2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Interest rate swap</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2920" w:type="dxa"/>
            <w:vAlign w:val="bottom"/>
          </w:tcPr>
          <w:p>
            <w:pPr>
              <w:ind w:left="380"/>
              <w:spacing w:after="0"/>
              <w:rPr>
                <w:sz w:val="20"/>
                <w:szCs w:val="20"/>
                <w:color w:val="auto"/>
              </w:rPr>
            </w:pPr>
            <w:r>
              <w:rPr>
                <w:rFonts w:ascii="Arial" w:cs="Arial" w:eastAsia="Arial" w:hAnsi="Arial"/>
                <w:sz w:val="14"/>
                <w:szCs w:val="14"/>
                <w:color w:val="auto"/>
                <w:w w:val="94"/>
              </w:rPr>
              <w:t>Weighted average interest rate (pay) Fixed</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63"/>
        </w:trPr>
        <w:tc>
          <w:tcPr>
            <w:tcW w:w="2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Weighted average interest rate (receive)</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8"/>
        </w:trPr>
        <w:tc>
          <w:tcPr>
            <w:tcW w:w="2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Floating LIBOR</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50"/>
        </w:trPr>
        <w:tc>
          <w:tcPr>
            <w:tcW w:w="2920" w:type="dxa"/>
            <w:vAlign w:val="bottom"/>
          </w:tcPr>
          <w:p>
            <w:pPr>
              <w:ind w:left="380"/>
              <w:spacing w:after="0"/>
              <w:rPr>
                <w:sz w:val="20"/>
                <w:szCs w:val="20"/>
                <w:color w:val="auto"/>
              </w:rPr>
            </w:pPr>
            <w:r>
              <w:rPr>
                <w:rFonts w:ascii="Arial" w:cs="Arial" w:eastAsia="Arial" w:hAnsi="Arial"/>
                <w:sz w:val="14"/>
                <w:szCs w:val="14"/>
                <w:color w:val="auto"/>
              </w:rPr>
              <w:t>Net/Spread</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2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2920" w:type="dxa"/>
            <w:vAlign w:val="bottom"/>
          </w:tcPr>
          <w:p>
            <w:pPr>
              <w:ind w:left="620"/>
              <w:spacing w:after="0"/>
              <w:rPr>
                <w:sz w:val="20"/>
                <w:szCs w:val="20"/>
                <w:color w:val="auto"/>
              </w:rPr>
            </w:pPr>
            <w:r>
              <w:rPr>
                <w:rFonts w:ascii="Arial" w:cs="Arial" w:eastAsia="Arial" w:hAnsi="Arial"/>
                <w:sz w:val="14"/>
                <w:szCs w:val="14"/>
                <w:color w:val="auto"/>
              </w:rPr>
              <w:t>Interest rate cap</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2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Cap rate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157"/>
        </w:trPr>
        <w:tc>
          <w:tcPr>
            <w:tcW w:w="2920" w:type="dxa"/>
            <w:vAlign w:val="bottom"/>
          </w:tcPr>
          <w:p>
            <w:pPr>
              <w:ind w:left="380"/>
              <w:spacing w:after="0" w:line="157" w:lineRule="exact"/>
              <w:rPr>
                <w:sz w:val="20"/>
                <w:szCs w:val="20"/>
                <w:color w:val="auto"/>
              </w:rPr>
            </w:pPr>
            <w:r>
              <w:rPr>
                <w:rFonts w:ascii="Arial" w:cs="Arial" w:eastAsia="Arial" w:hAnsi="Arial"/>
                <w:sz w:val="14"/>
                <w:szCs w:val="14"/>
                <w:color w:val="auto"/>
              </w:rPr>
              <w:t>Weighted average interest rate Floating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LIBOR</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r>
      <w:tr>
        <w:trPr>
          <w:trHeight w:val="256"/>
        </w:trPr>
        <w:tc>
          <w:tcPr>
            <w:tcW w:w="2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Weighted average interest rate (receive)</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2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2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Cross currency swap</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157"/>
        </w:trPr>
        <w:tc>
          <w:tcPr>
            <w:tcW w:w="2920" w:type="dxa"/>
            <w:vAlign w:val="bottom"/>
          </w:tcPr>
          <w:p>
            <w:pPr>
              <w:ind w:left="380"/>
              <w:spacing w:after="0" w:line="157" w:lineRule="exact"/>
              <w:rPr>
                <w:sz w:val="20"/>
                <w:szCs w:val="20"/>
                <w:color w:val="auto"/>
              </w:rPr>
            </w:pPr>
            <w:r>
              <w:rPr>
                <w:rFonts w:ascii="Arial" w:cs="Arial" w:eastAsia="Arial" w:hAnsi="Arial"/>
                <w:sz w:val="14"/>
                <w:szCs w:val="14"/>
                <w:color w:val="auto"/>
                <w:w w:val="94"/>
              </w:rPr>
              <w:t>Weighted average interest rate (pay) Fixed</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920" w:type="dxa"/>
            <w:vAlign w:val="bottom"/>
          </w:tcPr>
          <w:p>
            <w:pPr>
              <w:ind w:left="380"/>
              <w:spacing w:after="0"/>
              <w:rPr>
                <w:sz w:val="20"/>
                <w:szCs w:val="20"/>
                <w:color w:val="auto"/>
              </w:rPr>
            </w:pPr>
            <w:r>
              <w:rPr>
                <w:rFonts w:ascii="Arial" w:cs="Arial" w:eastAsia="Arial" w:hAnsi="Arial"/>
                <w:sz w:val="14"/>
                <w:szCs w:val="14"/>
                <w:color w:val="auto"/>
              </w:rPr>
              <w:t>- EURIBOR</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3"/>
        </w:trPr>
        <w:tc>
          <w:tcPr>
            <w:tcW w:w="2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Weighted average interest rate (receive)</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4"/>
        </w:trPr>
        <w:tc>
          <w:tcPr>
            <w:tcW w:w="2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Floating - LIBOR</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September 30, 2018, we estimate that, if market interest rates average one percentage point higher in 2018 than in the table above, our financial results in 2018 would not be materially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continually monitor and assess our interest rate risk and may institute additional derivative instruments to manage such risk in the future.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39% and 41% of total revenues for the three and nine months ended September 30, 2018 compared with 50% and 47% for the same respective periods in 2017.</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 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September 30, 2018, a total of 52 contracts were offsetting our exposures from the Euro, Pound Sterling, Mexican Peso, Chinese Yuan, Canadian Dollar, Hungarian Forint and various other currencies, with notional amounts ranging from $183,000 to $55.5 million. Based on a sensitivity analysis as of September 30, 2018, we estimate that, if foreign currency exchange rates average ten percentage points higher in 2018 for these financial instruments, our financial results in 2018 would not be materially impacted.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September 30, 2018,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business, we review our system of internal control over financial 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certain of our locations outside of the United States as well as locations acquired through acquisitions. We will continue to upgrade our financial applications in stages, and we believe the related changes to processes and internal controls will allow us to be more efficient and further enhance our internal control over financial reporting.</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these changes, there have been no other changes in our internal control over financial reporting during the three months ended September 30, 2018 that materially affected, or are reasonably likely to materially affect,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(Unaudited), Note 11: Commitments and Contingencies."</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material changes to risk factors during the third quarter of 2018 from those previously disclosed in Item 1A: "Risk Factors" of Part I of our Annual Report on Form 10-K for the fiscal year ended December 31, 2017, which was filed with the Securities and Exchange Commission on February 28, 2018.</w:t>
      </w:r>
    </w:p>
    <w:p>
      <w:pPr>
        <w:spacing w:after="0" w:line="3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Issuer Repurchased of Equity Securities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6"/>
              </w:rPr>
              <w:t>Shares Purchased as</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Maximum Dollar Value</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of Shares that May Yet</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7"/>
                <w:szCs w:val="17"/>
                <w:color w:val="auto"/>
              </w:rPr>
            </w:pPr>
          </w:p>
        </w:tc>
        <w:tc>
          <w:tcPr>
            <w:tcW w:w="180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Average Price Paid per</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Be Purchased Under</w:t>
            </w:r>
          </w:p>
        </w:tc>
      </w:tr>
      <w:tr>
        <w:trPr>
          <w:trHeight w:val="243"/>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the Plans or Programs</w:t>
            </w:r>
          </w:p>
        </w:tc>
      </w:tr>
      <w:tr>
        <w:trPr>
          <w:trHeight w:val="23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July 1, 2018 through July 31, 2018</w:t>
            </w:r>
          </w:p>
        </w:tc>
        <w:tc>
          <w:tcPr>
            <w:tcW w:w="1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6"/>
                <w:szCs w:val="16"/>
                <w:color w:val="auto"/>
              </w:rPr>
              <w:t>—</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August 1, 2018 through August 31, 2018</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13,817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62.82</w:t>
            </w:r>
          </w:p>
        </w:tc>
        <w:tc>
          <w:tcPr>
            <w:tcW w:w="100" w:type="dxa"/>
            <w:vAlign w:val="bottom"/>
          </w:tcPr>
          <w:p>
            <w:pPr>
              <w:spacing w:after="0"/>
              <w:rPr>
                <w:sz w:val="20"/>
                <w:szCs w:val="20"/>
                <w:color w:val="auto"/>
              </w:rPr>
            </w:pPr>
          </w:p>
        </w:tc>
        <w:tc>
          <w:tcPr>
            <w:tcW w:w="1720" w:type="dxa"/>
            <w:vAlign w:val="bottom"/>
          </w:tcPr>
          <w:p>
            <w:pPr>
              <w:ind w:left="1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700" w:type="dxa"/>
            <w:vAlign w:val="bottom"/>
          </w:tcPr>
          <w:p>
            <w:pPr>
              <w:ind w:left="1420"/>
              <w:spacing w:after="0"/>
              <w:rPr>
                <w:sz w:val="20"/>
                <w:szCs w:val="20"/>
                <w:color w:val="auto"/>
              </w:rPr>
            </w:pPr>
            <w:r>
              <w:rPr>
                <w:rFonts w:ascii="Arial" w:cs="Arial" w:eastAsia="Arial" w:hAnsi="Arial"/>
                <w:sz w:val="16"/>
                <w:szCs w:val="16"/>
                <w:color w:val="auto"/>
              </w:rPr>
              <w:t>—</w:t>
            </w: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1, 2018 through September 30, 2018</w:t>
            </w:r>
          </w:p>
        </w:tc>
        <w:tc>
          <w:tcPr>
            <w:tcW w:w="1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6"/>
                <w:szCs w:val="16"/>
                <w:color w:val="auto"/>
              </w:rPr>
              <w:t>—</w:t>
            </w:r>
          </w:p>
        </w:tc>
      </w:tr>
      <w:tr>
        <w:trPr>
          <w:trHeight w:val="244"/>
        </w:trPr>
        <w:tc>
          <w:tcPr>
            <w:tcW w:w="402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13,817</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62.82</w:t>
            </w:r>
          </w:p>
        </w:tc>
        <w:tc>
          <w:tcPr>
            <w:tcW w:w="100" w:type="dxa"/>
            <w:vAlign w:val="bottom"/>
          </w:tcPr>
          <w:p>
            <w:pPr>
              <w:spacing w:after="0"/>
              <w:rPr>
                <w:sz w:val="21"/>
                <w:szCs w:val="21"/>
                <w:color w:val="auto"/>
              </w:rPr>
            </w:pPr>
          </w:p>
        </w:tc>
        <w:tc>
          <w:tcPr>
            <w:tcW w:w="172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7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Shares repurchased represent shares transferred to us by certain employees who vested in restricted stock units and used shares to pay all, or a portion of, the related taxes.</w:t>
      </w:r>
    </w:p>
    <w:p>
      <w:pPr>
        <w:spacing w:after="0" w:line="3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third quarter of 2018 that was not reported.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jc w:val="cente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642"/>
        </w:trPr>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5"/>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927"/>
        </w:trPr>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34"/>
        </w:trPr>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520"/>
        </w:trPr>
        <w:tc>
          <w:tcPr>
            <w:tcW w:w="1260" w:type="dxa"/>
            <w:vAlign w:val="bottom"/>
          </w:tcPr>
          <w:p>
            <w:pPr>
              <w:jc w:val="right"/>
              <w:ind w:right="31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62">
              <w:r>
                <w:rPr>
                  <w:rFonts w:ascii="Arial" w:cs="Arial" w:eastAsia="Arial" w:hAnsi="Arial"/>
                  <w:sz w:val="18"/>
                  <w:szCs w:val="18"/>
                  <w:color w:val="0000FF"/>
                  <w:w w:val="92"/>
                </w:rPr>
                <w:t>Computation of Ratio of Earnings to Fixed Charges. (filed with this report)</w:t>
              </w:r>
            </w:hyperlink>
          </w:p>
        </w:tc>
        <w:tc>
          <w:tcPr>
            <w:tcW w:w="4600" w:type="dxa"/>
            <w:vAlign w:val="bottom"/>
          </w:tcPr>
          <w:p>
            <w:pPr>
              <w:spacing w:after="0"/>
              <w:rPr>
                <w:sz w:val="24"/>
                <w:szCs w:val="24"/>
                <w:color w:val="auto"/>
              </w:rPr>
            </w:pPr>
          </w:p>
        </w:tc>
      </w:tr>
      <w:tr>
        <w:trPr>
          <w:trHeight w:val="547"/>
        </w:trPr>
        <w:tc>
          <w:tcPr>
            <w:tcW w:w="1260" w:type="dxa"/>
            <w:vAlign w:val="bottom"/>
          </w:tcPr>
          <w:p>
            <w:pPr>
              <w:jc w:val="right"/>
              <w:ind w:right="31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Certification Pursuant to Section 302 of the Sarbanes-Oxley Act of 2002.</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r>
      <w:tr>
        <w:trPr>
          <w:trHeight w:val="574"/>
        </w:trPr>
        <w:tc>
          <w:tcPr>
            <w:tcW w:w="1260" w:type="dxa"/>
            <w:vAlign w:val="bottom"/>
          </w:tcPr>
          <w:p>
            <w:pPr>
              <w:jc w:val="right"/>
              <w:ind w:right="31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Certification Pursuant to Section 302 of the Sarbanes-Oxley Act of 2002.</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r>
      <w:tr>
        <w:trPr>
          <w:trHeight w:val="574"/>
        </w:trPr>
        <w:tc>
          <w:tcPr>
            <w:tcW w:w="1260" w:type="dxa"/>
            <w:vAlign w:val="bottom"/>
          </w:tcPr>
          <w:p>
            <w:pPr>
              <w:jc w:val="right"/>
              <w:ind w:right="31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Certification Pursuant to Section 906 of the Sarbanes-Oxley Act of 2002.</w:t>
              </w:r>
            </w:hyperlink>
          </w:p>
        </w:tc>
      </w:tr>
      <w:tr>
        <w:trPr>
          <w:trHeight w:val="20"/>
        </w:trPr>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r>
      <w:tr>
        <w:trPr>
          <w:trHeight w:val="600"/>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2"/>
              </w:rPr>
              <w:t>101.INS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w w:val="94"/>
              </w:rPr>
              <w:t>XBRL Instance Document. The instance document does not appear in the Interactive Data File because its XBRL tags are embedded</w:t>
            </w:r>
          </w:p>
        </w:tc>
      </w:tr>
      <w:tr>
        <w:trPr>
          <w:trHeight w:val="230"/>
        </w:trPr>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within the Inline XBRL document.</w:t>
            </w:r>
          </w:p>
        </w:tc>
      </w:tr>
      <w:tr>
        <w:trPr>
          <w:trHeight w:val="594"/>
        </w:trPr>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101.SCH</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101.DEF</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783"/>
        </w:trPr>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3"/>
          </w:tcPr>
          <w:p>
            <w:pPr>
              <w:jc w:val="right"/>
              <w:ind w:right="79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November 5, 2018</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/s/ JOAN S. HOOPER</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89"/>
              </w:rPr>
              <w:t>Joan S. Hooper</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1"/>
              </w:rPr>
              <w:t>Senior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420"/>
          </w:cols>
          <w:pgMar w:left="240" w:top="125"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Exhibit 12.1</w:t>
            </w:r>
          </w:p>
        </w:tc>
        <w:tc>
          <w:tcPr>
            <w:tcW w:w="0" w:type="dxa"/>
            <w:vAlign w:val="bottom"/>
          </w:tcPr>
          <w:p>
            <w:pPr>
              <w:spacing w:after="0"/>
              <w:rPr>
                <w:sz w:val="1"/>
                <w:szCs w:val="1"/>
                <w:color w:val="auto"/>
              </w:rPr>
            </w:pPr>
          </w:p>
        </w:tc>
      </w:tr>
      <w:tr>
        <w:trPr>
          <w:trHeight w:val="331"/>
        </w:trPr>
        <w:tc>
          <w:tcPr>
            <w:tcW w:w="3160" w:type="dxa"/>
            <w:vAlign w:val="bottom"/>
          </w:tcPr>
          <w:p>
            <w:pPr>
              <w:spacing w:after="0"/>
              <w:rPr>
                <w:sz w:val="24"/>
                <w:szCs w:val="24"/>
                <w:color w:val="auto"/>
              </w:rPr>
            </w:pPr>
          </w:p>
        </w:tc>
        <w:tc>
          <w:tcPr>
            <w:tcW w:w="5660" w:type="dxa"/>
            <w:vAlign w:val="bottom"/>
            <w:gridSpan w:val="13"/>
          </w:tcPr>
          <w:p>
            <w:pPr>
              <w:ind w:left="40"/>
              <w:spacing w:after="0"/>
              <w:rPr>
                <w:sz w:val="20"/>
                <w:szCs w:val="20"/>
                <w:color w:val="auto"/>
              </w:rPr>
            </w:pPr>
            <w:r>
              <w:rPr>
                <w:rFonts w:ascii="Arial" w:cs="Arial" w:eastAsia="Arial" w:hAnsi="Arial"/>
                <w:sz w:val="16"/>
                <w:szCs w:val="16"/>
                <w:b w:val="1"/>
                <w:bCs w:val="1"/>
                <w:color w:val="auto"/>
              </w:rPr>
              <w:t xml:space="preserve">COMPUTATION OF RATIO OF EARNINGS TO FIXED CHARGES </w:t>
            </w:r>
            <w:r>
              <w:rPr>
                <w:rFonts w:ascii="Arial" w:cs="Arial" w:eastAsia="Arial" w:hAnsi="Arial"/>
                <w:sz w:val="21"/>
                <w:szCs w:val="21"/>
                <w:b w:val="1"/>
                <w:bCs w:val="1"/>
                <w:color w:val="auto"/>
                <w:vertAlign w:val="superscript"/>
              </w:rPr>
              <w:t>(1)</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3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Nine Months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6"/>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Ended</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80"/>
              <w:spacing w:after="0" w:line="182" w:lineRule="exact"/>
              <w:rPr>
                <w:sz w:val="20"/>
                <w:szCs w:val="20"/>
                <w:color w:val="auto"/>
              </w:rPr>
            </w:pPr>
            <w:r>
              <w:rPr>
                <w:rFonts w:ascii="Arial" w:cs="Arial" w:eastAsia="Arial" w:hAnsi="Arial"/>
                <w:sz w:val="16"/>
                <w:szCs w:val="16"/>
                <w:b w:val="1"/>
                <w:bCs w:val="1"/>
                <w:color w:val="auto"/>
                <w:w w:val="91"/>
              </w:rPr>
              <w:t>September 30,</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Arial" w:cs="Arial" w:eastAsia="Arial" w:hAnsi="Arial"/>
                <w:sz w:val="16"/>
                <w:szCs w:val="16"/>
                <w:b w:val="1"/>
                <w:bCs w:val="1"/>
                <w:color w:val="auto"/>
              </w:rPr>
              <w:t>(in thousands, except ratios)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Pre-tax net income (loss)</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(123,402)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134,575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(153,400)</w:t>
            </w:r>
          </w:p>
        </w:tc>
        <w:tc>
          <w:tcPr>
            <w:tcW w:w="0" w:type="dxa"/>
            <w:vAlign w:val="bottom"/>
          </w:tcPr>
          <w:p>
            <w:pPr>
              <w:spacing w:after="0"/>
              <w:rPr>
                <w:sz w:val="1"/>
                <w:szCs w:val="1"/>
                <w:color w:val="auto"/>
              </w:rPr>
            </w:pPr>
          </w:p>
        </w:tc>
      </w:tr>
      <w:tr>
        <w:trPr>
          <w:trHeight w:val="220"/>
        </w:trPr>
        <w:tc>
          <w:tcPr>
            <w:tcW w:w="3160" w:type="dxa"/>
            <w:vAlign w:val="bottom"/>
          </w:tcPr>
          <w:p>
            <w:pPr>
              <w:ind w:left="180"/>
              <w:spacing w:after="0"/>
              <w:rPr>
                <w:sz w:val="20"/>
                <w:szCs w:val="20"/>
                <w:color w:val="auto"/>
              </w:rPr>
            </w:pPr>
            <w:r>
              <w:rPr>
                <w:rFonts w:ascii="Arial" w:cs="Arial" w:eastAsia="Arial" w:hAnsi="Arial"/>
                <w:sz w:val="16"/>
                <w:szCs w:val="16"/>
                <w:color w:val="auto"/>
              </w:rPr>
              <w:t>Add: dividends received from equity</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tcPr>
          <w:p>
            <w:pPr>
              <w:ind w:left="180"/>
              <w:spacing w:after="0"/>
              <w:rPr>
                <w:sz w:val="20"/>
                <w:szCs w:val="20"/>
                <w:color w:val="auto"/>
              </w:rPr>
            </w:pPr>
            <w:r>
              <w:rPr>
                <w:rFonts w:ascii="Arial" w:cs="Arial" w:eastAsia="Arial" w:hAnsi="Arial"/>
                <w:sz w:val="16"/>
                <w:szCs w:val="16"/>
                <w:color w:val="auto"/>
              </w:rPr>
              <w:t>investees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Less: income attributable to noncontrolling</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w w:val="92"/>
              </w:rPr>
              <w:t>Less: net income (loss) from equity investees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33"/>
        </w:trPr>
        <w:tc>
          <w:tcPr>
            <w:tcW w:w="3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(124,396)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131,801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81,286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(155,866)</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r>
              <w:rPr>
                <w:rFonts w:ascii="Arial" w:cs="Arial" w:eastAsia="Arial" w:hAnsi="Arial"/>
                <w:sz w:val="21"/>
                <w:szCs w:val="21"/>
                <w:color w:val="auto"/>
                <w:vertAlign w:val="superscript"/>
              </w:rPr>
              <w:t>(2)</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tcPr>
          <w:p>
            <w:pPr>
              <w:ind w:left="180"/>
              <w:spacing w:after="0"/>
              <w:rPr>
                <w:sz w:val="20"/>
                <w:szCs w:val="20"/>
                <w:color w:val="auto"/>
              </w:rPr>
            </w:pPr>
            <w:r>
              <w:rPr>
                <w:rFonts w:ascii="Arial" w:cs="Arial" w:eastAsia="Arial" w:hAnsi="Arial"/>
                <w:sz w:val="16"/>
                <w:szCs w:val="16"/>
                <w:color w:val="auto"/>
              </w:rPr>
              <w:t>Interest expense, gross</w:t>
            </w:r>
            <w:r>
              <w:rPr>
                <w:rFonts w:ascii="Arial" w:cs="Arial" w:eastAsia="Arial" w:hAnsi="Arial"/>
                <w:sz w:val="21"/>
                <w:szCs w:val="21"/>
                <w:color w:val="auto"/>
                <w:vertAlign w:val="superscript"/>
              </w:rPr>
              <w:t>(3)</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44,320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13,845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13,521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14,669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15,078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14,041</w:t>
            </w:r>
          </w:p>
        </w:tc>
        <w:tc>
          <w:tcPr>
            <w:tcW w:w="0" w:type="dxa"/>
            <w:vAlign w:val="bottom"/>
          </w:tcPr>
          <w:p>
            <w:pPr>
              <w:spacing w:after="0"/>
              <w:rPr>
                <w:sz w:val="1"/>
                <w:szCs w:val="1"/>
                <w:color w:val="auto"/>
              </w:rPr>
            </w:pPr>
          </w:p>
        </w:tc>
      </w:tr>
      <w:tr>
        <w:trPr>
          <w:trHeight w:val="27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portion of rent expense</w:t>
            </w: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6,651</w:t>
            </w: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 Fixed charges</w:t>
            </w: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18,479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20,692</w:t>
            </w: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 Earnings for ratio</w:t>
            </w:r>
            <w:r>
              <w:rPr>
                <w:rFonts w:ascii="Arial" w:cs="Arial" w:eastAsia="Arial" w:hAnsi="Arial"/>
                <w:sz w:val="21"/>
                <w:szCs w:val="21"/>
                <w:color w:val="auto"/>
                <w:vertAlign w:val="superscript"/>
              </w:rPr>
              <w:t>(4)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(73,735)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150,742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99,765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54,488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(135,174)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Ratios:</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60" w:type="dxa"/>
            <w:vAlign w:val="bottom"/>
          </w:tcPr>
          <w:p>
            <w:pPr>
              <w:ind w:left="180"/>
              <w:spacing w:after="0"/>
              <w:rPr>
                <w:sz w:val="20"/>
                <w:szCs w:val="20"/>
                <w:color w:val="auto"/>
              </w:rPr>
            </w:pPr>
            <w:r>
              <w:rPr>
                <w:rFonts w:ascii="Arial" w:cs="Arial" w:eastAsia="Arial" w:hAnsi="Arial"/>
                <w:sz w:val="16"/>
                <w:szCs w:val="16"/>
                <w:color w:val="auto"/>
              </w:rPr>
              <w:t>Earnings to fixed charges (b/a)</w:t>
            </w:r>
            <w:r>
              <w:rPr>
                <w:rFonts w:ascii="Arial" w:cs="Arial" w:eastAsia="Arial" w:hAnsi="Arial"/>
                <w:sz w:val="21"/>
                <w:szCs w:val="21"/>
                <w:color w:val="auto"/>
                <w:vertAlign w:val="superscript"/>
              </w:rPr>
              <w:t>(5)</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2"/>
          </w:tcPr>
          <w:p>
            <w:pPr>
              <w:ind w:left="840"/>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Deficit of earnings to fixed charges</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(73,735)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20"/>
                <w:szCs w:val="20"/>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0"/>
                <w:szCs w:val="20"/>
                <w:color w:val="auto"/>
              </w:rPr>
            </w:pP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20"/>
                <w:szCs w:val="20"/>
                <w:color w:val="auto"/>
              </w:rPr>
            </w:pPr>
          </w:p>
        </w:tc>
        <w:tc>
          <w:tcPr>
            <w:tcW w:w="1040" w:type="dxa"/>
            <w:vAlign w:val="bottom"/>
            <w:gridSpan w:val="2"/>
          </w:tcPr>
          <w:p>
            <w:pPr>
              <w:ind w:left="540"/>
              <w:spacing w:after="0"/>
              <w:rPr>
                <w:sz w:val="20"/>
                <w:szCs w:val="20"/>
                <w:color w:val="auto"/>
              </w:rPr>
            </w:pPr>
            <w:r>
              <w:rPr>
                <w:rFonts w:ascii="Arial" w:cs="Arial" w:eastAsia="Arial" w:hAnsi="Arial"/>
                <w:sz w:val="16"/>
                <w:szCs w:val="16"/>
                <w:color w:val="auto"/>
              </w:rPr>
              <w:t>N/A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(135,174)</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hanging="332"/>
        <w:spacing w:after="0" w:line="216"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We had no preferred stock outstanding for any period presented and accordingly our ratio of earnings to combined fixed charges and preferred stock dividends is the same as our ratio of earnings to fixed charges for all periods presented.</w:t>
      </w:r>
    </w:p>
    <w:p>
      <w:pPr>
        <w:spacing w:after="0" w:line="203"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Fixed charges </w:t>
      </w:r>
      <w:r>
        <w:rPr>
          <w:rFonts w:ascii="Arial" w:cs="Arial" w:eastAsia="Arial" w:hAnsi="Arial"/>
          <w:sz w:val="18"/>
          <w:szCs w:val="18"/>
          <w:color w:val="auto"/>
        </w:rPr>
        <w:t>consist of interest on indebtedness and amortization of debt issuance costs plus that portion of lease rental expense representative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factor.</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i w:val="1"/>
          <w:iCs w:val="1"/>
          <w:color w:val="auto"/>
        </w:rPr>
        <w:t>Interest expense, gross</w:t>
      </w:r>
      <w:r>
        <w:rPr>
          <w:rFonts w:ascii="Arial" w:cs="Arial" w:eastAsia="Arial" w:hAnsi="Arial"/>
          <w:sz w:val="18"/>
          <w:szCs w:val="18"/>
          <w:color w:val="auto"/>
        </w:rPr>
        <w:t>, includes amortization of prepaid debt fees.</w:t>
      </w:r>
    </w:p>
    <w:p>
      <w:pPr>
        <w:spacing w:after="0" w:line="20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for ratio </w:t>
      </w:r>
      <w:r>
        <w:rPr>
          <w:rFonts w:ascii="Arial" w:cs="Arial" w:eastAsia="Arial" w:hAnsi="Arial"/>
          <w:sz w:val="18"/>
          <w:szCs w:val="18"/>
          <w:color w:val="auto"/>
        </w:rPr>
        <w:t>consists of net income (loss) from continuing operations before income taxes, plus dividends received from equity method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less income from equity investees, less income attributable to noncontrolling interests, plus fixed charges.</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to fixed charges ratio </w:t>
      </w:r>
      <w:r>
        <w:rPr>
          <w:rFonts w:ascii="Arial" w:cs="Arial" w:eastAsia="Arial" w:hAnsi="Arial"/>
          <w:sz w:val="18"/>
          <w:szCs w:val="18"/>
          <w:color w:val="auto"/>
        </w:rPr>
        <w:t>is not calculated for years with a</w:t>
      </w:r>
      <w:r>
        <w:rPr>
          <w:rFonts w:ascii="Arial" w:cs="Arial" w:eastAsia="Arial" w:hAnsi="Arial"/>
          <w:sz w:val="18"/>
          <w:szCs w:val="18"/>
          <w:i w:val="1"/>
          <w:iCs w:val="1"/>
          <w:color w:val="auto"/>
        </w:rPr>
        <w:t xml:space="preserve"> Deficit of earnings to fixed charges </w:t>
      </w:r>
      <w:r>
        <w:rPr>
          <w:rFonts w:ascii="Arial" w:cs="Arial" w:eastAsia="Arial" w:hAnsi="Arial"/>
          <w:sz w:val="18"/>
          <w:szCs w:val="18"/>
          <w:color w:val="auto"/>
        </w:rPr>
        <w:t>amount as the ratio is less than 1:1.</w:t>
      </w:r>
    </w:p>
    <w:p>
      <w:pPr>
        <w:sectPr>
          <w:pgSz w:w="11900" w:h="16838" w:orient="portrait"/>
          <w:cols w:equalWidth="0" w:num="1">
            <w:col w:w="11420"/>
          </w:cols>
          <w:pgMar w:left="240" w:top="76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2018</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2018</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September 30, 2018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Joan S. Hooper, the Chief Financial Officer of the Company, each certifies that to the best of his or her knowledge:</w:t>
      </w:r>
    </w:p>
    <w:p>
      <w:pPr>
        <w:spacing w:after="0" w:line="170" w:lineRule="exact"/>
        <w:rPr>
          <w:sz w:val="20"/>
          <w:szCs w:val="20"/>
          <w:color w:val="auto"/>
        </w:rPr>
      </w:pPr>
    </w:p>
    <w:p>
      <w:pPr>
        <w:ind w:left="880" w:hanging="46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November 5, 2018</w:t>
      </w:r>
    </w:p>
    <w:p>
      <w:pPr>
        <w:spacing w:after="0" w:line="31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November 5, 2018</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3"/>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2019-12-28T18:23:33Z</dcterms:created>
  <dcterms:modified xsi:type="dcterms:W3CDTF">2019-12-28T18:23:33Z</dcterms:modified>
</cp:coreProperties>
</file>