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637540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57"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1057"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1057"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1057"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1057"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1057"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September 30, 2016 there were outstanding 38,258,576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2">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0">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2">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3">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3">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3">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3">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4">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51</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51</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51</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51</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52</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Pr>
          <w:p>
            <w:pPr>
              <w:spacing w:after="0"/>
              <w:rPr>
                <w:sz w:val="18"/>
                <w:szCs w:val="18"/>
                <w:color w:val="auto"/>
              </w:rPr>
            </w:pPr>
          </w:p>
        </w:tc>
        <w:tc>
          <w:tcPr>
            <w:tcW w:w="31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thousands, except per share data)</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1,517,473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1,387,085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336,110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322,238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1,013,816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982,819</w:t>
            </w: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503,657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404,266</w:t>
            </w:r>
          </w:p>
        </w:tc>
      </w:tr>
      <w:tr>
        <w:trPr>
          <w:trHeight w:val="297"/>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38,894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119,037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123,302</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126,399</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40,384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31,118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130,781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103,195</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23,730</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41,294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(8,828)</w:t>
            </w: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438,200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367,798</w:t>
            </w:r>
          </w:p>
        </w:tc>
      </w:tr>
      <w:tr>
        <w:trPr>
          <w:trHeight w:val="291"/>
        </w:trPr>
        <w:tc>
          <w:tcPr>
            <w:tcW w:w="4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36,468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(9,336)</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(11,899)</w:t>
            </w:r>
          </w:p>
        </w:tc>
      </w:tr>
      <w:tr>
        <w:trPr>
          <w:trHeight w:val="27"/>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23,202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56,633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24,569</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(19,060)</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22,384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5,509</w:t>
            </w:r>
          </w:p>
        </w:tc>
      </w:tr>
      <w:tr>
        <w:trPr>
          <w:trHeight w:val="27"/>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income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12,640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20,121</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3,692</w:t>
            </w:r>
          </w:p>
        </w:tc>
      </w:tr>
      <w:tr>
        <w:trPr>
          <w:trHeight w:val="67"/>
        </w:trPr>
        <w:tc>
          <w:tcPr>
            <w:tcW w:w="42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4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(loss) per common share - 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67"/>
        </w:trPr>
        <w:tc>
          <w:tcPr>
            <w:tcW w:w="42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common share - 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38,329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3"/>
              </w:rPr>
              <w:t>Weighted average common shares outstanding - Diluted</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38,248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38,358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38,515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38,591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99"/>
              </w:rPr>
              <w:t>September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(8,902)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13,270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5,509</w:t>
            </w:r>
          </w:p>
        </w:tc>
      </w:tr>
      <w:tr>
        <w:trPr>
          <w:trHeight w:val="297"/>
        </w:trPr>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9,184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(14,241)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10,910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(60,803)</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unrealized gain (loss) on derivative instruments,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designated as cash flow hedges</w:t>
            </w: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(1,198)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1,863</w:t>
            </w: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(13,304)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(58,860)</w:t>
            </w:r>
          </w:p>
        </w:tc>
      </w:tr>
      <w:tr>
        <w:trPr>
          <w:trHeight w:val="291"/>
        </w:trPr>
        <w:tc>
          <w:tcPr>
            <w:tcW w:w="4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(53,351)</w:t>
            </w:r>
          </w:p>
        </w:tc>
      </w:tr>
      <w:tr>
        <w:trPr>
          <w:trHeight w:val="291"/>
        </w:trPr>
        <w:tc>
          <w:tcPr>
            <w:tcW w:w="4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Comprehensive income attributable to noncontrolling</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 net of tax</w:t>
            </w: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r>
      <w:tr>
        <w:trPr>
          <w:trHeight w:val="297"/>
        </w:trPr>
        <w:tc>
          <w:tcPr>
            <w:tcW w:w="42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Comprehensive income (loss) attributable to Itron, Inc.</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(55,168)</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10"/>
          </w:tcPr>
          <w:p>
            <w:pPr>
              <w:ind w:left="2140"/>
              <w:spacing w:after="0"/>
              <w:rPr>
                <w:sz w:val="20"/>
                <w:szCs w:val="20"/>
                <w:color w:val="auto"/>
              </w:rPr>
            </w:pPr>
            <w:r>
              <w:rPr>
                <w:rFonts w:ascii="Arial" w:cs="Arial" w:eastAsia="Arial" w:hAnsi="Arial"/>
                <w:sz w:val="18"/>
                <w:szCs w:val="18"/>
                <w:i w:val="1"/>
                <w:iCs w:val="1"/>
                <w:color w:val="auto"/>
                <w:w w:val="95"/>
              </w:rPr>
              <w:t>The accompanying notes are an integral part of these condensed consolidated financial statements.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86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2016</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131,018</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368,710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330,895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190,465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122,037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106,562</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758,940</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190,256</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noncurrent,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91,808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109,387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82,733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101,932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468,122</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1,708,125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1,680,316</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197"/>
        </w:trPr>
        <w:tc>
          <w:tcPr>
            <w:tcW w:w="12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ind w:left="11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203,986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185,827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78,630</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Wages and benefits payable</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88,519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76,980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14,859</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12,656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11,250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warranty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80,342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73,301</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477,774</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358,915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warranty</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18,702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17,585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85,971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1,723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115,645</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1,046,133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1,057,613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16"/>
        </w:trPr>
        <w:tc>
          <w:tcPr>
            <w:tcW w:w="12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16"/>
        </w:trPr>
        <w:tc>
          <w:tcPr>
            <w:tcW w:w="12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w w:val="92"/>
              </w:rPr>
              <w:t>Common stock, no par value, 75 million shares authorized, 38,259 and 37,906 shares</w:t>
            </w: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issued and outstanding</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1,259,704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1,246,671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(200,607)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(421,185)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(441,306)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Itron, Inc.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604,758</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17,945</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661,992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622,703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1,708,125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1,680,316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ITRON, INC.</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(UNAUDITED)</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5,509</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57,790</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13,300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10,879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17,772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14,744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Restructuring, non-cash</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1,877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(14,193)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(73,464)</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6,536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20,207</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21,072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(1,741)</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20,154</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(30,563)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(33,324)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and cash equivalents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545</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(38,533)</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89,709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(30,186)</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(35,278)</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1,881</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28,355</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(12,889)</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20,362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131,018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112,371</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151,380</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109,458</w:t>
            </w:r>
          </w:p>
        </w:tc>
      </w:tr>
      <w:tr>
        <w:trPr>
          <w:trHeight w:val="67"/>
        </w:trPr>
        <w:tc>
          <w:tcPr>
            <w:tcW w:w="1280" w:type="dxa"/>
            <w:vAlign w:val="bottom"/>
            <w:tcBorders>
              <w:bottom w:val="single" w:sz="8" w:color="CCEEFF"/>
            </w:tcBorders>
          </w:tcPr>
          <w:p>
            <w:pPr>
              <w:spacing w:after="0"/>
              <w:rPr>
                <w:sz w:val="5"/>
                <w:szCs w:val="5"/>
                <w:color w:val="auto"/>
              </w:rPr>
            </w:pPr>
          </w:p>
        </w:tc>
        <w:tc>
          <w:tcPr>
            <w:tcW w:w="66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10"/>
        </w:trPr>
        <w:tc>
          <w:tcPr>
            <w:tcW w:w="128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17,207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22,578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7,549</w:t>
            </w:r>
          </w:p>
        </w:tc>
      </w:tr>
      <w:tr>
        <w:trPr>
          <w:trHeight w:val="27"/>
        </w:trPr>
        <w:tc>
          <w:tcPr>
            <w:tcW w:w="128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2016 and 2015, the Consolidated Balance Sheets as of September 30, 2016 and December 31, 2015, and the Consolidated Statements of Cash Flows for the nine months ended September 30, 2016 and 2015 of Itron, Inc. and its subsidiaries. All entries required for the fair presentation of the financial statements are of a normal recurring nature, except as disclosed. The results of operations for the three and nine months ended September 30, 2016 are not necessarily indicative of the results expected for the full fiscal year or for any other fiscal period.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audited financial statements and notes included in our 2015 Annual Report on Form 10-K filed with the SEC on June 30, 2016. There have been no significant changes in financial statement preparation or significant accounting policies since December 31, 2015, with the following exceptions.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Revision of Prior Period Financial Statements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revised our previously reported consolidated financial statements for the first three quarters of fiscal 2015 as reported in our 2015 Annual Report on Form 10-K filed with the SEC on June 30, 2016. These revisions primarily impacted the timing of revenue and cost recognition associated with contracts involving certain software products that we were unable to demonstrate vendor specific objective evidence (VSOE) of fair value for certain undelivered elements or determine whether software was essential to the functionality of certain hardware. All impacted financial statement line items and related notes to condensed consolidated financial statements reflect these revisions.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recorded as a direct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 various stock-based compensation awards to our officers, employees and Board of Directors with service, market, and/or performance vesting conditions. Beginning with the fiscal quarter ended March 31, 2016, we granted phantom stock units, which are settled in cash upon vesting and accounted for as liability-based awards.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employees are eligible to participate in our Employee Stock Purchase Plan (ESPP). The discount provided for ESPP purchases is 5% from the fair market value of the stock at the end of each fiscal quarter and is not considered compensatory.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to supersede nearly all existing revenue recognition guidance under U.S. GAAP. The core principle of ASU 2014-09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recognize revenues when promised goods or services are transferred to customers in an amount that reflects the consideration that is expected to be received for those goods or services. In August 2015, the FASB issued ASU 2015-14, </w:t>
      </w:r>
      <w:r>
        <w:rPr>
          <w:rFonts w:ascii="Arial" w:cs="Arial" w:eastAsia="Arial" w:hAnsi="Arial"/>
          <w:sz w:val="16"/>
          <w:szCs w:val="16"/>
          <w:i w:val="1"/>
          <w:iCs w:val="1"/>
          <w:color w:val="auto"/>
        </w:rPr>
        <w:t>Revenue from Contracts with Customers: Deferral of the Effective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which deferred the effective date for implementation of ASU 2014-09 by one year and are now effective for annual reporting periods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15, 2017, with early adoption permitted but not earlier than the original effective date. In March 2016, the FASB issued ASU 2016-08, </w:t>
      </w:r>
      <w:r>
        <w:rPr>
          <w:rFonts w:ascii="Arial" w:cs="Arial" w:eastAsia="Arial" w:hAnsi="Arial"/>
          <w:sz w:val="16"/>
          <w:szCs w:val="16"/>
          <w:i w:val="1"/>
          <w:iCs w:val="1"/>
          <w:color w:val="auto"/>
        </w:rPr>
        <w:t>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Agent Considerations (Reporting Revenue Gross versus Net) </w:t>
      </w:r>
      <w:r>
        <w:rPr>
          <w:rFonts w:ascii="Arial" w:cs="Arial" w:eastAsia="Arial" w:hAnsi="Arial"/>
          <w:sz w:val="16"/>
          <w:szCs w:val="16"/>
          <w:color w:val="auto"/>
        </w:rPr>
        <w:t>(ASU 2016-08), which clarifies the implementation guidance of principal versus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considerations. In April 2016, the FASB issued ASU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(ASU 2016-10), which clarifies the identification of performance obligations and licensing implementation guidance. In May 2016, the FASB issued ASU 2016-12, </w:t>
      </w:r>
      <w:r>
        <w:rPr>
          <w:rFonts w:ascii="Arial" w:cs="Arial" w:eastAsia="Arial" w:hAnsi="Arial"/>
          <w:sz w:val="16"/>
          <w:szCs w:val="16"/>
          <w:i w:val="1"/>
          <w:iCs w:val="1"/>
          <w:color w:val="auto"/>
        </w:rPr>
        <w:t>Narrow-Scope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Practical Expedients </w:t>
      </w:r>
      <w:r>
        <w:rPr>
          <w:rFonts w:ascii="Arial" w:cs="Arial" w:eastAsia="Arial" w:hAnsi="Arial"/>
          <w:sz w:val="16"/>
          <w:szCs w:val="16"/>
          <w:color w:val="auto"/>
        </w:rPr>
        <w:t>(ASU 2016-12), to improve guidance on assessing collectability, presentation of sales taxes, noncash consideration, and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contract modifications at transition. The effective date and transition requirements in ASU 2016-08, ASU 2016-10, and ASU 2016-12 are the same as the effective date and transition requirements of ASU 2015-14. We have not yet selected a transition method, and we are currently evaluating the effect that the updated standard will have on our consolidated results of operations, financial position, cash flows, and related financial statement disclosures.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 - Imputation of Interes</w:t>
      </w:r>
      <w:r>
        <w:rPr>
          <w:rFonts w:ascii="Arial" w:cs="Arial" w:eastAsia="Arial" w:hAnsi="Arial"/>
          <w:sz w:val="17"/>
          <w:szCs w:val="17"/>
          <w:color w:val="auto"/>
        </w:rPr>
        <w:t xml:space="preserve">t (ASU 2015-03). ASU 2015-03 requires that debt issuance costs related to a recognized debt liability be presented in the balance sheet as a direct deduction from the carrying amount of the corresponding debt liability. In August 2015, the FASB issued ASU 2015-15, </w:t>
      </w:r>
      <w:r>
        <w:rPr>
          <w:rFonts w:ascii="Arial" w:cs="Arial" w:eastAsia="Arial" w:hAnsi="Arial"/>
          <w:sz w:val="17"/>
          <w:szCs w:val="17"/>
          <w:i w:val="1"/>
          <w:iCs w:val="1"/>
          <w:color w:val="auto"/>
        </w:rPr>
        <w:t xml:space="preserve">Interest - Imputation of Interest: Presentation and Subsequent Measurement of Debt Issuance Costs Associated with Line-of-Credit Arrangements </w:t>
      </w:r>
      <w:r>
        <w:rPr>
          <w:rFonts w:ascii="Arial" w:cs="Arial" w:eastAsia="Arial" w:hAnsi="Arial"/>
          <w:sz w:val="17"/>
          <w:szCs w:val="17"/>
          <w:color w:val="auto"/>
        </w:rPr>
        <w:t>(ASU 2015-15). ASU 2015-15 provides additional guidance on the presentation and subsequent measurement of debt issuance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line-of-credit arrangements. ASU 2015-03 and ASU 2015-15 are effective for interim and annual periods beginning after December 15, 2015, with early adoption permitted, and is to be applied on a retrospective basis. We adopted this standard on January 1, 2016, and it did not materially impact our consolidated results of operations, financial position, cash flows, and related financial statement disclosures.</w:t>
      </w:r>
    </w:p>
    <w:p>
      <w:pPr>
        <w:spacing w:after="0" w:line="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 - Goodwill and Other - Internal-Use Software (Subtopic 350-40), Customer's Accounting for Fees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Paid in a Cloud Computing Arrangement </w:t>
      </w:r>
      <w:r>
        <w:rPr>
          <w:rFonts w:ascii="Arial" w:cs="Arial" w:eastAsia="Arial" w:hAnsi="Arial"/>
          <w:sz w:val="16"/>
          <w:szCs w:val="16"/>
          <w:color w:val="auto"/>
        </w:rPr>
        <w:t>(ASU 2015-05), which provides guidance about whether a cloud computing arrangement includes a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us on January 1, 2016. We adopted this standard on January 1, 2016, and it did not materially impact our consolidated results of operations, financial position, cash flows, and related financial statement disclosures.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 Simplifying the Measurement of Inventory</w:t>
      </w:r>
      <w:r>
        <w:rPr>
          <w:rFonts w:ascii="Arial" w:cs="Arial" w:eastAsia="Arial" w:hAnsi="Arial"/>
          <w:sz w:val="18"/>
          <w:szCs w:val="18"/>
          <w:color w:val="auto"/>
        </w:rPr>
        <w:t xml:space="preserve"> (ASU 2015-11). The amendments in ASU 2015-11 apply to inventory measured using first-in, first-out (FIFO) or average cost and will require entities to measure inventory at the lower of cost and net realizable value. Net realizable value is the estimated selling price in the normal course of business, minus the cost of completion, disposal and transportation. Replacement cost and net realizable value less a normal profit margin will no longer be considered. ASU 2015-11 is effective for us on January 1, 2017. We are currently assessing the impact of adoption on our consolidated results of operations, financial position, cash flows, and related financial statement disclosures.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are currently assessing the impact of adoption on our consolidated results of operations, financial position, cash flows, and related financial statement disclosures.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2016-07, </w:t>
      </w:r>
      <w:r>
        <w:rPr>
          <w:rFonts w:ascii="Arial" w:cs="Arial" w:eastAsia="Arial" w:hAnsi="Arial"/>
          <w:sz w:val="18"/>
          <w:szCs w:val="18"/>
          <w:i w:val="1"/>
          <w:iCs w:val="1"/>
          <w:color w:val="auto"/>
        </w:rPr>
        <w:t>Investments - Equity Method and Joint Ventures (Topic 323)</w:t>
      </w:r>
      <w:r>
        <w:rPr>
          <w:rFonts w:ascii="Arial" w:cs="Arial" w:eastAsia="Arial" w:hAnsi="Arial"/>
          <w:sz w:val="18"/>
          <w:szCs w:val="18"/>
          <w:color w:val="auto"/>
        </w:rPr>
        <w:t xml:space="preserve"> (ASU 2016-07), which simplified the accounting for equity method investments by eliminating the requirement that an entity retroactively adopt the equity method of accounting if an investment qualifies for use of the equity method as a result of an increase in the level of ownership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ASU 2016-07 is effective for us on January 1, 2017. The adoption of this guidance is not expected to have a material impact on our consolidated results of operations, financial position, cash flows, and related financial statement disclosures.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(ASU 2016-09), which simplifies several areas within Topic 718. These include the income tax consequences, classification of awards as either equity or liabilities, and classification on the statement of cash flows. ASU 2016-09 is effective for us on January 1, 2017, with early adoption permitted. We are currently assessing the basis of adoption and evaluating the impact of the adoption of the update on our consolidated results of operations, financial position, cash flows, and related financial statement disclosures.</w:t>
      </w:r>
    </w:p>
    <w:p>
      <w:pPr>
        <w:spacing w:after="0" w:line="1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5"/>
          </w:tcPr>
          <w:p>
            <w:pPr>
              <w:ind w:left="18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3,692</w:t>
            </w:r>
          </w:p>
        </w:tc>
      </w:tr>
      <w:tr>
        <w:trPr>
          <w:trHeight w:val="270"/>
        </w:trPr>
        <w:tc>
          <w:tcPr>
            <w:tcW w:w="4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38,329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38,591</w:t>
            </w: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(loss) per common share - Basic</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0.10</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0.9 million and 0.8 million stock-based awards were excluded from the calculation of diluted EPS for the three and nine months ended September 30, 2016 because they were anti-dilutive. Approximately 1.1 million and 1.2 million stock-based awards were excluded from the calculation of diluted EPS for the three and nine months ended September 30, 2015 because they were anti-dilutive. These stock-based awards could be dilutive in future periods.</w:t>
      </w: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$4,254 and $5,949)</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319,929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298,550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48,781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32,345</w:t>
            </w:r>
          </w:p>
        </w:tc>
      </w:tr>
      <w:tr>
        <w:trPr>
          <w:trHeight w:val="3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368,710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330,895</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2016 and December 31, 2015, $4.6 million and $0.7 million, respectively, were recorded as contract retainage receivables within trade receivables, in accordance with contract retainage provisions. At September 30, 2016 and December 31, 2015, contract retainage receivables that were unbilled and classified as unbilled receivables were $5.4 million and $3.5 million, respectively. These contract retainage receivables within trade receivables and unbilled receivables are expected to be collected within the following 12 months.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2016 and December 31, 2015, long-term billed contract retainage receivables were $0.4 million. At September 30, 2016 and December 31, 2015, long-term unbilled contract retainage receivables were $3.8 million and $3.6 million, respectively. These long-term billed and unbilled contract retainage receivables are classified within other long-term assets, as collection is not anticipated within the following 12 months. We consider whether collectability of such retainage is reasonably assured in connection with our overall assessment of the collectability of amounts due or that will become due under our contracts.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Provision (release) for doubtful accounts, net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4,254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4,959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4,959</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26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2016</w:t>
            </w:r>
          </w:p>
        </w:tc>
        <w:tc>
          <w:tcPr>
            <w:tcW w:w="260" w:type="dxa"/>
            <w:vAlign w:val="bottom"/>
          </w:tcPr>
          <w:p>
            <w:pPr>
              <w:spacing w:after="0"/>
              <w:rPr>
                <w:sz w:val="20"/>
                <w:szCs w:val="20"/>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2015</w:t>
            </w: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112,507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111,191</w:t>
            </w:r>
          </w:p>
        </w:tc>
      </w:tr>
      <w:tr>
        <w:trPr>
          <w:trHeight w:val="237"/>
        </w:trPr>
        <w:tc>
          <w:tcPr>
            <w:tcW w:w="698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9,919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9,400</w:t>
            </w: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69,874</w:t>
            </w:r>
          </w:p>
        </w:tc>
      </w:tr>
      <w:tr>
        <w:trPr>
          <w:trHeight w:val="244"/>
        </w:trPr>
        <w:tc>
          <w:tcPr>
            <w:tcW w:w="698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189,553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190,465</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Consigned inventory is held at third party locations; however, we retain title to the inventory until it is purchased by the third party. Consigned inventory, consisting of raw materials and finished goods, was $2.1 million and $2.6 million at September 30, 2016 and December 31, 2015, respectively.</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8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290,395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289,015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105,791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104,310</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127,297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127,531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18,069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19,882</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26,956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32,639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2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568,508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573,377</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(387,641)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(383,121)</w:t>
            </w:r>
          </w:p>
        </w:tc>
      </w:tr>
      <w:tr>
        <w:trPr>
          <w:trHeight w:val="244"/>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180,867</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190,256</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320" w:type="dxa"/>
            <w:vAlign w:val="bottom"/>
          </w:tcPr>
          <w:p>
            <w:pPr>
              <w:spacing w:after="0"/>
              <w:rPr>
                <w:sz w:val="20"/>
                <w:szCs w:val="20"/>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20"/>
                <w:szCs w:val="20"/>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7"/>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11,086</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32,561</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34,060</w:t>
            </w:r>
          </w:p>
        </w:tc>
      </w:tr>
      <w:tr>
        <w:trPr>
          <w:trHeight w:val="675"/>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137"/>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30, 2016</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Gross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87"/>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392,752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(370,894)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388,981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30,889</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236,974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(176,528)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60,446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(168,885)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69,494</w:t>
            </w: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704,816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(622,083)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82,733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702,507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(600,575)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101,932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asset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intangible assets, gross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impaired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 of change in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intangible assets, 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702,507</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748,148</w:t>
            </w:r>
          </w:p>
        </w:tc>
      </w:tr>
      <w:tr>
        <w:trPr>
          <w:trHeight w:val="270"/>
        </w:trPr>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4,827</w:t>
            </w:r>
          </w:p>
        </w:tc>
      </w:tr>
      <w:tr>
        <w:trPr>
          <w:trHeight w:val="270"/>
        </w:trPr>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2,309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(41,245)</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704,816</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711,233</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acquired during the nine months ended September 30, 2015 were related to the Temetra Limited acquisition on August 26, 2015. Intangible assets impaired during the nine months ended September 30, 2015 includes purchased software licenses to be sold to others. This amount was expensed as part of cost of revenues in the Consolidated Statement of Operations.</w:t>
      </w:r>
    </w:p>
    <w:p>
      <w:pPr>
        <w:sectPr>
          <w:pgSz w:w="11900" w:h="16838" w:orient="portrait"/>
          <w:cols w:equalWidth="0" w:num="1">
            <w:col w:w="11420"/>
          </w:cols>
          <w:pgMar w:left="240" w:top="125"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annual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6089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 (amount remaining at September 30,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Beyond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intangible assets subject to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Estimated Annual</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33020</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ind w:left="1200" w:hanging="1195"/>
        <w:spacing w:after="0"/>
        <w:tabs>
          <w:tab w:leader="none" w:pos="1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6,304</w:t>
      </w:r>
    </w:p>
    <w:p>
      <w:pPr>
        <w:spacing w:after="0" w:line="97"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18,706</w:t>
      </w:r>
    </w:p>
    <w:p>
      <w:pPr>
        <w:spacing w:after="0" w:line="97"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13,015</w:t>
      </w:r>
    </w:p>
    <w:p>
      <w:pPr>
        <w:spacing w:after="0" w:line="97"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5"/>
          <w:szCs w:val="15"/>
          <w:color w:val="auto"/>
        </w:rPr>
        <w:t>10,220</w:t>
      </w:r>
    </w:p>
    <w:p>
      <w:pPr>
        <w:spacing w:after="0" w:line="97" w:lineRule="exact"/>
        <w:rPr>
          <w:rFonts w:ascii="Arial" w:cs="Arial" w:eastAsia="Arial" w:hAnsi="Arial"/>
          <w:sz w:val="15"/>
          <w:szCs w:val="15"/>
          <w:color w:val="auto"/>
        </w:rPr>
      </w:pPr>
    </w:p>
    <w:p>
      <w:pPr>
        <w:ind w:left="1200"/>
        <w:spacing w:after="0"/>
        <w:rPr>
          <w:rFonts w:ascii="Arial" w:cs="Arial" w:eastAsia="Arial" w:hAnsi="Arial"/>
          <w:sz w:val="15"/>
          <w:szCs w:val="15"/>
          <w:color w:val="auto"/>
        </w:rPr>
      </w:pPr>
      <w:r>
        <w:rPr>
          <w:rFonts w:ascii="Arial" w:cs="Arial" w:eastAsia="Arial" w:hAnsi="Arial"/>
          <w:sz w:val="15"/>
          <w:szCs w:val="15"/>
          <w:color w:val="auto"/>
        </w:rPr>
        <w:t>8,328</w:t>
      </w:r>
    </w:p>
    <w:p>
      <w:pPr>
        <w:spacing w:after="0" w:line="9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26,160</w:t>
      </w:r>
    </w:p>
    <w:p>
      <w:pPr>
        <w:spacing w:after="0" w:line="86" w:lineRule="exact"/>
        <w:rPr>
          <w:sz w:val="20"/>
          <w:szCs w:val="20"/>
          <w:color w:val="auto"/>
        </w:rPr>
      </w:pPr>
    </w:p>
    <w:p>
      <w:pPr>
        <w:ind w:left="1120" w:hanging="1115"/>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82,733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59690</wp:posOffset>
            </wp:positionV>
            <wp:extent cx="1080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680"/>
          </w:cols>
          <w:pgMar w:left="240" w:top="125" w:right="239" w:bottom="1440" w:gutter="0" w:footer="0" w:header="0"/>
          <w:type w:val="continuous"/>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January 1, 2016</w:t>
            </w: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
        </w:trPr>
        <w:tc>
          <w:tcPr>
            <w:tcW w:w="2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414,910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1,096,660</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(362,177)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(266,361)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(628,538)</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468,122</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7,583</w:t>
            </w:r>
          </w:p>
        </w:tc>
      </w:tr>
      <w:tr>
        <w:trPr>
          <w:trHeight w:val="270"/>
        </w:trPr>
        <w:tc>
          <w:tcPr>
            <w:tcW w:w="2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2016</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421,852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337,279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358,081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1,117,212</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(368,790)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(272,717)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(641,507)</w:t>
            </w:r>
          </w:p>
        </w:tc>
      </w:tr>
      <w:tr>
        <w:trPr>
          <w:trHeight w:val="244"/>
        </w:trPr>
        <w:tc>
          <w:tcPr>
            <w:tcW w:w="288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53,062</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337,279</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85,364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475,705</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unamortized prepaid debt fees - term loan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Long-term debt less unamortized prepaid debt fees -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2016</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210,938</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219,375</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132,597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151,837</w:t>
            </w:r>
          </w:p>
        </w:tc>
      </w:tr>
      <w:tr>
        <w:trPr>
          <w:trHeight w:val="47"/>
        </w:trPr>
        <w:tc>
          <w:tcPr>
            <w:tcW w:w="3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300" w:type="dxa"/>
            <w:vAlign w:val="bottom"/>
          </w:tcPr>
          <w:p>
            <w:pPr>
              <w:spacing w:after="0"/>
              <w:rPr>
                <w:sz w:val="18"/>
                <w:szCs w:val="18"/>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343,535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371,212</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12,656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11,250</w:t>
            </w:r>
          </w:p>
        </w:tc>
      </w:tr>
      <w:tr>
        <w:trPr>
          <w:trHeight w:val="270"/>
        </w:trPr>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1,047</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330,042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358,915</w:t>
            </w:r>
          </w:p>
        </w:tc>
      </w:tr>
      <w:tr>
        <w:trPr>
          <w:trHeight w:val="33"/>
        </w:trPr>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-1054100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$250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0.175%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2015 credit facility includes debt covenants, which contain certain financial ratio thresholds, place certain restrictions on the incurrence of debt, investments, and the issuance of dividends, and require quarterly unaudited and annual audited financial reporting. We were not in compliance with the financial reporting portion of these covenants under the 2015 credit facility at June 30, 2016. On April 1, 2016 and June 13, 2016, we entered into the first and second amendments to the 2015 credit facility. As a result of these amendments, we were granted waivers that extended the due dates for annual audited financial statements for the year ended December 31, 2015 and quarterly unaudited financial statements for the periods ended March 31, 2016 and June 30, 2016 through September 12, 2016, and our $300 million standby letter of credit sub-facility was reduced to $250 million. We regained compliance with all financial reporting covenants upon filing our Quarterly Report on Form 10-Q for the fiscal quarter ended June 30, 2016 on September 2, 2016.</w:t>
      </w:r>
    </w:p>
    <w:p>
      <w:pPr>
        <w:sectPr>
          <w:pgSz w:w="11900" w:h="16838" w:orient="portrait"/>
          <w:cols w:equalWidth="0" w:num="1">
            <w:col w:w="11420"/>
          </w:cols>
          <w:pgMar w:left="240" w:top="125" w:right="2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 of $2.8 million through June 2017, $4.2 million from September 2017 through June 2018, $5.6 million from September 2018 through March 2020, and the remainder due at maturity on June 23, 2020. The term loan may be repaid early in whole or in part, subject to certain minimum thresholds, without penalty.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September 30, 2016, the interest rate for both the term loan and the USD revolver was 1.78% (the LIBOR rate plus a margin of 1.25%), and the interest rate for the EUR revolver was 1.25% (the EURIBOR floor rate plus a margin of 1.25%).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repayments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 denominated term loan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20,593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19,873</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29,031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2016, $132.6 million was outstanding under the credit facility revolver, and $321.3 million was available for additional borrowings or standby letters of credit. At September 30, 2016, $46.1 million was utilized by outstanding standby letters of credit, resulting in $203.9 million available for additional standby letters of credit. No amounts were outstanding under the swingline sub-facility.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Upon entering into the 2015 credit facility, a portion of our unamortized prepaid debt fees, totaling $0.8 million, were written-off to interest expense. Prepaid debt fees of approximately $3.9 million were capitalized associated with the 2015 credit facility. Unamortized prepaid debt fees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September 30, 2016</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Unamortized prepaid debt fees - revolver</w:t>
            </w:r>
          </w:p>
        </w:tc>
        <w:tc>
          <w:tcPr>
            <w:tcW w:w="1840" w:type="dxa"/>
            <w:vAlign w:val="bottom"/>
            <w:tcBorders>
              <w:bottom w:val="single" w:sz="8" w:color="CCEEFF"/>
            </w:tcBorders>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2,596</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Unamortized prepaid debt fees - term loan</w:t>
            </w:r>
          </w:p>
        </w:tc>
        <w:tc>
          <w:tcPr>
            <w:tcW w:w="184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837</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1,047</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70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3740" w:type="dxa"/>
            <w:vAlign w:val="bottom"/>
            <w:gridSpan w:val="2"/>
          </w:tcPr>
          <w:p>
            <w:pPr>
              <w:ind w:left="1000"/>
              <w:spacing w:after="0"/>
              <w:rPr>
                <w:sz w:val="20"/>
                <w:szCs w:val="20"/>
                <w:color w:val="auto"/>
              </w:rPr>
            </w:pPr>
            <w:r>
              <w:rPr>
                <w:rFonts w:ascii="Arial" w:cs="Arial" w:eastAsia="Arial" w:hAnsi="Arial"/>
                <w:sz w:val="16"/>
                <w:szCs w:val="16"/>
                <w:b w:val="1"/>
                <w:bCs w:val="1"/>
                <w:color w:val="auto"/>
              </w:rPr>
              <w:t>Balance Sheet Location</w:t>
            </w:r>
          </w:p>
        </w:tc>
        <w:tc>
          <w:tcPr>
            <w:tcW w:w="22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2016</w:t>
            </w:r>
          </w:p>
        </w:tc>
        <w:tc>
          <w:tcPr>
            <w:tcW w:w="340" w:type="dxa"/>
            <w:vAlign w:val="bottom"/>
          </w:tcPr>
          <w:p>
            <w:pPr>
              <w:spacing w:after="0"/>
              <w:rPr>
                <w:sz w:val="20"/>
                <w:szCs w:val="20"/>
                <w:color w:val="auto"/>
              </w:rPr>
            </w:pP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w w:val="91"/>
              </w:rPr>
              <w:t>December 31, 2015</w:t>
            </w: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4"/>
          </w:tcPr>
          <w:p>
            <w:pPr>
              <w:spacing w:after="0"/>
              <w:rPr>
                <w:sz w:val="2"/>
                <w:szCs w:val="2"/>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220" w:type="dxa"/>
            <w:vAlign w:val="bottom"/>
          </w:tcPr>
          <w:p>
            <w:pPr>
              <w:spacing w:after="0"/>
              <w:rPr>
                <w:sz w:val="18"/>
                <w:szCs w:val="18"/>
                <w:color w:val="auto"/>
              </w:rPr>
            </w:pPr>
          </w:p>
        </w:tc>
        <w:tc>
          <w:tcPr>
            <w:tcW w:w="3960" w:type="dxa"/>
            <w:vAlign w:val="bottom"/>
            <w:gridSpan w:val="4"/>
          </w:tcPr>
          <w:p>
            <w:pPr>
              <w:jc w:val="right"/>
              <w:ind w:right="14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1,423</w:t>
            </w:r>
          </w:p>
        </w:tc>
      </w:tr>
      <w:tr>
        <w:trPr>
          <w:trHeight w:val="47"/>
        </w:trPr>
        <w:tc>
          <w:tcPr>
            <w:tcW w:w="71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47"/>
        </w:trPr>
        <w:tc>
          <w:tcPr>
            <w:tcW w:w="3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cap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500" w:type="dxa"/>
            <w:vAlign w:val="bottom"/>
          </w:tcPr>
          <w:p>
            <w:pPr>
              <w:ind w:left="420"/>
              <w:spacing w:after="0"/>
              <w:rPr>
                <w:sz w:val="20"/>
                <w:szCs w:val="20"/>
                <w:color w:val="auto"/>
              </w:rPr>
            </w:pPr>
            <w:r>
              <w:rPr>
                <w:rFonts w:ascii="Arial" w:cs="Arial" w:eastAsia="Arial" w:hAnsi="Arial"/>
                <w:sz w:val="16"/>
                <w:szCs w:val="16"/>
                <w:b w:val="1"/>
                <w:bCs w:val="1"/>
                <w:color w:val="auto"/>
              </w:rPr>
              <w:t>Total asset derivatives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3,082</w:t>
            </w:r>
          </w:p>
        </w:tc>
      </w:tr>
      <w:tr>
        <w:trPr>
          <w:trHeight w:val="73"/>
        </w:trPr>
        <w:tc>
          <w:tcPr>
            <w:tcW w:w="3500" w:type="dxa"/>
            <w:vAlign w:val="bottom"/>
            <w:tcBorders>
              <w:bottom w:val="single" w:sz="8" w:color="CCEEFF"/>
            </w:tcBorders>
          </w:tcPr>
          <w:p>
            <w:pPr>
              <w:spacing w:after="0"/>
              <w:rPr>
                <w:sz w:val="6"/>
                <w:szCs w:val="6"/>
                <w:color w:val="auto"/>
              </w:rPr>
            </w:pPr>
          </w:p>
        </w:tc>
        <w:tc>
          <w:tcPr>
            <w:tcW w:w="36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r>
      <w:tr>
        <w:trPr>
          <w:trHeight w:val="251"/>
        </w:trPr>
        <w:tc>
          <w:tcPr>
            <w:tcW w:w="350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24"/>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71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r>
      <w:tr>
        <w:trPr>
          <w:trHeight w:val="23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2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868</w:t>
            </w:r>
          </w:p>
        </w:tc>
      </w:tr>
      <w:tr>
        <w:trPr>
          <w:trHeight w:val="47"/>
        </w:trPr>
        <w:tc>
          <w:tcPr>
            <w:tcW w:w="3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long-term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3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17"/>
        </w:trPr>
        <w:tc>
          <w:tcPr>
            <w:tcW w:w="3500" w:type="dxa"/>
            <w:vAlign w:val="bottom"/>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3,602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967</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3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(14,062)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(15,148)</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Unrealized loss on hedging instruments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losses reclassified into net income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September 30,</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(17,252)</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(15,068)</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September 30, 2016 and 2015. Included in the net unrealized loss on hedging instruments at September 30, 2016 and 2015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Assets</w:t>
            </w:r>
          </w:p>
        </w:tc>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Recognized Assets Presented</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8"/>
              </w:rPr>
              <w:t>Cash Collateral Received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3,082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567"/>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Liabilities</w:t>
            </w:r>
          </w:p>
        </w:tc>
        <w:tc>
          <w:tcPr>
            <w:tcW w:w="180" w:type="dxa"/>
            <w:vAlign w:val="bottom"/>
          </w:tcPr>
          <w:p>
            <w:pPr>
              <w:spacing w:after="0"/>
              <w:rPr>
                <w:sz w:val="24"/>
                <w:szCs w:val="2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24"/>
                <w:szCs w:val="24"/>
                <w:color w:val="auto"/>
              </w:rPr>
            </w:pPr>
          </w:p>
        </w:tc>
        <w:tc>
          <w:tcPr>
            <w:tcW w:w="40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jc w:val="center"/>
              <w:ind w:right="239"/>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b w:val="1"/>
                <w:bCs w:val="1"/>
                <w:color w:val="auto"/>
              </w:rPr>
              <w:t>Cash Collateral Pledged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3,602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3,483</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subject to netting arrangements consist of foreign exchange forward and interest rate contracts with three and nine counterparties at September 30, 2016 and December 31, 2015, respectively. No derivative asset or liability balance with any of our counterparties was individually significant at September 30, 2016 or December 31, 2015.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a portion of our debt in order to increase our ability to forecast interest expense. The objective of these swaps is to reduce the variability of cash flows from increases in the LIBOR 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2012, we entered into six interest rate swaps, which were effective July 31, 2013 and expired on August 8, 2016, to convert $200 million of our LIBOR based debt from a floating LIBOR interest rate to a fixed interest rate of 1.00% (excluding the applicable margin on the debt). The cash flow hedges were expected to be highly effective in achieving offsetting cash flows attributable to the hedged risk through the term of the hedge. Consequently, effective changes in the fair value of the interest rate swaps were recorded as a component of other comprehensive income (loss) (OCI) and recognized in earnings when the hedged item affected earnings. The amounts paid on the hedges were recognized as adjustments to interest expense.</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recorded as a component of OCI and will be recognized in earnings when the hedged item affects earnings. The amounts paid or received on the hedge will be recognized as an adjustment to interest expense. The amount of net losses expected to be reclassified into earnings in the next 12 months is $1.5 million.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do not include the effect of the applicable margin. The amount of net losses expected to be reclassified into earnings in the next 12 months is insignificant.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2016, our LIBOR based debt balance was $290.9 million. The amount of cash flow hedge ineffectiveness for derivative contracts not designated as hedging instruments was insignificant for the three and nine months ended September 30, 2016 and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cash flow derivative instruments on the Consolidated Balance Sheets and the Consolidated Statements of Operations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7"/>
              </w:rPr>
              <w:t>Amount of Gain (Loss)</w:t>
            </w:r>
          </w:p>
        </w:tc>
        <w:tc>
          <w:tcPr>
            <w:tcW w:w="120" w:type="dxa"/>
            <w:vAlign w:val="bottom"/>
          </w:tcPr>
          <w:p>
            <w:pPr>
              <w:spacing w:after="0"/>
              <w:rPr>
                <w:sz w:val="13"/>
                <w:szCs w:val="13"/>
                <w:color w:val="auto"/>
              </w:rPr>
            </w:pPr>
          </w:p>
        </w:tc>
        <w:tc>
          <w:tcPr>
            <w:tcW w:w="3400" w:type="dxa"/>
            <w:vAlign w:val="bottom"/>
            <w:gridSpan w:val="6"/>
          </w:tcPr>
          <w:p>
            <w:pPr>
              <w:ind w:left="540"/>
              <w:spacing w:after="0"/>
              <w:rPr>
                <w:sz w:val="20"/>
                <w:szCs w:val="20"/>
                <w:color w:val="auto"/>
              </w:rPr>
            </w:pPr>
            <w:r>
              <w:rPr>
                <w:rFonts w:ascii="Arial" w:cs="Arial" w:eastAsia="Arial" w:hAnsi="Arial"/>
                <w:sz w:val="13"/>
                <w:szCs w:val="13"/>
                <w:b w:val="1"/>
                <w:bCs w:val="1"/>
                <w:color w:val="auto"/>
              </w:rPr>
              <w:t>Gain (Loss) Reclassified from Accumulated</w:t>
            </w:r>
          </w:p>
        </w:tc>
        <w:tc>
          <w:tcPr>
            <w:tcW w:w="120" w:type="dxa"/>
            <w:vAlign w:val="bottom"/>
          </w:tcPr>
          <w:p>
            <w:pPr>
              <w:spacing w:after="0"/>
              <w:rPr>
                <w:sz w:val="13"/>
                <w:szCs w:val="13"/>
                <w:color w:val="auto"/>
              </w:rPr>
            </w:pPr>
          </w:p>
        </w:tc>
        <w:tc>
          <w:tcPr>
            <w:tcW w:w="3080" w:type="dxa"/>
            <w:vAlign w:val="bottom"/>
            <w:gridSpan w:val="5"/>
          </w:tcPr>
          <w:p>
            <w:pPr>
              <w:jc w:val="center"/>
              <w:ind w:left="217"/>
              <w:spacing w:after="0"/>
              <w:rPr>
                <w:sz w:val="20"/>
                <w:szCs w:val="20"/>
                <w:color w:val="auto"/>
              </w:rPr>
            </w:pPr>
            <w:r>
              <w:rPr>
                <w:rFonts w:ascii="Arial" w:cs="Arial" w:eastAsia="Arial" w:hAnsi="Arial"/>
                <w:sz w:val="13"/>
                <w:szCs w:val="13"/>
                <w:b w:val="1"/>
                <w:bCs w:val="1"/>
                <w:color w:val="auto"/>
                <w:w w:val="86"/>
              </w:rPr>
              <w:t>Gain (Loss) Recognized in Income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8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7"/>
              </w:rPr>
              <w:t>Recognized in OCI on</w:t>
            </w:r>
          </w:p>
        </w:tc>
        <w:tc>
          <w:tcPr>
            <w:tcW w:w="120" w:type="dxa"/>
            <w:vAlign w:val="bottom"/>
          </w:tcPr>
          <w:p>
            <w:pPr>
              <w:spacing w:after="0"/>
              <w:rPr>
                <w:sz w:val="12"/>
                <w:szCs w:val="12"/>
                <w:color w:val="auto"/>
              </w:rPr>
            </w:pPr>
          </w:p>
        </w:tc>
        <w:tc>
          <w:tcPr>
            <w:tcW w:w="2760" w:type="dxa"/>
            <w:vAlign w:val="bottom"/>
            <w:gridSpan w:val="5"/>
          </w:tcPr>
          <w:p>
            <w:pPr>
              <w:ind w:left="740"/>
              <w:spacing w:after="0" w:line="144" w:lineRule="exact"/>
              <w:rPr>
                <w:sz w:val="20"/>
                <w:szCs w:val="20"/>
                <w:color w:val="auto"/>
              </w:rPr>
            </w:pPr>
            <w:r>
              <w:rPr>
                <w:rFonts w:ascii="Arial" w:cs="Arial" w:eastAsia="Arial" w:hAnsi="Arial"/>
                <w:sz w:val="13"/>
                <w:szCs w:val="13"/>
                <w:b w:val="1"/>
                <w:bCs w:val="1"/>
                <w:color w:val="auto"/>
                <w:w w:val="92"/>
              </w:rPr>
              <w:t>OCI into Income (Effective Portion)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5"/>
          </w:tcPr>
          <w:p>
            <w:pPr>
              <w:jc w:val="center"/>
              <w:ind w:left="21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22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220" w:type="dxa"/>
            <w:vAlign w:val="bottom"/>
          </w:tcPr>
          <w:p>
            <w:pPr>
              <w:spacing w:after="0"/>
              <w:rPr>
                <w:sz w:val="15"/>
                <w:szCs w:val="15"/>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92"/>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5"/>
                <w:szCs w:val="15"/>
                <w:color w:val="auto"/>
              </w:rPr>
            </w:pPr>
          </w:p>
        </w:tc>
        <w:tc>
          <w:tcPr>
            <w:tcW w:w="106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580" w:type="dxa"/>
            <w:vAlign w:val="bottom"/>
          </w:tcPr>
          <w:p>
            <w:pPr>
              <w:spacing w:after="0"/>
              <w:rPr>
                <w:sz w:val="15"/>
                <w:szCs w:val="15"/>
                <w:color w:val="auto"/>
              </w:rPr>
            </w:pPr>
          </w:p>
        </w:tc>
        <w:tc>
          <w:tcPr>
            <w:tcW w:w="104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2016</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2015</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2016</w:t>
            </w: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87"/>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right"/>
              <w:ind w:right="497"/>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84"/>
              </w:rPr>
              <w:t>(in thousands)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641</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(273)</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42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tcPr>
          <w:p>
            <w:pPr>
              <w:spacing w:after="0"/>
              <w:rPr>
                <w:sz w:val="15"/>
                <w:szCs w:val="15"/>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32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60" w:type="dxa"/>
            <w:vAlign w:val="bottom"/>
            <w:gridSpan w:val="2"/>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tcPr>
          <w:p>
            <w:pPr>
              <w:spacing w:after="0"/>
              <w:rPr>
                <w:sz w:val="15"/>
                <w:szCs w:val="15"/>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68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(4,910)</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(1,104)</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(839)</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(1,121)</w:t>
            </w:r>
          </w:p>
        </w:tc>
        <w:tc>
          <w:tcPr>
            <w:tcW w:w="42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tcPr>
          <w:p>
            <w:pPr>
              <w:spacing w:after="0"/>
              <w:rPr>
                <w:sz w:val="15"/>
                <w:szCs w:val="15"/>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32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60" w:type="dxa"/>
            <w:vAlign w:val="bottom"/>
            <w:gridSpan w:val="2"/>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tcPr>
          <w:p>
            <w:pPr>
              <w:spacing w:after="0"/>
              <w:rPr>
                <w:sz w:val="15"/>
                <w:szCs w:val="15"/>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68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recorded to other income and expense. We enter into monthly foreign exchange forward contracts (a total of 402 contracts were entered into during the nine months ended September 30, 2016), which are not designated for hedge accounting, with the intent to reduce earnings volatility associated with currency exposures. The notional amounts of the contracts ranged from less than $10,000 to $37.9 million, offsetting our exposures from the euro, British pound, Canadian dollar, Australian dollar, Mexican peso, and various other currencies.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foreign exchange forward derivative instruments on the Consolidated Statements of Operations was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Derivatives Not Designated as Hedging Instrument under</w:t>
            </w: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ASC 815-20</w:t>
            </w:r>
          </w:p>
        </w:tc>
        <w:tc>
          <w:tcPr>
            <w:tcW w:w="1180" w:type="dxa"/>
            <w:vAlign w:val="bottom"/>
          </w:tcPr>
          <w:p>
            <w:pPr>
              <w:spacing w:after="0"/>
              <w:rPr>
                <w:sz w:val="18"/>
                <w:szCs w:val="18"/>
                <w:color w:val="auto"/>
              </w:rPr>
            </w:pPr>
          </w:p>
        </w:tc>
        <w:tc>
          <w:tcPr>
            <w:tcW w:w="4860" w:type="dxa"/>
            <w:vAlign w:val="bottom"/>
            <w:gridSpan w:val="7"/>
          </w:tcPr>
          <w:p>
            <w:pPr>
              <w:ind w:left="140"/>
              <w:spacing w:after="0"/>
              <w:rPr>
                <w:sz w:val="20"/>
                <w:szCs w:val="20"/>
                <w:color w:val="auto"/>
              </w:rPr>
            </w:pPr>
            <w:r>
              <w:rPr>
                <w:rFonts w:ascii="Arial" w:cs="Arial" w:eastAsia="Arial" w:hAnsi="Arial"/>
                <w:sz w:val="16"/>
                <w:szCs w:val="16"/>
                <w:b w:val="1"/>
                <w:bCs w:val="1"/>
                <w:color w:val="auto"/>
                <w:w w:val="93"/>
              </w:rPr>
              <w:t>Gain (Loss) Recognized on Derivatives in Other Income (Expense)</w:t>
            </w:r>
          </w:p>
        </w:tc>
        <w:tc>
          <w:tcPr>
            <w:tcW w:w="1140" w:type="dxa"/>
            <w:vAlign w:val="bottom"/>
          </w:tcPr>
          <w:p>
            <w:pPr>
              <w:spacing w:after="0"/>
              <w:rPr>
                <w:sz w:val="18"/>
                <w:szCs w:val="18"/>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20"/>
                <w:szCs w:val="20"/>
                <w:color w:val="auto"/>
              </w:rPr>
            </w:pPr>
          </w:p>
        </w:tc>
        <w:tc>
          <w:tcPr>
            <w:tcW w:w="30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(559)</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w:t>
            </w:r>
          </w:p>
        </w:tc>
      </w:tr>
      <w:tr>
        <w:trPr>
          <w:trHeight w:val="33"/>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2016</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 assets in other long-term assets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r>
      <w:tr>
        <w:trPr>
          <w:trHeight w:val="270"/>
        </w:trPr>
        <w:tc>
          <w:tcPr>
            <w:tcW w:w="6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2,581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3,493</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pension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85,971</w:t>
            </w:r>
          </w:p>
        </w:tc>
      </w:tr>
      <w:tr>
        <w:trPr>
          <w:trHeight w:val="270"/>
        </w:trPr>
        <w:tc>
          <w:tcPr>
            <w:tcW w:w="6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benefit obligation,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1,820</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374</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6,482</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 stock-based compensation expense for awards of stock options, restricted stock units, unrestricted stock, and phantom stock units. We expense stock-based compensation primarily using the straight-line method over the requisite service period. Stock-based compensation expense and the related tax benefit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4,595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1,969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8,374</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5,793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10,879</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3,189</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stock splits, dividends, and other similar events, 7,473,956 shares of common stock are reserved and authorized for issuance under our Amended and Restated 2010 Stock Incentive Plan (Stock Incentive Plan). Awards consist of stock options, restricted stock units, and unrestricted stock awards. At September 30, 2016, 2,111,769 shares were available for grant under the Stock Incentive Plan. The Stock Incentive Plan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08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5120" w:type="dxa"/>
            <w:vAlign w:val="bottom"/>
            <w:gridSpan w:val="2"/>
          </w:tcPr>
          <w:p>
            <w:pPr>
              <w:ind w:left="4680"/>
              <w:spacing w:after="0"/>
              <w:rPr>
                <w:sz w:val="20"/>
                <w:szCs w:val="20"/>
                <w:color w:val="auto"/>
              </w:rPr>
            </w:pPr>
            <w:r>
              <w:rPr>
                <w:rFonts w:ascii="Arial" w:cs="Arial" w:eastAsia="Arial" w:hAnsi="Arial"/>
                <w:sz w:val="16"/>
                <w:szCs w:val="16"/>
                <w:b w:val="1"/>
                <w:bCs w:val="1"/>
                <w:color w:val="auto"/>
              </w:rPr>
              <w:t>2016</w:t>
            </w:r>
          </w:p>
        </w:tc>
        <w:tc>
          <w:tcPr>
            <w:tcW w:w="19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2015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 yield</w:t>
            </w:r>
            <w:r>
              <w:rPr>
                <w:rFonts w:ascii="Arial" w:cs="Arial" w:eastAsia="Arial" w:hAnsi="Arial"/>
                <w:sz w:val="21"/>
                <w:szCs w:val="21"/>
                <w:color w:val="auto"/>
                <w:vertAlign w:val="superscript"/>
              </w:rPr>
              <w:t>(1)</w:t>
            </w:r>
          </w:p>
        </w:tc>
        <w:tc>
          <w:tcPr>
            <w:tcW w:w="1960" w:type="dxa"/>
            <w:vAlign w:val="bottom"/>
            <w:gridSpan w:val="3"/>
            <w:shd w:val="clear" w:color="auto" w:fill="CCEEFF"/>
          </w:tcPr>
          <w:p>
            <w:pPr>
              <w:jc w:val="right"/>
              <w:ind w:right="14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7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98"/>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Expected term (years)</w:t>
            </w:r>
            <w:r>
              <w:rPr>
                <w:rFonts w:ascii="Arial" w:cs="Arial" w:eastAsia="Arial" w:hAnsi="Arial"/>
                <w:sz w:val="21"/>
                <w:szCs w:val="21"/>
                <w:color w:val="auto"/>
                <w:vertAlign w:val="superscript"/>
              </w:rPr>
              <w:t>(1)</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10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There were no employee stock options granted for the three months ended September 30, 2015.</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Intrinsic Value</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35.30</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12.15</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37.47</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53.95</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September 30, 2015</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49.12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48.31</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w:t>
            </w: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35.31</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55.11</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September 30,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September 30,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51.57</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September 30,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37.58</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0"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our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2016, total unrecognized stock-based compensation expense related to nonvested stock options was approximately $3.8 million, which is expected to be recognized over a weighted average period of approximately 2.0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2013, the performance-based restricted stock units to be issued under the Long-Term Performance Restricted Stock Unit Award Agreement (Performance Award Agreement) were determined based on (1) our achievement of specified non-GAAP EPS targets, as established by the Board at the beginning of each year for each of the three 1-year calendar years contained in the performance period (the performance condition) and (2) our total shareholder return (TSR) relative to the TSR attained by companies that are included in the Russell 3000 Index during the 3-year performance period (the market condition). Compensation expense, net of forfeitures, is recognized on a straight-line basis, and the restricted stock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 value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1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r>
      <w:tr>
        <w:trPr>
          <w:trHeight w:val="33"/>
        </w:trPr>
        <w:tc>
          <w:tcPr>
            <w:tcW w:w="4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r>
              <w:rPr>
                <w:rFonts w:ascii="Arial" w:cs="Arial" w:eastAsia="Arial" w:hAnsi="Arial"/>
                <w:sz w:val="21"/>
                <w:szCs w:val="21"/>
                <w:color w:val="auto"/>
                <w:vertAlign w:val="superscript"/>
              </w:rPr>
              <w:t>(1)</w:t>
            </w:r>
          </w:p>
        </w:tc>
        <w:tc>
          <w:tcPr>
            <w:tcW w:w="1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Expected volatility</w:t>
            </w:r>
            <w:r>
              <w:rPr>
                <w:rFonts w:ascii="Arial" w:cs="Arial" w:eastAsia="Arial" w:hAnsi="Arial"/>
                <w:sz w:val="21"/>
                <w:szCs w:val="21"/>
                <w:color w:val="auto"/>
                <w:vertAlign w:val="superscript"/>
              </w:rPr>
              <w:t>(1)</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8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(1)</w:t>
            </w: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Expected term (years)</w:t>
            </w:r>
            <w:r>
              <w:rPr>
                <w:rFonts w:ascii="Arial" w:cs="Arial" w:eastAsia="Arial" w:hAnsi="Arial"/>
                <w:sz w:val="21"/>
                <w:szCs w:val="21"/>
                <w:color w:val="auto"/>
                <w:vertAlign w:val="superscript"/>
              </w:rPr>
              <w:t>(1)</w:t>
            </w:r>
          </w:p>
        </w:tc>
        <w:tc>
          <w:tcPr>
            <w:tcW w:w="112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8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270"/>
        </w:trPr>
        <w:tc>
          <w:tcPr>
            <w:tcW w:w="4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98"/>
        </w:trPr>
        <w:tc>
          <w:tcPr>
            <w:tcW w:w="4160" w:type="dxa"/>
            <w:vAlign w:val="bottom"/>
          </w:tcPr>
          <w:p>
            <w:pPr>
              <w:ind w:left="40"/>
              <w:spacing w:after="0"/>
              <w:rPr>
                <w:sz w:val="20"/>
                <w:szCs w:val="20"/>
                <w:color w:val="auto"/>
              </w:rPr>
            </w:pPr>
            <w:r>
              <w:rPr>
                <w:rFonts w:ascii="Arial" w:cs="Arial" w:eastAsia="Arial" w:hAnsi="Arial"/>
                <w:sz w:val="16"/>
                <w:szCs w:val="16"/>
                <w:color w:val="auto"/>
              </w:rPr>
              <w:t>Weighted average fair value</w:t>
            </w:r>
            <w:r>
              <w:rPr>
                <w:rFonts w:ascii="Arial" w:cs="Arial" w:eastAsia="Arial" w:hAnsi="Arial"/>
                <w:sz w:val="21"/>
                <w:szCs w:val="21"/>
                <w:color w:val="auto"/>
                <w:vertAlign w:val="superscript"/>
              </w:rPr>
              <w:t>(1)</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63.10</w:t>
            </w:r>
          </w:p>
        </w:tc>
        <w:tc>
          <w:tcPr>
            <w:tcW w:w="100" w:type="dxa"/>
            <w:vAlign w:val="bottom"/>
          </w:tcPr>
          <w:p>
            <w:pPr>
              <w:spacing w:after="0"/>
              <w:rPr>
                <w:sz w:val="24"/>
                <w:szCs w:val="24"/>
                <w:color w:val="auto"/>
              </w:rPr>
            </w:pPr>
          </w:p>
        </w:tc>
        <w:tc>
          <w:tcPr>
            <w:tcW w:w="1320" w:type="dxa"/>
            <w:vAlign w:val="bottom"/>
          </w:tcPr>
          <w:p>
            <w:pPr>
              <w:jc w:val="right"/>
              <w:ind w:right="1119"/>
              <w:spacing w:after="0"/>
              <w:rPr>
                <w:sz w:val="20"/>
                <w:szCs w:val="20"/>
                <w:color w:val="auto"/>
              </w:rPr>
            </w:pPr>
            <w:r>
              <w:rPr>
                <w:rFonts w:ascii="Arial" w:cs="Arial" w:eastAsia="Arial" w:hAnsi="Arial"/>
                <w:sz w:val="16"/>
                <w:szCs w:val="16"/>
                <w:color w:val="auto"/>
              </w:rPr>
              <w:t>$</w:t>
            </w:r>
          </w:p>
        </w:tc>
        <w:tc>
          <w:tcPr>
            <w:tcW w:w="880" w:type="dxa"/>
            <w:vAlign w:val="bottom"/>
            <w:gridSpan w:val="3"/>
          </w:tcPr>
          <w:p>
            <w:pPr>
              <w:ind w:left="8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44.92</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33.48</w:t>
            </w:r>
          </w:p>
        </w:tc>
      </w:tr>
    </w:tbl>
    <w:p>
      <w:pPr>
        <w:spacing w:after="0" w:line="10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There were no long-term performance restricted stock units granted for the three months ended September 30, 2015.</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31"/>
        </w:trPr>
        <w:tc>
          <w:tcPr>
            <w:tcW w:w="4360" w:type="dxa"/>
            <w:vAlign w:val="bottom"/>
          </w:tcPr>
          <w:p>
            <w:pPr>
              <w:spacing w:after="0"/>
              <w:rPr>
                <w:sz w:val="20"/>
                <w:szCs w:val="20"/>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11,852</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41.58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10,823</w:t>
            </w:r>
          </w:p>
        </w:tc>
      </w:tr>
      <w:tr>
        <w:trPr>
          <w:trHeight w:val="224"/>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September 30,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September 30, 2016</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27,894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4"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granted in 2015 and 2016 do not include awards under the Performance Award Agreement for the respective years, as these awards are not granted until attainment of annual performance goals has been determined at the conclusion of the performance period, which had not occurred as of September 30, 2015 and 2016, respectively.</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2016, total unrecognized compensation expense on restricted stock units was $25.3 million, which is expected to be recognized over a weighted average period of approximately 2.0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Since phantom stock units are settled in cash, compensation expense recognized over the vesting period will vary based on changes in fair value. Fair value is remeasured at the end of each reporting period based on the market close price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phantom stock unit activity: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740" w:type="dxa"/>
            <w:vAlign w:val="bottom"/>
          </w:tcPr>
          <w:p>
            <w:pPr>
              <w:spacing w:after="0"/>
              <w:rPr>
                <w:sz w:val="17"/>
                <w:szCs w:val="17"/>
                <w:color w:val="auto"/>
              </w:rPr>
            </w:pPr>
          </w:p>
        </w:tc>
        <w:tc>
          <w:tcPr>
            <w:tcW w:w="2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6740" w:type="dxa"/>
            <w:vAlign w:val="bottom"/>
          </w:tcPr>
          <w:p>
            <w:pPr>
              <w:spacing w:after="0"/>
              <w:rPr>
                <w:sz w:val="18"/>
                <w:szCs w:val="18"/>
                <w:color w:val="auto"/>
              </w:rPr>
            </w:pPr>
          </w:p>
        </w:tc>
        <w:tc>
          <w:tcPr>
            <w:tcW w:w="1840" w:type="dxa"/>
            <w:vAlign w:val="bottom"/>
          </w:tcPr>
          <w:p>
            <w:pPr>
              <w:jc w:val="center"/>
              <w:ind w:left="399"/>
              <w:spacing w:after="0"/>
              <w:rPr>
                <w:sz w:val="20"/>
                <w:szCs w:val="20"/>
                <w:color w:val="auto"/>
              </w:rPr>
            </w:pPr>
            <w:r>
              <w:rPr>
                <w:rFonts w:ascii="Arial" w:cs="Arial" w:eastAsia="Arial" w:hAnsi="Arial"/>
                <w:sz w:val="16"/>
                <w:szCs w:val="16"/>
                <w:b w:val="1"/>
                <w:bCs w:val="1"/>
                <w:color w:val="auto"/>
                <w:w w:val="89"/>
              </w:rPr>
              <w:t>Units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6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(in thousands)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24"/>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40.11</w:t>
            </w:r>
          </w:p>
        </w:tc>
      </w:tr>
      <w:tr>
        <w:trPr>
          <w:trHeight w:val="47"/>
        </w:trPr>
        <w:tc>
          <w:tcPr>
            <w:tcW w:w="67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Outstanding, September 30, 2016</w:t>
            </w:r>
          </w:p>
        </w:tc>
        <w:tc>
          <w:tcPr>
            <w:tcW w:w="1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920" w:type="dxa"/>
            <w:vAlign w:val="bottom"/>
            <w:tcBorders>
              <w:bottom w:val="single" w:sz="8" w:color="CCEEFF"/>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Expected to vest, September 30, 2016</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2016, total unrecognized compensation expense on phantom stock units was $2.8 million, which is expected to be recognized over a weighted average period of approximately 2.4 years. We have recorded a phantom stock liability of $0.7 million within wages and benefits payable in the Consolidated Balance Sheets as of September 30, 2016.</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6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(in thousands, except per share data)</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4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53.96</w:t>
            </w:r>
          </w:p>
        </w:tc>
        <w:tc>
          <w:tcPr>
            <w:tcW w:w="13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33.91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42.24</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36.51</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54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8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959"/>
              <w:spacing w:after="0"/>
              <w:rPr>
                <w:sz w:val="20"/>
                <w:szCs w:val="20"/>
                <w:color w:val="auto"/>
              </w:rPr>
            </w:pPr>
            <w:r>
              <w:rPr>
                <w:rFonts w:ascii="Arial" w:cs="Arial" w:eastAsia="Arial" w:hAnsi="Arial"/>
                <w:sz w:val="16"/>
                <w:szCs w:val="16"/>
                <w:b w:val="1"/>
                <w:bCs w:val="1"/>
                <w:color w:val="auto"/>
              </w:rPr>
              <w:t>2016</w:t>
            </w: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(in thousands)</w:t>
            </w: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480" w:type="dxa"/>
            <w:vAlign w:val="bottom"/>
            <w:gridSpan w:val="2"/>
            <w:shd w:val="clear" w:color="auto" w:fill="CCEEFF"/>
          </w:tcPr>
          <w:p>
            <w:pPr>
              <w:jc w:val="right"/>
              <w:ind w:right="3039"/>
              <w:spacing w:after="0"/>
              <w:rPr>
                <w:sz w:val="20"/>
                <w:szCs w:val="20"/>
                <w:color w:val="auto"/>
              </w:rPr>
            </w:pPr>
            <w:r>
              <w:rPr>
                <w:rFonts w:ascii="Arial" w:cs="Arial" w:eastAsia="Arial" w:hAnsi="Arial"/>
                <w:sz w:val="16"/>
                <w:szCs w:val="16"/>
                <w:color w:val="auto"/>
                <w:w w:val="89"/>
              </w:rPr>
              <w:t>Shares of stock sold to employees</w:t>
            </w:r>
            <w:r>
              <w:rPr>
                <w:rFonts w:ascii="Arial" w:cs="Arial" w:eastAsia="Arial" w:hAnsi="Arial"/>
                <w:sz w:val="21"/>
                <w:szCs w:val="21"/>
                <w:color w:val="auto"/>
                <w:w w:val="89"/>
                <w:vertAlign w:val="superscript"/>
              </w:rPr>
              <w:t>(1)</w:t>
            </w:r>
          </w:p>
        </w:tc>
        <w:tc>
          <w:tcPr>
            <w:tcW w:w="184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20</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bl>
    <w:p>
      <w:pPr>
        <w:spacing w:after="0" w:line="206" w:lineRule="exact"/>
        <w:rPr>
          <w:sz w:val="20"/>
          <w:szCs w:val="20"/>
          <w:color w:val="auto"/>
        </w:rPr>
      </w:pPr>
    </w:p>
    <w:p>
      <w:pPr>
        <w:jc w:val="both"/>
        <w:ind w:left="340" w:hanging="332"/>
        <w:spacing w:after="0" w:line="225"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Stock sold to employees during each fiscal quarter under the ESPP is associated with the offering period ending on the last day of the previous fiscal quarter. No stock was sold under the ESPP during the third quarter of 2016 because the ESPP had been suspended due to our delayed SEC filings. We became current with our SEC filings on September 2, 2016 and the ESPP is again active.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371,000 shares of common stock available for future issuance under the ESPP at September 30,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 as a percentage of income before tax typically differs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tax expense for the three and nine months ended September 30, 2016 differed from the federal statutory rate of 35% due to the forecasted mix of earnings in domestic and international jurisdictions and losses experienced in jurisdictions with valuation allowances on deferred tax assets.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for the three and nine months ended September 30, 2015 differed from the federal statutory rate of 35% due to the forecasted mix of earnings in domestic and international jurisdictions, losses experienced in jurisdictions with valuation allowances, and discrete tax items.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591</w:t>
            </w:r>
          </w:p>
        </w:tc>
        <w:tc>
          <w:tcPr>
            <w:tcW w:w="13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923</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r>
      <w:tr>
        <w:trPr>
          <w:trHeight w:val="33"/>
        </w:trPr>
        <w:tc>
          <w:tcPr>
            <w:tcW w:w="4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recorded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September 30, 2016</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840" w:type="dxa"/>
            <w:vAlign w:val="bottom"/>
            <w:tcBorders>
              <w:bottom w:val="single" w:sz="8" w:color="CCEEFF"/>
            </w:tcBorders>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2,733</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84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3,070</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2,577</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2016</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56,216</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54,880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300" w:type="dxa"/>
            <w:vAlign w:val="bottom"/>
          </w:tcPr>
          <w:p>
            <w:pPr>
              <w:spacing w:after="0"/>
              <w:rPr>
                <w:sz w:val="20"/>
                <w:szCs w:val="20"/>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54,908</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53,602</w:t>
            </w:r>
          </w:p>
        </w:tc>
      </w:tr>
    </w:tbl>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2016, we are under examination by certain tax authorities for the 2000 to 2014 tax years. The material jurisdictions where we are subject to examination for the 2000 to 2014 tax years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2016</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03"/>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(132,597)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(151,837)</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(46,574)</w:t>
            </w:r>
          </w:p>
        </w:tc>
      </w:tr>
      <w:tr>
        <w:trPr>
          <w:trHeight w:val="270"/>
        </w:trPr>
        <w:tc>
          <w:tcPr>
            <w:tcW w:w="6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321,332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301,589</w:t>
            </w:r>
          </w:p>
        </w:tc>
      </w:tr>
      <w:tr>
        <w:trPr>
          <w:trHeight w:val="270"/>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203,929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253,426</w:t>
            </w:r>
          </w:p>
        </w:tc>
      </w:tr>
      <w:tr>
        <w:trPr>
          <w:trHeight w:val="270"/>
        </w:trPr>
        <w:tc>
          <w:tcPr>
            <w:tcW w:w="6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(23,818)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(31,122)</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(3,884)</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72,632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62,983</w:t>
            </w:r>
          </w:p>
        </w:tc>
      </w:tr>
      <w:tr>
        <w:trPr>
          <w:trHeight w:val="73"/>
        </w:trPr>
        <w:tc>
          <w:tcPr>
            <w:tcW w:w="67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85,883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87,558</w:t>
            </w:r>
          </w:p>
        </w:tc>
      </w:tr>
    </w:tbl>
    <w:p>
      <w:pPr>
        <w:spacing w:after="0" w:line="19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74" w:lineRule="exact"/>
        <w:rPr>
          <w:rFonts w:ascii="Arial" w:cs="Arial" w:eastAsia="Arial" w:hAnsi="Arial"/>
          <w:sz w:val="22"/>
          <w:szCs w:val="22"/>
          <w:color w:val="auto"/>
          <w:vertAlign w:val="superscript"/>
        </w:rPr>
      </w:pPr>
    </w:p>
    <w:p>
      <w:pPr>
        <w:ind w:left="340" w:hanging="332"/>
        <w:spacing w:after="0" w:line="211"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During the nine months ended September 30, 2016, as a result of entering into the first and second amendments to the 2015 credit facility, the maximum limit available for additional standby LOCs under sub-facility was reduced from $300 million to $250 million.</w:t>
      </w:r>
    </w:p>
    <w:p>
      <w:pPr>
        <w:spacing w:after="0" w:line="17"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14, 2016, we entered into a confidential settlement agreement with Transdata Incorporated (Transdata) under which Transdata agreed to dismiss with prejudice all pending litigation in various United States District Courts against us and certain of our customers. As a part of the settlement, we received a patent license from Transdata for the use of the patents in future meter production and sales.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Brazil, the Conselho Administravo de Defesa Economica commenced an investigation of water meter suppliers, including our subsidiary, to determine whether such suppliers participated in agreements or concerted practices to coordinate their commercial policy in Brazil. On October 18, 2016, we settled with the Conselho Administravo de Defesa Economica. The settlement was not material to our results of operations or financial condition.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it does business. None of the proceedings are individually material to Itron, and we believe that we have made adequate provision such that the ultimate disposition of the proceedings will not materially affect Itron's business or financial condition.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36,548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4,767</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(19,488)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(14,062)</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(2,098)</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44,786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54,744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44,786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54,744</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26,084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40,060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40,060</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18,702</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14,684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18,702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14,684</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ind w:left="840"/>
              <w:spacing w:after="0"/>
              <w:rPr>
                <w:sz w:val="20"/>
                <w:szCs w:val="20"/>
                <w:color w:val="auto"/>
              </w:rPr>
            </w:pPr>
            <w:r>
              <w:rPr>
                <w:rFonts w:ascii="Arial" w:cs="Arial" w:eastAsia="Arial" w:hAnsi="Arial"/>
                <w:sz w:val="16"/>
                <w:szCs w:val="16"/>
                <w:b w:val="1"/>
                <w:bCs w:val="1"/>
                <w:color w:val="auto"/>
                <w:w w:val="94"/>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3,638</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4,252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9,578</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34,356</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34,138</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32,484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34,007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34,007</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warranty</w:t>
            </w:r>
          </w:p>
        </w:tc>
        <w:tc>
          <w:tcPr>
            <w:tcW w:w="10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4,134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3,416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4,134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Long-term unearned revenue for extended warranty within</w:t>
            </w:r>
          </w:p>
        </w:tc>
        <w:tc>
          <w:tcPr>
            <w:tcW w:w="108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28,350</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30,591</w:t>
            </w:r>
          </w:p>
        </w:tc>
        <w:tc>
          <w:tcPr>
            <w:tcW w:w="1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28,350</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30,591</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long-term obligations</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3"/>
          </w:tcPr>
          <w:p>
            <w:pPr>
              <w:ind w:left="840"/>
              <w:spacing w:after="0"/>
              <w:rPr>
                <w:sz w:val="20"/>
                <w:szCs w:val="20"/>
                <w:color w:val="auto"/>
              </w:rPr>
            </w:pPr>
            <w:r>
              <w:rPr>
                <w:rFonts w:ascii="Arial" w:cs="Arial" w:eastAsia="Arial" w:hAnsi="Arial"/>
                <w:sz w:val="16"/>
                <w:szCs w:val="16"/>
                <w:b w:val="1"/>
                <w:bCs w:val="1"/>
                <w:color w:val="auto"/>
                <w:w w:val="94"/>
              </w:rPr>
              <w:t>(in thousands)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6,727</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5,803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20,360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18,704</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September 30, 2016</w:t>
            </w: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2,346</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2,051</w:t>
            </w:r>
          </w:p>
        </w:tc>
      </w:tr>
      <w:tr>
        <w:trPr>
          <w:trHeight w:val="33"/>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2016 Projects began during the three months ended September 30, 2016, and we expect to substantially complete the 2016 Projects by the end of 2018. Many of the affected employees are represented by unions or works councils, which requires consultation, and potential restructuring projects may be subject to regulatory approval, both of which could impact the timing of charges, total expected charges, cost recognized, and planned savings in certain jurisdictions.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nine months ended September 30, 2016, and the remaining expected restructuring costs as of September 30, 2016 related to the 2016 Projects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3"/>
              </w:rPr>
              <w:t>Expected Remaining Costs</w:t>
            </w: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the Nine Months Ended</w:t>
            </w:r>
          </w:p>
        </w:tc>
        <w:tc>
          <w:tcPr>
            <w:tcW w:w="220" w:type="dxa"/>
            <w:vAlign w:val="bottom"/>
          </w:tcPr>
          <w:p>
            <w:pPr>
              <w:spacing w:after="0"/>
              <w:rPr>
                <w:sz w:val="17"/>
                <w:szCs w:val="17"/>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to be Recognized at</w:t>
            </w: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2016</w:t>
            </w:r>
          </w:p>
        </w:tc>
        <w:tc>
          <w:tcPr>
            <w:tcW w:w="1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 2016</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September 30, 2016</w:t>
            </w: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 disposal</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5,184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5,184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16,500</w:t>
            </w:r>
          </w:p>
        </w:tc>
      </w:tr>
      <w:tr>
        <w:trPr>
          <w:trHeight w:val="284"/>
        </w:trPr>
        <w:tc>
          <w:tcPr>
            <w:tcW w:w="51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65,998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39,998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26,000</w:t>
            </w:r>
          </w:p>
        </w:tc>
      </w:tr>
      <w:tr>
        <w:trPr>
          <w:trHeight w:val="257"/>
        </w:trPr>
        <w:tc>
          <w:tcPr>
            <w:tcW w:w="5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33,214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20,214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13,000</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9,000</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65,998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39,998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positions us to meet our long-term profitability goals by better aligning global operations with markets where we can serve our customers profitably.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began implementing these projects in the fourth quarter of 2014, and substantially completed them in the third quarter of 2016. Project activities will continue through the fourth quarter of 2017, however, no further costs are expected to be recognized related to the 2014 Projects.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total expected restructuring costs, the restructuring costs recognized in prior periods, the restructuring costs recognized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the remaining expected restructuring costs as of September 30, 2016 related to the 2014 Projects were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w w:val="93"/>
              </w:rPr>
              <w:t>Expected Remaining Costs</w:t>
            </w:r>
          </w:p>
        </w:tc>
      </w:t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20" w:type="dxa"/>
            <w:vAlign w:val="bottom"/>
          </w:tcPr>
          <w:p>
            <w:pPr>
              <w:spacing w:after="0"/>
              <w:rPr>
                <w:sz w:val="17"/>
                <w:szCs w:val="17"/>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the Nine Months Ended</w:t>
            </w:r>
          </w:p>
        </w:tc>
        <w:tc>
          <w:tcPr>
            <w:tcW w:w="220" w:type="dxa"/>
            <w:vAlign w:val="bottom"/>
          </w:tcPr>
          <w:p>
            <w:pPr>
              <w:spacing w:after="0"/>
              <w:rPr>
                <w:sz w:val="17"/>
                <w:szCs w:val="17"/>
                <w:color w:val="auto"/>
              </w:rPr>
            </w:pPr>
          </w:p>
        </w:tc>
        <w:tc>
          <w:tcPr>
            <w:tcW w:w="1820" w:type="dxa"/>
            <w:vAlign w:val="bottom"/>
          </w:tcPr>
          <w:p>
            <w:pPr>
              <w:ind w:left="120"/>
              <w:spacing w:after="0"/>
              <w:rPr>
                <w:sz w:val="20"/>
                <w:szCs w:val="20"/>
                <w:color w:val="auto"/>
              </w:rPr>
            </w:pPr>
            <w:r>
              <w:rPr>
                <w:rFonts w:ascii="Arial" w:cs="Arial" w:eastAsia="Arial" w:hAnsi="Arial"/>
                <w:sz w:val="16"/>
                <w:szCs w:val="16"/>
                <w:b w:val="1"/>
                <w:bCs w:val="1"/>
                <w:color w:val="auto"/>
              </w:rPr>
              <w:t>to be Recognized at</w:t>
            </w: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2016</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 2016</w:t>
            </w:r>
          </w:p>
        </w:tc>
        <w:tc>
          <w:tcPr>
            <w:tcW w:w="220" w:type="dxa"/>
            <w:vAlign w:val="bottom"/>
          </w:tcPr>
          <w:p>
            <w:pPr>
              <w:spacing w:after="0"/>
              <w:rPr>
                <w:sz w:val="18"/>
                <w:szCs w:val="18"/>
                <w:color w:val="auto"/>
              </w:rPr>
            </w:pPr>
          </w:p>
        </w:tc>
        <w:tc>
          <w:tcPr>
            <w:tcW w:w="1820" w:type="dxa"/>
            <w:vAlign w:val="bottom"/>
          </w:tcPr>
          <w:p>
            <w:pPr>
              <w:ind w:left="120"/>
              <w:spacing w:after="0"/>
              <w:rPr>
                <w:sz w:val="20"/>
                <w:szCs w:val="20"/>
                <w:color w:val="auto"/>
              </w:rPr>
            </w:pPr>
            <w:r>
              <w:rPr>
                <w:rFonts w:ascii="Arial" w:cs="Arial" w:eastAsia="Arial" w:hAnsi="Arial"/>
                <w:sz w:val="16"/>
                <w:szCs w:val="16"/>
                <w:b w:val="1"/>
                <w:bCs w:val="1"/>
                <w:color w:val="auto"/>
              </w:rPr>
              <w:t>September 30, 2016</w:t>
            </w:r>
          </w:p>
        </w:tc>
      </w:tr>
      <w:tr>
        <w:trPr>
          <w:trHeight w:val="33"/>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9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8,849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8,880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ind w:left="1540"/>
              <w:spacing w:after="0"/>
              <w:rPr>
                <w:sz w:val="20"/>
                <w:szCs w:val="20"/>
                <w:color w:val="auto"/>
              </w:rPr>
            </w:pPr>
            <w:r>
              <w:rPr>
                <w:rFonts w:ascii="Arial" w:cs="Arial" w:eastAsia="Arial" w:hAnsi="Arial"/>
                <w:sz w:val="16"/>
                <w:szCs w:val="16"/>
                <w:color w:val="auto"/>
              </w:rPr>
              <w:t>—</w:t>
            </w: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w:t>
            </w:r>
          </w:p>
        </w:tc>
      </w:tr>
      <w:tr>
        <w:trPr>
          <w:trHeight w:val="284"/>
        </w:trPr>
        <w:tc>
          <w:tcPr>
            <w:tcW w:w="29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48,478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47,182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6"/>
                <w:szCs w:val="16"/>
                <w:color w:val="auto"/>
              </w:rPr>
              <w:t>—</w:t>
            </w:r>
          </w:p>
        </w:tc>
      </w:tr>
      <w:tr>
        <w:trPr>
          <w:trHeight w:val="257"/>
        </w:trPr>
        <w:tc>
          <w:tcPr>
            <w:tcW w:w="2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w:t>
            </w:r>
          </w:p>
        </w:tc>
      </w:tr>
      <w:tr>
        <w:trPr>
          <w:trHeight w:val="237"/>
        </w:trPr>
        <w:tc>
          <w:tcPr>
            <w:tcW w:w="298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13,631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11,855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ind w:left="1540"/>
              <w:spacing w:after="0"/>
              <w:rPr>
                <w:sz w:val="20"/>
                <w:szCs w:val="20"/>
                <w:color w:val="auto"/>
              </w:rPr>
            </w:pPr>
            <w:r>
              <w:rPr>
                <w:rFonts w:ascii="Arial" w:cs="Arial" w:eastAsia="Arial" w:hAnsi="Arial"/>
                <w:sz w:val="16"/>
                <w:szCs w:val="16"/>
                <w:color w:val="auto"/>
              </w:rPr>
              <w:t>—</w:t>
            </w: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w:t>
            </w:r>
          </w:p>
        </w:tc>
      </w:tr>
      <w:tr>
        <w:trPr>
          <w:trHeight w:val="237"/>
        </w:trPr>
        <w:tc>
          <w:tcPr>
            <w:tcW w:w="29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12,242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11,644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ind w:left="1540"/>
              <w:spacing w:after="0"/>
              <w:rPr>
                <w:sz w:val="20"/>
                <w:szCs w:val="20"/>
                <w:color w:val="auto"/>
              </w:rPr>
            </w:pPr>
            <w:r>
              <w:rPr>
                <w:rFonts w:ascii="Arial" w:cs="Arial" w:eastAsia="Arial" w:hAnsi="Arial"/>
                <w:sz w:val="16"/>
                <w:szCs w:val="16"/>
                <w:color w:val="auto"/>
              </w:rPr>
              <w:t>—</w:t>
            </w: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48,478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47,182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6"/>
                <w:szCs w:val="16"/>
                <w:color w:val="auto"/>
              </w:rPr>
              <w:t>—</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September 2013, our management approved projects (the 2013 Projects) to restructure our operations to improve profitability and increase efficiencies. We began implementing these projects in the third quarter of 2013, and completed the projects during the third quarter of 2016.</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2013 Projects resulted in approximately $26.2 million of restructuring expense, which was recognized from the third quarter of 2013 through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2016, 2014 and 2013 Projects during the nine months ended September 30, 2016: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2016</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29,581</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34,919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41,294</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(15,807)</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(5,153)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September 30, 2016</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46,881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2,934</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49,815</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restructuring liabilities were $20.3 million and $25.2 million as of September 30, 2016 and December 31, 2015. The current restructuring liabilities are classified within other current liabilities on the Consolidated Balance Sheets. The long-term restructuring liabilities balances were $29.5 million and $4.4 million as of September 30, 2016 and December 31, 2015. The long-term restructuring liabilities are classified within other long-term obligations on the Consolidated Balance Sheets, and include facility exit costs and severance accruals.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2016 and December 31, 2015.</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amount, income tax (provision) benefit, and net-of-tax amount related to each component of OCI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(62,461)</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10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962</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0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1,235</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(1,725)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8,284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(13,573)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(59,481)</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10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0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benefit</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621</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(61,765)</w:t>
            </w: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on disposal</w:t>
            </w:r>
          </w:p>
        </w:tc>
        <w:tc>
          <w:tcPr>
            <w:tcW w:w="10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962</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0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761</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1,863</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8,528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(13,304)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5,913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(58,860)</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Obligation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(135,060)</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(61,765)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(62,447)</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3,587</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(58,860)</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(193,920)</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12,317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7,895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5,913</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September 30,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(194,694)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are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9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7"/>
          </w:tcPr>
          <w:p>
            <w:pPr>
              <w:ind w:left="120"/>
              <w:spacing w:after="0"/>
              <w:rPr>
                <w:sz w:val="20"/>
                <w:szCs w:val="20"/>
                <w:color w:val="auto"/>
              </w:rPr>
            </w:pPr>
            <w:r>
              <w:rPr>
                <w:rFonts w:ascii="Arial" w:cs="Arial" w:eastAsia="Arial" w:hAnsi="Arial"/>
                <w:sz w:val="16"/>
                <w:szCs w:val="16"/>
                <w:b w:val="1"/>
                <w:bCs w:val="1"/>
                <w:color w:val="auto"/>
                <w:w w:val="96"/>
              </w:rPr>
              <w:t>Amount Reclassified from AOCI</w:t>
            </w:r>
            <w:r>
              <w:rPr>
                <w:rFonts w:ascii="Arial" w:cs="Arial" w:eastAsia="Arial" w:hAnsi="Arial"/>
                <w:sz w:val="21"/>
                <w:szCs w:val="21"/>
                <w:b w:val="1"/>
                <w:bCs w:val="1"/>
                <w:color w:val="auto"/>
                <w:w w:val="96"/>
                <w:vertAlign w:val="superscript"/>
              </w:rPr>
              <w:t>(1)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3"/>
              </w:rPr>
              <w:t>Affected Line Item in the</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560" w:type="dxa"/>
            <w:vAlign w:val="bottom"/>
            <w:gridSpan w:val="7"/>
          </w:tcPr>
          <w:p>
            <w:pPr>
              <w:ind w:left="100"/>
              <w:spacing w:after="0"/>
              <w:rPr>
                <w:sz w:val="20"/>
                <w:szCs w:val="20"/>
                <w:color w:val="auto"/>
              </w:rPr>
            </w:pPr>
            <w:r>
              <w:rPr>
                <w:rFonts w:ascii="Arial" w:cs="Arial" w:eastAsia="Arial" w:hAnsi="Arial"/>
                <w:sz w:val="16"/>
                <w:szCs w:val="16"/>
                <w:b w:val="1"/>
                <w:bCs w:val="1"/>
                <w:color w:val="auto"/>
                <w:w w:val="99"/>
              </w:rPr>
              <w:t>Three Months Ended September</w:t>
            </w:r>
          </w:p>
        </w:tc>
        <w:tc>
          <w:tcPr>
            <w:tcW w:w="400" w:type="dxa"/>
            <w:vAlign w:val="bottom"/>
          </w:tcPr>
          <w:p>
            <w:pPr>
              <w:spacing w:after="0"/>
              <w:rPr>
                <w:sz w:val="18"/>
                <w:szCs w:val="18"/>
                <w:color w:val="auto"/>
              </w:rPr>
            </w:pPr>
          </w:p>
        </w:tc>
        <w:tc>
          <w:tcPr>
            <w:tcW w:w="19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7"/>
              </w:rPr>
              <w:t>Nine Months Ended</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9"/>
              </w:rPr>
              <w:t>Consolidated Statements of</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2"/>
              </w:rPr>
              <w:t>Operations</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319"/>
              <w:spacing w:after="0"/>
              <w:rPr>
                <w:sz w:val="20"/>
                <w:szCs w:val="20"/>
                <w:color w:val="auto"/>
              </w:rPr>
            </w:pPr>
            <w:r>
              <w:rPr>
                <w:rFonts w:ascii="Arial" w:cs="Arial" w:eastAsia="Arial" w:hAnsi="Arial"/>
                <w:sz w:val="16"/>
                <w:szCs w:val="16"/>
                <w:b w:val="1"/>
                <w:bCs w:val="1"/>
                <w:color w:val="auto"/>
                <w:w w:val="84"/>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740" w:type="dxa"/>
            <w:vAlign w:val="bottom"/>
            <w:vMerge w:val="restart"/>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20" w:type="dxa"/>
            <w:vAlign w:val="bottom"/>
            <w:gridSpan w:val="3"/>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3900" w:type="dxa"/>
            <w:vAlign w:val="bottom"/>
            <w:tcBorders>
              <w:bottom w:val="single" w:sz="8" w:color="CCEEFF"/>
            </w:tcBorders>
            <w:vMerge w:val="continue"/>
            <w:shd w:val="clear" w:color="auto" w:fill="CCEEFF"/>
          </w:tcPr>
          <w:p>
            <w:pPr>
              <w:spacing w:after="0"/>
              <w:rPr>
                <w:sz w:val="7"/>
                <w:szCs w:val="7"/>
                <w:color w:val="auto"/>
              </w:rPr>
            </w:pP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420" w:type="dxa"/>
            <w:vAlign w:val="bottom"/>
            <w:tcBorders>
              <w:bottom w:val="single" w:sz="8" w:color="CCEEFF"/>
            </w:tcBorders>
            <w:gridSpan w:val="3"/>
            <w:vMerge w:val="continue"/>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vMerge w:val="continue"/>
            <w:shd w:val="clear" w:color="auto" w:fill="CCEEFF"/>
          </w:tcPr>
          <w:p>
            <w:pPr>
              <w:spacing w:after="0"/>
              <w:rPr>
                <w:sz w:val="7"/>
                <w:szCs w:val="7"/>
                <w:color w:val="auto"/>
              </w:rPr>
            </w:pPr>
          </w:p>
        </w:tc>
        <w:tc>
          <w:tcPr>
            <w:tcW w:w="7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8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5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900" w:type="dxa"/>
            <w:vAlign w:val="bottom"/>
            <w:vMerge w:val="restart"/>
          </w:tcPr>
          <w:p>
            <w:pPr>
              <w:ind w:left="200"/>
              <w:spacing w:after="0"/>
              <w:rPr>
                <w:sz w:val="20"/>
                <w:szCs w:val="20"/>
                <w:color w:val="auto"/>
              </w:rPr>
            </w:pPr>
            <w:r>
              <w:rPr>
                <w:rFonts w:ascii="Arial" w:cs="Arial" w:eastAsia="Arial" w:hAnsi="Arial"/>
                <w:sz w:val="16"/>
                <w:szCs w:val="16"/>
                <w:color w:val="auto"/>
              </w:rPr>
              <w:t>Actuarial losses</w:t>
            </w:r>
          </w:p>
        </w:tc>
        <w:tc>
          <w:tcPr>
            <w:tcW w:w="7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(1,470)</w:t>
            </w:r>
          </w:p>
        </w:tc>
        <w:tc>
          <w:tcPr>
            <w:tcW w:w="2600" w:type="dxa"/>
            <w:vAlign w:val="bottom"/>
            <w:gridSpan w:val="2"/>
          </w:tcPr>
          <w:p>
            <w:pPr>
              <w:ind w:left="1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39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Settlement and Other</w:t>
            </w:r>
          </w:p>
        </w:tc>
        <w:tc>
          <w:tcPr>
            <w:tcW w:w="7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3"/>
        </w:trPr>
        <w:tc>
          <w:tcPr>
            <w:tcW w:w="3900" w:type="dxa"/>
            <w:vAlign w:val="bottom"/>
            <w:tcBorders>
              <w:bottom w:val="single" w:sz="8" w:color="CCEEFF"/>
            </w:tcBorders>
            <w:vMerge w:val="continue"/>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5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360"/>
              <w:spacing w:after="0"/>
              <w:rPr>
                <w:sz w:val="20"/>
                <w:szCs w:val="20"/>
                <w:color w:val="auto"/>
              </w:rPr>
            </w:pPr>
            <w:r>
              <w:rPr>
                <w:rFonts w:ascii="Arial" w:cs="Arial" w:eastAsia="Arial" w:hAnsi="Arial"/>
                <w:sz w:val="16"/>
                <w:szCs w:val="16"/>
                <w:color w:val="auto"/>
              </w:rPr>
              <w:t>Total, before tax</w:t>
            </w: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Tax benefit (provision)</w:t>
            </w: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(272)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244"/>
        </w:trPr>
        <w:tc>
          <w:tcPr>
            <w:tcW w:w="3900" w:type="dxa"/>
            <w:vAlign w:val="bottom"/>
          </w:tcPr>
          <w:p>
            <w:pPr>
              <w:ind w:left="360"/>
              <w:spacing w:after="0"/>
              <w:rPr>
                <w:sz w:val="20"/>
                <w:szCs w:val="20"/>
                <w:color w:val="auto"/>
              </w:rPr>
            </w:pPr>
            <w:r>
              <w:rPr>
                <w:rFonts w:ascii="Arial" w:cs="Arial" w:eastAsia="Arial" w:hAnsi="Arial"/>
                <w:sz w:val="16"/>
                <w:szCs w:val="16"/>
                <w:color w:val="auto"/>
              </w:rPr>
              <w:t>Total reclassified, net of tax</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Amounts in parentheses indicate debits to the Consolidated Statements of Operations.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September 30, 2016 and December 31, 2015 do not reflect subsequent changes in the economy, interest rates, and other variables that may affect the determination of fair value. The following table presents the fair values of our financial instruments: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 2016</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2015</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660" w:type="dxa"/>
            <w:vAlign w:val="bottom"/>
          </w:tcPr>
          <w:p>
            <w:pPr>
              <w:spacing w:after="0"/>
              <w:rPr>
                <w:sz w:val="18"/>
                <w:szCs w:val="18"/>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rPr>
              <w:t>Fair</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660" w:type="dxa"/>
            <w:vAlign w:val="bottom"/>
          </w:tcPr>
          <w:p>
            <w:pPr>
              <w:spacing w:after="0"/>
              <w:rPr>
                <w:sz w:val="18"/>
                <w:szCs w:val="18"/>
                <w:color w:val="auto"/>
              </w:rPr>
            </w:pPr>
          </w:p>
        </w:tc>
        <w:tc>
          <w:tcPr>
            <w:tcW w:w="120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88"/>
              </w:rPr>
              <w:t>Value</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151,380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151,380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131,018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1,423</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210,938</w:t>
            </w:r>
          </w:p>
        </w:tc>
        <w:tc>
          <w:tcPr>
            <w:tcW w:w="120" w:type="dxa"/>
            <w:vAlign w:val="bottom"/>
          </w:tcPr>
          <w:p>
            <w:pPr>
              <w:spacing w:after="0"/>
              <w:rPr>
                <w:sz w:val="19"/>
                <w:szCs w:val="19"/>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209,317</w:t>
            </w:r>
          </w:p>
        </w:tc>
        <w:tc>
          <w:tcPr>
            <w:tcW w:w="1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219,375</w:t>
            </w:r>
          </w:p>
        </w:tc>
        <w:tc>
          <w:tcPr>
            <w:tcW w:w="12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217,830</w:t>
            </w: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132,597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150,570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3,308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868</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Standard electricity (electromechanical and electronic) meters; advanced electricity meters and communication modules; smart electricity meters; smart electricity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Standard gas meters; advanced gas meters and communication modules; smart gas meters; smart gas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Standard water and heat meters; advanced and smart water meters and communication modules; smart heat meters; advanced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242,667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692,785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602,999</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144,185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136,726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433,707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401,099</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120,007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390,981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382,987</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506,859</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469,528</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1,517,473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1,387,085</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210,840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163,330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56,096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46,790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158,156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134,854</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39,291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44,115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106,082</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170,749</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147,290</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503,657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404,266</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14,958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7,136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15,836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48,811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44,986</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(63,153)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(34,891)</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26,940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65,457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36,468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(11,899)</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 and nine months ended September 30, 2016, one customer represented 14% and 12%, respectively, of total Electricity segment revenues. For the three months ended September 30, 2015, one customer represented 11% of total Electricity segment revenues, while no customer represented more than 10% of total Electricity segment revenues for the nine months ended September 30, 2015. For the three and nine months ended September 30, 2016 and September 30, 2015, no single customer represented more than 10% of the Gas or Water operating segment revenues, or total company revenues.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297,116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256,962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837,468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737,112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161,959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167,577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545,517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514,054</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47,784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44,989</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134,488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135,919</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506,859</w:t>
            </w:r>
          </w:p>
        </w:tc>
        <w:tc>
          <w:tcPr>
            <w:tcW w:w="12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469,528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1,517,473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1,387,085</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Other region includes our operations in Latin America and Asia Pacific.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27,427</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5,595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15,484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15,316</w:t>
            </w: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14,806</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57,790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1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919"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2015, filed with the Securities and Exchange Commission (SEC) on June 30,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Our operations involve risks and uncertainties which could materially affect our results of operations and whether the forward looking statements ultimately prove to be correct. These risks and uncertainties include 1) the rate and timing of customer demand for our products, 2) failure to meet performance or delivery milestones in customer contracts, 3) changes in estimated liabilities for product warranties and/or litigation, 4) changes in foreign currency exchange rates and interest rates, 5) rescheduling or cancellations of current customer orders and commitments, 6) our dependence on customers' acceptance of new products and their performance, 7) competition, 8) changes in domestic and international laws and regulations, 9) international business risks, 10) our own and our customers' or suppliers' access to and cost of capital, 11) future business combinations, and 12) other factors. </w:t>
      </w:r>
      <w:r>
        <w:rPr>
          <w:rFonts w:ascii="Arial" w:cs="Arial" w:eastAsia="Arial" w:hAnsi="Arial"/>
          <w:sz w:val="17"/>
          <w:szCs w:val="17"/>
          <w:i w:val="1"/>
          <w:iCs w:val="1"/>
          <w:color w:val="000000"/>
        </w:rPr>
        <w:t>For a more complete description of</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these and other risks, refer to Item 1A: “Risk Factors” included in our Annual Report on Form 10-K for the fiscal year ended December 31, 2015, which was filed with the SEC on June 30, 2016 and our other reports on file with the SEC. We do not undertake any obligation to update or revise any forward looking statement in this document.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technology company, offering end-to-end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Refer to the </w:t>
      </w:r>
      <w:r>
        <w:rPr>
          <w:rFonts w:ascii="Arial" w:cs="Arial" w:eastAsia="Arial" w:hAnsi="Arial"/>
          <w:sz w:val="17"/>
          <w:szCs w:val="17"/>
          <w:i w:val="1"/>
          <w:iCs w:val="1"/>
          <w:color w:val="auto"/>
        </w:rPr>
        <w:t>Non-GAAP Measures</w:t>
      </w:r>
      <w:r>
        <w:rPr>
          <w:rFonts w:ascii="Arial" w:cs="Arial" w:eastAsia="Arial" w:hAnsi="Arial"/>
          <w:sz w:val="17"/>
          <w:szCs w:val="17"/>
          <w:color w:val="auto"/>
        </w:rPr>
        <w:t xml:space="preserve"> section below on pages 45-47 for the detailed reconciliation of items that impacted free cash flow, non-GAAP operating expense, non-GAAP operating income, non-GAAP net income, adjusted EBITDA, and non-GAAP diluted EPS in the presented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September 30, 2016</w:t>
      </w:r>
    </w:p>
    <w:p>
      <w:pPr>
        <w:spacing w:after="0" w:line="225" w:lineRule="exact"/>
        <w:rPr>
          <w:sz w:val="20"/>
          <w:szCs w:val="20"/>
          <w:color w:val="auto"/>
        </w:rPr>
      </w:pPr>
    </w:p>
    <w:p>
      <w:pPr>
        <w:ind w:left="260" w:hanging="171"/>
        <w:spacing w:after="0"/>
        <w:tabs>
          <w:tab w:leader="none" w:pos="2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 xml:space="preserve">Revenues were </w:t>
      </w:r>
      <w:r>
        <w:rPr>
          <w:rFonts w:ascii="Arial" w:cs="Arial" w:eastAsia="Arial" w:hAnsi="Arial"/>
          <w:sz w:val="18"/>
          <w:szCs w:val="18"/>
          <w:color w:val="000000"/>
        </w:rPr>
        <w:t>$506.9 million</w:t>
      </w:r>
      <w:r>
        <w:rPr>
          <w:rFonts w:ascii="Arial" w:cs="Arial" w:eastAsia="Arial" w:hAnsi="Arial"/>
          <w:sz w:val="18"/>
          <w:szCs w:val="18"/>
          <w:color w:val="222222"/>
        </w:rPr>
        <w:t xml:space="preserve"> compared with </w:t>
      </w:r>
      <w:r>
        <w:rPr>
          <w:rFonts w:ascii="Arial" w:cs="Arial" w:eastAsia="Arial" w:hAnsi="Arial"/>
          <w:sz w:val="18"/>
          <w:szCs w:val="18"/>
          <w:color w:val="000000"/>
        </w:rPr>
        <w:t>$469.5 million</w:t>
      </w:r>
      <w:r>
        <w:rPr>
          <w:rFonts w:ascii="Arial" w:cs="Arial" w:eastAsia="Arial" w:hAnsi="Arial"/>
          <w:sz w:val="18"/>
          <w:szCs w:val="18"/>
          <w:color w:val="222222"/>
        </w:rPr>
        <w:t xml:space="preserve"> in the same period last year, an increase of $37.3 million, or 8%.</w:t>
      </w:r>
    </w:p>
    <w:p>
      <w:pPr>
        <w:spacing w:after="0" w:line="225" w:lineRule="exact"/>
        <w:rPr>
          <w:rFonts w:ascii="Arial" w:cs="Arial" w:eastAsia="Arial" w:hAnsi="Arial"/>
          <w:sz w:val="18"/>
          <w:szCs w:val="18"/>
          <w:color w:val="222222"/>
        </w:rPr>
      </w:pPr>
    </w:p>
    <w:p>
      <w:pPr>
        <w:ind w:left="260" w:hanging="171"/>
        <w:spacing w:after="0" w:line="277" w:lineRule="auto"/>
        <w:tabs>
          <w:tab w:leader="none" w:pos="2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33.7%</w:t>
      </w:r>
      <w:r>
        <w:rPr>
          <w:rFonts w:ascii="Arial" w:cs="Arial" w:eastAsia="Arial" w:hAnsi="Arial"/>
          <w:sz w:val="18"/>
          <w:szCs w:val="18"/>
          <w:color w:val="222222"/>
        </w:rPr>
        <w:t xml:space="preserve"> compared with </w:t>
      </w:r>
      <w:r>
        <w:rPr>
          <w:rFonts w:ascii="Arial" w:cs="Arial" w:eastAsia="Arial" w:hAnsi="Arial"/>
          <w:sz w:val="18"/>
          <w:szCs w:val="18"/>
          <w:color w:val="000000"/>
        </w:rPr>
        <w:t>31.4%</w:t>
      </w:r>
      <w:r>
        <w:rPr>
          <w:rFonts w:ascii="Arial" w:cs="Arial" w:eastAsia="Arial" w:hAnsi="Arial"/>
          <w:sz w:val="18"/>
          <w:szCs w:val="18"/>
          <w:color w:val="222222"/>
        </w:rPr>
        <w:t xml:space="preserve"> in the same period last year. The gross margin improvement of 230 basis points included improvements in our Electricity and Gas segments.</w:t>
      </w:r>
    </w:p>
    <w:p>
      <w:pPr>
        <w:spacing w:after="0" w:line="170" w:lineRule="exact"/>
        <w:rPr>
          <w:rFonts w:ascii="Arial" w:cs="Arial" w:eastAsia="Arial" w:hAnsi="Arial"/>
          <w:sz w:val="18"/>
          <w:szCs w:val="18"/>
          <w:color w:val="222222"/>
        </w:rPr>
      </w:pPr>
    </w:p>
    <w:p>
      <w:pPr>
        <w:ind w:left="260" w:hanging="171"/>
        <w:spacing w:after="0" w:line="277" w:lineRule="auto"/>
        <w:tabs>
          <w:tab w:leader="none" w:pos="2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Operating expenses were $44.0 million higher compared with the same period last year primarily due to increased restructuring expense following our announcement of the 2016 restructuring projects (2016 Projects).</w:t>
      </w:r>
    </w:p>
    <w:p>
      <w:pPr>
        <w:spacing w:after="0" w:line="170" w:lineRule="exact"/>
        <w:rPr>
          <w:rFonts w:ascii="Arial" w:cs="Arial" w:eastAsia="Arial" w:hAnsi="Arial"/>
          <w:sz w:val="18"/>
          <w:szCs w:val="18"/>
          <w:color w:val="222222"/>
        </w:rPr>
      </w:pPr>
    </w:p>
    <w:p>
      <w:pPr>
        <w:ind w:left="260" w:right="20" w:hanging="171"/>
        <w:spacing w:after="0" w:line="277" w:lineRule="auto"/>
        <w:tabs>
          <w:tab w:leader="none" w:pos="2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 xml:space="preserve">Net loss attributable to Itron, Inc. for the </w:t>
      </w:r>
      <w:r>
        <w:rPr>
          <w:rFonts w:ascii="Arial" w:cs="Arial" w:eastAsia="Arial" w:hAnsi="Arial"/>
          <w:sz w:val="18"/>
          <w:szCs w:val="18"/>
          <w:color w:val="000000"/>
        </w:rPr>
        <w:t>third</w:t>
      </w:r>
      <w:r>
        <w:rPr>
          <w:rFonts w:ascii="Arial" w:cs="Arial" w:eastAsia="Arial" w:hAnsi="Arial"/>
          <w:sz w:val="18"/>
          <w:szCs w:val="18"/>
          <w:color w:val="222222"/>
        </w:rPr>
        <w:t xml:space="preserve"> quarter of 2016 was $9.9 million compared with net income attributable to Itron, Inc. of $12.6 million in the same period last year.</w:t>
      </w:r>
    </w:p>
    <w:p>
      <w:pPr>
        <w:spacing w:after="0" w:line="170" w:lineRule="exact"/>
        <w:rPr>
          <w:rFonts w:ascii="Arial" w:cs="Arial" w:eastAsia="Arial" w:hAnsi="Arial"/>
          <w:sz w:val="18"/>
          <w:szCs w:val="18"/>
          <w:color w:val="222222"/>
        </w:rPr>
      </w:pPr>
    </w:p>
    <w:p>
      <w:pPr>
        <w:ind w:left="260" w:hanging="171"/>
        <w:spacing w:after="0"/>
        <w:tabs>
          <w:tab w:leader="none" w:pos="2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 xml:space="preserve">Adjusted EBITDA </w:t>
      </w:r>
      <w:r>
        <w:rPr>
          <w:rFonts w:ascii="Arial" w:cs="Arial" w:eastAsia="Arial" w:hAnsi="Arial"/>
          <w:sz w:val="18"/>
          <w:szCs w:val="18"/>
          <w:color w:val="000000"/>
        </w:rPr>
        <w:t>improved to $62.7 million, an increase of $21.2 million compared with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GAAP diluted EPS declined $0.59 to $(0.26) compared with the same period last year, primarily due to the increased restructuring charges.</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13"/>
        </w:numPr>
        <w:rPr>
          <w:rFonts w:ascii="Arial" w:cs="Arial" w:eastAsia="Arial" w:hAnsi="Arial"/>
          <w:sz w:val="18"/>
          <w:szCs w:val="18"/>
          <w:color w:val="222222"/>
        </w:rPr>
      </w:pPr>
      <w:r>
        <w:rPr>
          <w:rFonts w:ascii="Arial" w:cs="Arial" w:eastAsia="Arial" w:hAnsi="Arial"/>
          <w:sz w:val="18"/>
          <w:szCs w:val="18"/>
          <w:color w:val="222222"/>
        </w:rPr>
        <w:t>Non-GAAP diluted EPS improved $0.33 to $0.77 compared with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nine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September 30, 2016</w:t>
      </w:r>
    </w:p>
    <w:p>
      <w:pPr>
        <w:spacing w:after="0" w:line="225" w:lineRule="exact"/>
        <w:rPr>
          <w:sz w:val="20"/>
          <w:szCs w:val="20"/>
          <w:color w:val="auto"/>
        </w:rPr>
      </w:pPr>
    </w:p>
    <w:p>
      <w:pPr>
        <w:ind w:left="260" w:hanging="171"/>
        <w:spacing w:after="0"/>
        <w:tabs>
          <w:tab w:leader="none" w:pos="2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Revenues were $1.5 billion compared with $1.4 billion in the same period last year, an increase of $130.4 million, or 9%.</w:t>
      </w:r>
    </w:p>
    <w:p>
      <w:pPr>
        <w:spacing w:after="0" w:line="225" w:lineRule="exact"/>
        <w:rPr>
          <w:rFonts w:ascii="Arial" w:cs="Arial" w:eastAsia="Arial" w:hAnsi="Arial"/>
          <w:sz w:val="18"/>
          <w:szCs w:val="18"/>
          <w:color w:val="222222"/>
        </w:rPr>
      </w:pPr>
    </w:p>
    <w:p>
      <w:pPr>
        <w:ind w:left="260" w:hanging="171"/>
        <w:spacing w:after="0" w:line="277" w:lineRule="auto"/>
        <w:tabs>
          <w:tab w:leader="none" w:pos="2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Gross margin was 33.2% compared with 29.1% in the same period last year. The gross margin improvement of 410 basis points included improvements in all segments.</w:t>
      </w:r>
    </w:p>
    <w:p>
      <w:pPr>
        <w:spacing w:after="0" w:line="170" w:lineRule="exact"/>
        <w:rPr>
          <w:rFonts w:ascii="Arial" w:cs="Arial" w:eastAsia="Arial" w:hAnsi="Arial"/>
          <w:sz w:val="18"/>
          <w:szCs w:val="18"/>
          <w:color w:val="222222"/>
        </w:rPr>
      </w:pPr>
    </w:p>
    <w:p>
      <w:pPr>
        <w:ind w:left="260" w:hanging="171"/>
        <w:spacing w:after="0" w:line="277" w:lineRule="auto"/>
        <w:tabs>
          <w:tab w:leader="none" w:pos="2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Operating expenses were $70.4 million higher compared with the same period last year, primarily due to increased restructuring expenses following the announcement of the 2016 Projects.</w:t>
      </w:r>
    </w:p>
    <w:p>
      <w:pPr>
        <w:spacing w:after="0" w:line="170" w:lineRule="exact"/>
        <w:rPr>
          <w:rFonts w:ascii="Arial" w:cs="Arial" w:eastAsia="Arial" w:hAnsi="Arial"/>
          <w:sz w:val="18"/>
          <w:szCs w:val="18"/>
          <w:color w:val="222222"/>
        </w:rPr>
      </w:pPr>
    </w:p>
    <w:p>
      <w:pPr>
        <w:ind w:left="260" w:hanging="171"/>
        <w:spacing w:after="0"/>
        <w:tabs>
          <w:tab w:leader="none" w:pos="260" w:val="left"/>
        </w:tabs>
        <w:numPr>
          <w:ilvl w:val="0"/>
          <w:numId w:val="14"/>
        </w:numPr>
        <w:rPr>
          <w:rFonts w:ascii="Arial" w:cs="Arial" w:eastAsia="Arial" w:hAnsi="Arial"/>
          <w:sz w:val="18"/>
          <w:szCs w:val="18"/>
          <w:color w:val="222222"/>
        </w:rPr>
      </w:pPr>
      <w:r>
        <w:rPr>
          <w:rFonts w:ascii="Arial" w:cs="Arial" w:eastAsia="Arial" w:hAnsi="Arial"/>
          <w:sz w:val="18"/>
          <w:szCs w:val="18"/>
          <w:color w:val="auto"/>
        </w:rPr>
        <w:t>Net income attributable to Itron, Inc. was $20.1 million compared with $3.7 million for the same period in 2015.</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increased $79.7 million, or 106% compared with the same period in 2015.</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222222"/>
        </w:rPr>
        <w:t xml:space="preserve">GAAP diluted EPS </w:t>
      </w:r>
      <w:r>
        <w:rPr>
          <w:rFonts w:ascii="Arial" w:cs="Arial" w:eastAsia="Arial" w:hAnsi="Arial"/>
          <w:sz w:val="18"/>
          <w:szCs w:val="18"/>
          <w:color w:val="000000"/>
        </w:rPr>
        <w:t>was $0.52, a $0.42 improvement compared with the same period in 2015.</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222222"/>
        </w:rPr>
        <w:t>Non-GAAP diluted EPS improved $1.59 to $1.87 compared with the same period last year.</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 xml:space="preserve">Total backlog was $1.5 billion and twelve-month backlog was $731 million at </w:t>
      </w:r>
      <w:r>
        <w:rPr>
          <w:rFonts w:ascii="Arial" w:cs="Arial" w:eastAsia="Arial" w:hAnsi="Arial"/>
          <w:sz w:val="18"/>
          <w:szCs w:val="18"/>
          <w:color w:val="000000"/>
        </w:rPr>
        <w:t>September 30, 2016</w:t>
      </w:r>
      <w:r>
        <w:rPr>
          <w:rFonts w:ascii="Arial" w:cs="Arial" w:eastAsia="Arial" w:hAnsi="Arial"/>
          <w:sz w:val="18"/>
          <w:szCs w:val="18"/>
          <w:color w:val="222222"/>
        </w:rPr>
        <w: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 2016, we announced the 2016 Projects to restructure various company activities in order to improve operational efficiencies, reduce expenses and improve competiveness. We expect to close or consolidate several facilities and reduce our global workforce as a result of the restructuring. As a result of the announcement, we recognized $40.0 million of restructuring expense during the third quarter of 2016 related to the 2016 Projects.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substantially complete the 2016 Projects by the end of 2018. Many of the affected employees are represented by unions or works councils, which requires consultation, and potential restructuring projects may be subject to regulatory approval, both of which could impact the timing of charges, total expected charges, costs recognized, and planned savings in certain jurisdictions.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estimate pre-tax restructuring charges of approximately $66 million, with expected annualized savings of approximately $40 million upon completion.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222222"/>
        </w:rPr>
        <w:t>The following table summarizes the changes in GAAP and Non-GAAP financial measures: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760" w:type="dxa"/>
            <w:vAlign w:val="bottom"/>
            <w:gridSpan w:val="4"/>
          </w:tcPr>
          <w:p>
            <w:pPr>
              <w:ind w:left="54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11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 Change</w:t>
            </w: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220" w:type="dxa"/>
            <w:vAlign w:val="bottom"/>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margin and per share data)</w:t>
            </w: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3240" w:type="dxa"/>
            <w:vAlign w:val="bottom"/>
            <w:gridSpan w:val="3"/>
          </w:tcPr>
          <w:p>
            <w:pPr>
              <w:ind w:left="40"/>
              <w:spacing w:after="0"/>
              <w:rPr>
                <w:sz w:val="20"/>
                <w:szCs w:val="20"/>
                <w:color w:val="auto"/>
              </w:rPr>
            </w:pPr>
            <w:r>
              <w:rPr>
                <w:rFonts w:ascii="Arial" w:cs="Arial" w:eastAsia="Arial" w:hAnsi="Arial"/>
                <w:sz w:val="16"/>
                <w:szCs w:val="16"/>
                <w:b w:val="1"/>
                <w:bCs w:val="1"/>
                <w:color w:val="auto"/>
              </w:rPr>
              <w:t>GAAP</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506,859</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469,528</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1,517,473</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1,387,085</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9%</w:t>
            </w:r>
          </w:p>
        </w:tc>
      </w:tr>
      <w:tr>
        <w:trPr>
          <w:trHeight w:val="237"/>
        </w:trPr>
        <w:tc>
          <w:tcPr>
            <w:tcW w:w="3240" w:type="dxa"/>
            <w:vAlign w:val="bottom"/>
            <w:gridSpan w:val="3"/>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170,749</w:t>
            </w:r>
          </w:p>
        </w:tc>
        <w:tc>
          <w:tcPr>
            <w:tcW w:w="38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147,290</w:t>
            </w: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503,657</w:t>
            </w:r>
          </w:p>
        </w:tc>
        <w:tc>
          <w:tcPr>
            <w:tcW w:w="460" w:type="dxa"/>
            <w:vAlign w:val="bottom"/>
          </w:tcPr>
          <w:p>
            <w:pPr>
              <w:spacing w:after="0"/>
              <w:rPr>
                <w:sz w:val="20"/>
                <w:szCs w:val="20"/>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404,266</w:t>
            </w: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25%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164,339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120,350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438,200</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367,798</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19%</w:t>
            </w:r>
          </w:p>
        </w:tc>
      </w:tr>
      <w:tr>
        <w:trPr>
          <w:trHeight w:val="237"/>
        </w:trPr>
        <w:tc>
          <w:tcPr>
            <w:tcW w:w="3240" w:type="dxa"/>
            <w:vAlign w:val="bottom"/>
            <w:gridSpan w:val="3"/>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6,410</w:t>
            </w:r>
          </w:p>
        </w:tc>
        <w:tc>
          <w:tcPr>
            <w:tcW w:w="38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26,940</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65,457</w:t>
            </w:r>
          </w:p>
        </w:tc>
        <w:tc>
          <w:tcPr>
            <w:tcW w:w="460" w:type="dxa"/>
            <w:vAlign w:val="bottom"/>
          </w:tcPr>
          <w:p>
            <w:pPr>
              <w:spacing w:after="0"/>
              <w:rPr>
                <w:sz w:val="20"/>
                <w:szCs w:val="20"/>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36,468</w:t>
            </w: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79%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(3,738)</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(8,824)</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(11,899)</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(26)%</w:t>
            </w:r>
          </w:p>
        </w:tc>
      </w:tr>
      <w:tr>
        <w:trPr>
          <w:trHeight w:val="237"/>
        </w:trPr>
        <w:tc>
          <w:tcPr>
            <w:tcW w:w="3240" w:type="dxa"/>
            <w:vAlign w:val="bottom"/>
            <w:gridSpan w:val="3"/>
          </w:tcPr>
          <w:p>
            <w:pPr>
              <w:ind w:left="4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(13,430)</w:t>
            </w:r>
          </w:p>
        </w:tc>
        <w:tc>
          <w:tcPr>
            <w:tcW w:w="38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(9,932)</w:t>
            </w: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(34,249)</w:t>
            </w:r>
          </w:p>
        </w:tc>
        <w:tc>
          <w:tcPr>
            <w:tcW w:w="4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(19,060)</w:t>
            </w: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80%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(9,885)</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12,640</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20,121</w:t>
            </w: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3,692</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445%</w:t>
            </w:r>
          </w:p>
        </w:tc>
      </w:tr>
      <w:tr>
        <w:trPr>
          <w:trHeight w:val="33"/>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w:t>
      </w:r>
      <w:r>
        <w:rPr>
          <w:rFonts w:ascii="Arial" w:cs="Arial" w:eastAsia="Arial" w:hAnsi="Arial"/>
          <w:sz w:val="21"/>
          <w:szCs w:val="21"/>
          <w:b w:val="1"/>
          <w:bCs w:val="1"/>
          <w:color w:val="auto"/>
          <w:vertAlign w:val="superscript"/>
        </w:rPr>
        <w:t>(1)</w:t>
      </w:r>
    </w:p>
    <w:p>
      <w:pPr>
        <w:sectPr>
          <w:pgSz w:w="11900" w:h="16838" w:orient="portrait"/>
          <w:cols w:equalWidth="0" w:num="1">
            <w:col w:w="11420"/>
          </w:cols>
          <w:pgMar w:left="240" w:top="125" w:right="239" w:bottom="1440" w:gutter="0" w:footer="0" w:header="0"/>
        </w:sectPr>
      </w:pPr>
    </w:p>
    <w:p>
      <w:pPr>
        <w:spacing w:after="0" w:line="43" w:lineRule="exact"/>
        <w:rPr>
          <w:sz w:val="20"/>
          <w:szCs w:val="20"/>
          <w:color w:val="auto"/>
        </w:rPr>
      </w:pPr>
    </w:p>
    <w:p>
      <w:pPr>
        <w:ind w:left="40"/>
        <w:spacing w:after="0"/>
        <w:tabs>
          <w:tab w:leader="none" w:pos="3240" w:val="left"/>
        </w:tabs>
        <w:rPr>
          <w:sz w:val="20"/>
          <w:szCs w:val="20"/>
          <w:color w:val="auto"/>
        </w:rPr>
      </w:pPr>
      <w:r>
        <w:rPr>
          <w:rFonts w:ascii="Arial" w:cs="Arial" w:eastAsia="Arial" w:hAnsi="Arial"/>
          <w:sz w:val="16"/>
          <w:szCs w:val="16"/>
          <w:color w:val="auto"/>
        </w:rPr>
        <w:t>Non-GAAP operating expenses</w:t>
      </w:r>
      <w:r>
        <w:rPr>
          <w:sz w:val="20"/>
          <w:szCs w:val="20"/>
          <w:color w:val="auto"/>
        </w:rPr>
        <w:tab/>
      </w:r>
      <w:r>
        <w:rPr>
          <w:rFonts w:ascii="Arial" w:cs="Arial" w:eastAsia="Arial" w:hAnsi="Arial"/>
          <w:sz w:val="14"/>
          <w:szCs w:val="14"/>
          <w:color w:val="auto"/>
        </w:rPr>
        <w:t>$</w:t>
      </w:r>
    </w:p>
    <w:p>
      <w:pPr>
        <w:spacing w:after="0" w:line="75" w:lineRule="exact"/>
        <w:rPr>
          <w:sz w:val="20"/>
          <w:szCs w:val="20"/>
          <w:color w:val="auto"/>
        </w:rPr>
      </w:pPr>
    </w:p>
    <w:p>
      <w:pPr>
        <w:ind w:left="40" w:right="140"/>
        <w:spacing w:after="0" w:line="366" w:lineRule="auto"/>
        <w:rPr>
          <w:sz w:val="20"/>
          <w:szCs w:val="20"/>
          <w:color w:val="auto"/>
        </w:rPr>
      </w:pPr>
      <w:r>
        <w:rPr>
          <w:rFonts w:ascii="Arial" w:cs="Arial" w:eastAsia="Arial" w:hAnsi="Arial"/>
          <w:sz w:val="16"/>
          <w:szCs w:val="16"/>
          <w:color w:val="auto"/>
        </w:rPr>
        <w:t>Non-GAAP operating income Non-GAAP net income attributable to Itron, Inc. Adjusted EBITDA</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 Margins and Earnings Per Share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86" w:lineRule="exact"/>
        <w:rPr>
          <w:sz w:val="20"/>
          <w:szCs w:val="20"/>
          <w:color w:val="auto"/>
        </w:rPr>
      </w:pPr>
    </w:p>
    <w:p>
      <w:pPr>
        <w:ind w:left="40"/>
        <w:spacing w:after="0"/>
        <w:tabs>
          <w:tab w:leader="none" w:pos="3240" w:val="left"/>
        </w:tabs>
        <w:rPr>
          <w:sz w:val="20"/>
          <w:szCs w:val="20"/>
          <w:color w:val="auto"/>
        </w:rPr>
      </w:pPr>
      <w:r>
        <w:rPr>
          <w:rFonts w:ascii="Arial" w:cs="Arial" w:eastAsia="Arial" w:hAnsi="Arial"/>
          <w:sz w:val="16"/>
          <w:szCs w:val="16"/>
          <w:color w:val="auto"/>
        </w:rPr>
        <w:t>Basic EPS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EPS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 Earnings Per Share</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118,844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115,165</w:t>
            </w:r>
          </w:p>
        </w:tc>
        <w:tc>
          <w:tcPr>
            <w:tcW w:w="920" w:type="dxa"/>
            <w:vAlign w:val="bottom"/>
          </w:tcPr>
          <w:p>
            <w:pPr>
              <w:jc w:val="center"/>
              <w:spacing w:after="0"/>
              <w:rPr>
                <w:sz w:val="20"/>
                <w:szCs w:val="20"/>
                <w:color w:val="auto"/>
              </w:rPr>
            </w:pPr>
            <w:r>
              <w:rPr>
                <w:rFonts w:ascii="Arial" w:cs="Arial" w:eastAsia="Arial" w:hAnsi="Arial"/>
                <w:sz w:val="16"/>
                <w:szCs w:val="16"/>
                <w:color w:val="auto"/>
                <w:w w:val="86"/>
              </w:rPr>
              <w:t>3%</w:t>
            </w: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378,106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358,450</w:t>
            </w:r>
          </w:p>
        </w:tc>
        <w:tc>
          <w:tcPr>
            <w:tcW w:w="660" w:type="dxa"/>
            <w:vAlign w:val="bottom"/>
          </w:tcPr>
          <w:p>
            <w:pPr>
              <w:jc w:val="center"/>
              <w:ind w:left="219"/>
              <w:spacing w:after="0"/>
              <w:rPr>
                <w:sz w:val="20"/>
                <w:szCs w:val="20"/>
                <w:color w:val="auto"/>
              </w:rPr>
            </w:pPr>
            <w:r>
              <w:rPr>
                <w:rFonts w:ascii="Arial" w:cs="Arial" w:eastAsia="Arial" w:hAnsi="Arial"/>
                <w:sz w:val="16"/>
                <w:szCs w:val="16"/>
                <w:color w:val="auto"/>
                <w:w w:val="86"/>
              </w:rPr>
              <w:t>5%</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51,905</w:t>
            </w:r>
          </w:p>
        </w:tc>
        <w:tc>
          <w:tcPr>
            <w:tcW w:w="400" w:type="dxa"/>
            <w:vAlign w:val="bottom"/>
          </w:tcPr>
          <w:p>
            <w:pPr>
              <w:spacing w:after="0"/>
              <w:rPr>
                <w:sz w:val="23"/>
                <w:szCs w:val="23"/>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32,125</w:t>
            </w: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62%</w:t>
            </w:r>
          </w:p>
        </w:tc>
        <w:tc>
          <w:tcPr>
            <w:tcW w:w="6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125,551</w:t>
            </w:r>
          </w:p>
        </w:tc>
        <w:tc>
          <w:tcPr>
            <w:tcW w:w="42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45,816</w:t>
            </w:r>
          </w:p>
        </w:tc>
        <w:tc>
          <w:tcPr>
            <w:tcW w:w="660" w:type="dxa"/>
            <w:vAlign w:val="bottom"/>
          </w:tcPr>
          <w:p>
            <w:pPr>
              <w:jc w:val="center"/>
              <w:ind w:left="199"/>
              <w:spacing w:after="0"/>
              <w:rPr>
                <w:sz w:val="20"/>
                <w:szCs w:val="20"/>
                <w:color w:val="auto"/>
              </w:rPr>
            </w:pPr>
            <w:r>
              <w:rPr>
                <w:rFonts w:ascii="Arial" w:cs="Arial" w:eastAsia="Arial" w:hAnsi="Arial"/>
                <w:sz w:val="16"/>
                <w:szCs w:val="16"/>
                <w:color w:val="auto"/>
                <w:w w:val="92"/>
              </w:rPr>
              <w:t>174%</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29,896</w:t>
            </w:r>
          </w:p>
        </w:tc>
        <w:tc>
          <w:tcPr>
            <w:tcW w:w="400" w:type="dxa"/>
            <w:vAlign w:val="bottom"/>
          </w:tcPr>
          <w:p>
            <w:pPr>
              <w:spacing w:after="0"/>
              <w:rPr>
                <w:sz w:val="23"/>
                <w:szCs w:val="23"/>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16,974</w:t>
            </w: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76%</w:t>
            </w:r>
          </w:p>
        </w:tc>
        <w:tc>
          <w:tcPr>
            <w:tcW w:w="6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71,871</w:t>
            </w:r>
          </w:p>
        </w:tc>
        <w:tc>
          <w:tcPr>
            <w:tcW w:w="42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10,615</w:t>
            </w:r>
          </w:p>
        </w:tc>
        <w:tc>
          <w:tcPr>
            <w:tcW w:w="660" w:type="dxa"/>
            <w:vAlign w:val="bottom"/>
          </w:tcPr>
          <w:p>
            <w:pPr>
              <w:jc w:val="center"/>
              <w:ind w:left="199"/>
              <w:spacing w:after="0"/>
              <w:rPr>
                <w:sz w:val="20"/>
                <w:szCs w:val="20"/>
                <w:color w:val="auto"/>
              </w:rPr>
            </w:pPr>
            <w:r>
              <w:rPr>
                <w:rFonts w:ascii="Arial" w:cs="Arial" w:eastAsia="Arial" w:hAnsi="Arial"/>
                <w:sz w:val="16"/>
                <w:szCs w:val="16"/>
                <w:color w:val="auto"/>
                <w:w w:val="92"/>
              </w:rPr>
              <w:t>577%</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62,715</w:t>
            </w:r>
          </w:p>
        </w:tc>
        <w:tc>
          <w:tcPr>
            <w:tcW w:w="400" w:type="dxa"/>
            <w:vAlign w:val="bottom"/>
          </w:tcPr>
          <w:p>
            <w:pPr>
              <w:spacing w:after="0"/>
              <w:rPr>
                <w:sz w:val="23"/>
                <w:szCs w:val="23"/>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41,505</w:t>
            </w: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51%</w:t>
            </w:r>
          </w:p>
        </w:tc>
        <w:tc>
          <w:tcPr>
            <w:tcW w:w="6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154,775</w:t>
            </w:r>
          </w:p>
        </w:tc>
        <w:tc>
          <w:tcPr>
            <w:tcW w:w="42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75,056</w:t>
            </w:r>
          </w:p>
        </w:tc>
        <w:tc>
          <w:tcPr>
            <w:tcW w:w="660" w:type="dxa"/>
            <w:vAlign w:val="bottom"/>
          </w:tcPr>
          <w:p>
            <w:pPr>
              <w:jc w:val="center"/>
              <w:ind w:left="199"/>
              <w:spacing w:after="0"/>
              <w:rPr>
                <w:sz w:val="20"/>
                <w:szCs w:val="20"/>
                <w:color w:val="auto"/>
              </w:rPr>
            </w:pPr>
            <w:r>
              <w:rPr>
                <w:rFonts w:ascii="Arial" w:cs="Arial" w:eastAsia="Arial" w:hAnsi="Arial"/>
                <w:sz w:val="16"/>
                <w:szCs w:val="16"/>
                <w:color w:val="auto"/>
                <w:w w:val="92"/>
              </w:rPr>
              <w:t>106%</w:t>
            </w:r>
          </w:p>
        </w:tc>
      </w:tr>
      <w:tr>
        <w:trPr>
          <w:trHeight w:val="810"/>
        </w:trPr>
        <w:tc>
          <w:tcPr>
            <w:tcW w:w="740" w:type="dxa"/>
            <w:vAlign w:val="bottom"/>
          </w:tcPr>
          <w:p>
            <w:pPr>
              <w:jc w:val="right"/>
              <w:spacing w:after="0"/>
              <w:rPr>
                <w:sz w:val="20"/>
                <w:szCs w:val="20"/>
                <w:color w:val="auto"/>
              </w:rPr>
            </w:pPr>
            <w:r>
              <w:rPr>
                <w:rFonts w:ascii="Arial" w:cs="Arial" w:eastAsia="Arial" w:hAnsi="Arial"/>
                <w:sz w:val="16"/>
                <w:szCs w:val="16"/>
                <w:color w:val="auto"/>
              </w:rPr>
              <w:t>33.7%</w:t>
            </w:r>
          </w:p>
        </w:tc>
        <w:tc>
          <w:tcPr>
            <w:tcW w:w="400" w:type="dxa"/>
            <w:vAlign w:val="bottom"/>
          </w:tcPr>
          <w:p>
            <w:pPr>
              <w:spacing w:after="0"/>
              <w:rPr>
                <w:sz w:val="24"/>
                <w:szCs w:val="24"/>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31.4%</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420" w:type="dxa"/>
            <w:vAlign w:val="bottom"/>
          </w:tcPr>
          <w:p>
            <w:pPr>
              <w:spacing w:after="0"/>
              <w:rPr>
                <w:sz w:val="24"/>
                <w:szCs w:val="24"/>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29.1%</w:t>
            </w:r>
          </w:p>
        </w:tc>
        <w:tc>
          <w:tcPr>
            <w:tcW w:w="660" w:type="dxa"/>
            <w:vAlign w:val="bottom"/>
          </w:tcPr>
          <w:p>
            <w:pPr>
              <w:spacing w:after="0"/>
              <w:rPr>
                <w:sz w:val="24"/>
                <w:szCs w:val="24"/>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23"/>
                <w:szCs w:val="23"/>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5.7%</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23"/>
                <w:szCs w:val="23"/>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660" w:type="dxa"/>
            <w:vAlign w:val="bottom"/>
          </w:tcPr>
          <w:p>
            <w:pPr>
              <w:spacing w:after="0"/>
              <w:rPr>
                <w:sz w:val="23"/>
                <w:szCs w:val="23"/>
                <w:color w:val="auto"/>
              </w:rPr>
            </w:pPr>
          </w:p>
        </w:tc>
      </w:tr>
      <w:tr>
        <w:trPr>
          <w:trHeight w:val="270"/>
        </w:trPr>
        <w:tc>
          <w:tcPr>
            <w:tcW w:w="740" w:type="dxa"/>
            <w:vAlign w:val="bottom"/>
          </w:tcPr>
          <w:p>
            <w:pPr>
              <w:jc w:val="right"/>
              <w:ind w:right="79"/>
              <w:spacing w:after="0"/>
              <w:rPr>
                <w:sz w:val="20"/>
                <w:szCs w:val="20"/>
                <w:color w:val="auto"/>
              </w:rPr>
            </w:pPr>
            <w:r>
              <w:rPr>
                <w:rFonts w:ascii="Arial" w:cs="Arial" w:eastAsia="Arial" w:hAnsi="Arial"/>
                <w:sz w:val="16"/>
                <w:szCs w:val="16"/>
                <w:color w:val="auto"/>
              </w:rPr>
              <w:t>(0.26)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0.33</w:t>
            </w:r>
          </w:p>
        </w:tc>
        <w:tc>
          <w:tcPr>
            <w:tcW w:w="920" w:type="dxa"/>
            <w:vAlign w:val="bottom"/>
          </w:tcPr>
          <w:p>
            <w:pPr>
              <w:spacing w:after="0"/>
              <w:rPr>
                <w:sz w:val="23"/>
                <w:szCs w:val="23"/>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0.53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0.10</w:t>
            </w:r>
          </w:p>
        </w:tc>
        <w:tc>
          <w:tcPr>
            <w:tcW w:w="660" w:type="dxa"/>
            <w:vAlign w:val="bottom"/>
          </w:tcPr>
          <w:p>
            <w:pPr>
              <w:spacing w:after="0"/>
              <w:rPr>
                <w:sz w:val="23"/>
                <w:szCs w:val="23"/>
                <w:color w:val="auto"/>
              </w:rPr>
            </w:pPr>
          </w:p>
        </w:tc>
      </w:tr>
      <w:tr>
        <w:trPr>
          <w:trHeight w:val="270"/>
        </w:trPr>
        <w:tc>
          <w:tcPr>
            <w:tcW w:w="740" w:type="dxa"/>
            <w:vAlign w:val="bottom"/>
          </w:tcPr>
          <w:p>
            <w:pPr>
              <w:jc w:val="right"/>
              <w:ind w:right="79"/>
              <w:spacing w:after="0"/>
              <w:rPr>
                <w:sz w:val="20"/>
                <w:szCs w:val="20"/>
                <w:color w:val="auto"/>
              </w:rPr>
            </w:pPr>
            <w:r>
              <w:rPr>
                <w:rFonts w:ascii="Arial" w:cs="Arial" w:eastAsia="Arial" w:hAnsi="Arial"/>
                <w:sz w:val="16"/>
                <w:szCs w:val="16"/>
                <w:color w:val="auto"/>
              </w:rPr>
              <w:t>(0.26)</w:t>
            </w:r>
          </w:p>
        </w:tc>
        <w:tc>
          <w:tcPr>
            <w:tcW w:w="400" w:type="dxa"/>
            <w:vAlign w:val="bottom"/>
          </w:tcPr>
          <w:p>
            <w:pPr>
              <w:spacing w:after="0"/>
              <w:rPr>
                <w:sz w:val="23"/>
                <w:szCs w:val="23"/>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0.33</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0.52</w:t>
            </w:r>
          </w:p>
        </w:tc>
        <w:tc>
          <w:tcPr>
            <w:tcW w:w="42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0.10</w:t>
            </w:r>
          </w:p>
        </w:tc>
        <w:tc>
          <w:tcPr>
            <w:tcW w:w="6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-1522095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-1179195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-835660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-492760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-149860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192405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3340" w:space="500"/>
            <w:col w:w="7580"/>
          </w:cols>
          <w:pgMar w:left="240" w:top="125" w:right="239" w:bottom="1440" w:gutter="0" w:footer="0" w:header="0"/>
          <w:type w:val="continuous"/>
        </w:sectPr>
      </w:pPr>
    </w:p>
    <w:p>
      <w:pPr>
        <w:ind w:left="40"/>
        <w:spacing w:after="0"/>
        <w:tabs>
          <w:tab w:leader="none" w:pos="3240" w:val="left"/>
          <w:tab w:leader="none" w:pos="4060" w:val="left"/>
          <w:tab w:leader="none" w:pos="4640" w:val="left"/>
          <w:tab w:leader="none" w:pos="5440" w:val="left"/>
          <w:tab w:leader="none" w:pos="7380" w:val="left"/>
          <w:tab w:leader="none" w:pos="8200" w:val="left"/>
          <w:tab w:leader="none" w:pos="8780" w:val="left"/>
          <w:tab w:leader="none" w:pos="9600" w:val="left"/>
        </w:tabs>
        <w:rPr>
          <w:sz w:val="20"/>
          <w:szCs w:val="20"/>
          <w:color w:val="auto"/>
        </w:rPr>
      </w:pPr>
      <w:r>
        <w:rPr>
          <w:rFonts w:ascii="Arial" w:cs="Arial" w:eastAsia="Arial" w:hAnsi="Arial"/>
          <w:sz w:val="16"/>
          <w:szCs w:val="16"/>
          <w:color w:val="auto"/>
        </w:rPr>
        <w:t>Non-GAAP diluted EPS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0.77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0.44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0.28</w:t>
      </w:r>
    </w:p>
    <w:p>
      <w:pPr>
        <w:spacing w:after="0" w:line="265" w:lineRule="exact"/>
        <w:rPr>
          <w:sz w:val="20"/>
          <w:szCs w:val="20"/>
          <w:color w:val="auto"/>
        </w:rPr>
      </w:pPr>
    </w:p>
    <w:p>
      <w:pPr>
        <w:ind w:left="340" w:right="2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45-47 for information about these non-GAAP measures and reconciliations to the most comparable GAAP measures.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7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 September 30,</w:t>
            </w:r>
          </w:p>
        </w:tc>
        <w:tc>
          <w:tcPr>
            <w:tcW w:w="37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5140" w:type="dxa"/>
            <w:vAlign w:val="bottom"/>
            <w:gridSpan w:val="2"/>
          </w:tcPr>
          <w:p>
            <w:pPr>
              <w:ind w:left="470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4"/>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4"/>
          </w:tcPr>
          <w:p>
            <w:pPr>
              <w:ind w:left="1180"/>
              <w:spacing w:after="0"/>
              <w:rPr>
                <w:sz w:val="20"/>
                <w:szCs w:val="20"/>
                <w:color w:val="auto"/>
              </w:rPr>
            </w:pPr>
            <w:r>
              <w:rPr>
                <w:rFonts w:ascii="Arial" w:cs="Arial" w:eastAsia="Arial" w:hAnsi="Arial"/>
                <w:sz w:val="16"/>
                <w:szCs w:val="16"/>
                <w:b w:val="1"/>
                <w:bCs w:val="1"/>
                <w:color w:val="auto"/>
              </w:rPr>
              <w:t>(units in thousands)</w:t>
            </w:r>
          </w:p>
        </w:tc>
        <w:tc>
          <w:tcPr>
            <w:tcW w:w="1800" w:type="dxa"/>
            <w:vAlign w:val="bottom"/>
          </w:tcPr>
          <w:p>
            <w:pPr>
              <w:spacing w:after="0"/>
              <w:rPr>
                <w:sz w:val="18"/>
                <w:szCs w:val="18"/>
                <w:color w:val="auto"/>
              </w:rPr>
            </w:pP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13,540</w:t>
            </w:r>
          </w:p>
        </w:tc>
      </w:tr>
      <w:tr>
        <w:trPr>
          <w:trHeight w:val="237"/>
        </w:trPr>
        <w:tc>
          <w:tcPr>
            <w:tcW w:w="514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2,390</w:t>
            </w:r>
          </w:p>
        </w:tc>
        <w:tc>
          <w:tcPr>
            <w:tcW w:w="1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1,930</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6,900</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5,330</w:t>
            </w:r>
          </w:p>
        </w:tc>
      </w:tr>
      <w:tr>
        <w:trPr>
          <w:trHeight w:val="33"/>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1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5,910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6,030</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18,920</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18,870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50"/>
        </w:trPr>
        <w:tc>
          <w:tcPr>
            <w:tcW w:w="514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4,470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4,250</w:t>
            </w:r>
          </w:p>
        </w:tc>
      </w:tr>
      <w:tr>
        <w:trPr>
          <w:trHeight w:val="20"/>
        </w:trPr>
        <w:tc>
          <w:tcPr>
            <w:tcW w:w="4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gridSpan w:val="3"/>
            <w:vMerge w:val="restart"/>
          </w:tcPr>
          <w:p>
            <w:pPr>
              <w:jc w:val="right"/>
              <w:ind w:right="399"/>
              <w:spacing w:after="0"/>
              <w:rPr>
                <w:sz w:val="20"/>
                <w:szCs w:val="20"/>
                <w:color w:val="auto"/>
              </w:rPr>
            </w:pPr>
            <w:r>
              <w:rPr>
                <w:rFonts w:ascii="Arial" w:cs="Arial" w:eastAsia="Arial" w:hAnsi="Arial"/>
                <w:sz w:val="16"/>
                <w:szCs w:val="16"/>
                <w:b w:val="1"/>
                <w:bCs w:val="1"/>
                <w:color w:val="auto"/>
                <w:w w:val="98"/>
              </w:rPr>
              <w:t>Three Months Ended September 30,</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506,859</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469,528</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37,331</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170,749</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147,290</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(2,103)</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25,562</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23,459</w:t>
            </w:r>
          </w:p>
        </w:tc>
        <w:tc>
          <w:tcPr>
            <w:tcW w:w="0" w:type="dxa"/>
            <w:vAlign w:val="bottom"/>
          </w:tcPr>
          <w:p>
            <w:pPr>
              <w:spacing w:after="0"/>
              <w:rPr>
                <w:sz w:val="1"/>
                <w:szCs w:val="1"/>
                <w:color w:val="auto"/>
              </w:rPr>
            </w:pPr>
          </w:p>
        </w:tc>
      </w:tr>
      <w:tr>
        <w:trPr>
          <w:trHeight w:val="681"/>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gridSpan w:val="3"/>
            <w:vMerge w:val="restart"/>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1,517,473</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1,387,085</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(27,691)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158,079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130,388</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503,657</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404,266</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(7,009)</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106,400</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99,391</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Revenues increased </w:t>
      </w:r>
      <w:r>
        <w:rPr>
          <w:rFonts w:ascii="Arial" w:cs="Arial" w:eastAsia="Arial" w:hAnsi="Arial"/>
          <w:sz w:val="17"/>
          <w:szCs w:val="17"/>
          <w:color w:val="000000"/>
        </w:rPr>
        <w:t>$37.3 million</w:t>
      </w:r>
      <w:r>
        <w:rPr>
          <w:rFonts w:ascii="Arial" w:cs="Arial" w:eastAsia="Arial" w:hAnsi="Arial"/>
          <w:sz w:val="17"/>
          <w:szCs w:val="17"/>
          <w:color w:val="222222"/>
        </w:rPr>
        <w:t xml:space="preserve"> and $130.4 million, or 8% and 9%, for the </w:t>
      </w:r>
      <w:r>
        <w:rPr>
          <w:rFonts w:ascii="Arial" w:cs="Arial" w:eastAsia="Arial" w:hAnsi="Arial"/>
          <w:sz w:val="17"/>
          <w:szCs w:val="17"/>
          <w:color w:val="000000"/>
        </w:rPr>
        <w:t>three and nine</w:t>
      </w:r>
      <w:r>
        <w:rPr>
          <w:rFonts w:ascii="Arial" w:cs="Arial" w:eastAsia="Arial" w:hAnsi="Arial"/>
          <w:sz w:val="17"/>
          <w:szCs w:val="17"/>
          <w:color w:val="222222"/>
        </w:rPr>
        <w:t xml:space="preserve"> months ended </w:t>
      </w:r>
      <w:r>
        <w:rPr>
          <w:rFonts w:ascii="Arial" w:cs="Arial" w:eastAsia="Arial" w:hAnsi="Arial"/>
          <w:sz w:val="17"/>
          <w:szCs w:val="17"/>
          <w:color w:val="000000"/>
        </w:rPr>
        <w:t>September 30, 2016</w:t>
      </w:r>
      <w:r>
        <w:rPr>
          <w:rFonts w:ascii="Arial" w:cs="Arial" w:eastAsia="Arial" w:hAnsi="Arial"/>
          <w:sz w:val="17"/>
          <w:szCs w:val="17"/>
          <w:color w:val="222222"/>
        </w:rPr>
        <w:t xml:space="preserve">, compared with the same periods in 2015. Revenues in the Electricity and Gas segments increased by $35.9 million and $7.5 million, respectively, for the three months ended September 30, 2016. Revenues in the Water segment declined $6.0 million during the third quarter of 2016 as compared to the same period in 2015. Revenues in the Electricity, Gas, and Water segments increased by $89.8 million, $32.6 million, and $8.0 million, respectively, for the nine months ended September 30, 2016. The total change in revenues for the </w:t>
      </w:r>
      <w:r>
        <w:rPr>
          <w:rFonts w:ascii="Arial" w:cs="Arial" w:eastAsia="Arial" w:hAnsi="Arial"/>
          <w:sz w:val="17"/>
          <w:szCs w:val="17"/>
          <w:color w:val="000000"/>
        </w:rPr>
        <w:t>three and nine</w:t>
      </w:r>
      <w:r>
        <w:rPr>
          <w:rFonts w:ascii="Arial" w:cs="Arial" w:eastAsia="Arial" w:hAnsi="Arial"/>
          <w:sz w:val="17"/>
          <w:szCs w:val="17"/>
          <w:color w:val="222222"/>
        </w:rPr>
        <w:t xml:space="preserve"> months ended </w:t>
      </w:r>
      <w:r>
        <w:rPr>
          <w:rFonts w:ascii="Arial" w:cs="Arial" w:eastAsia="Arial" w:hAnsi="Arial"/>
          <w:sz w:val="17"/>
          <w:szCs w:val="17"/>
          <w:color w:val="000000"/>
        </w:rPr>
        <w:t>September 30, 2016</w:t>
      </w:r>
      <w:r>
        <w:rPr>
          <w:rFonts w:ascii="Arial" w:cs="Arial" w:eastAsia="Arial" w:hAnsi="Arial"/>
          <w:sz w:val="17"/>
          <w:szCs w:val="17"/>
          <w:color w:val="222222"/>
        </w:rPr>
        <w:t xml:space="preserve"> were unfavorably impacted by $5.2 million and $27.7 million, respectively, due to the effect of changes in foreign currency exchange rates.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10 largest customers accounted for 33% and 31%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nine </w:t>
      </w:r>
      <w:r>
        <w:rPr>
          <w:rFonts w:ascii="Arial" w:cs="Arial" w:eastAsia="Arial" w:hAnsi="Arial"/>
          <w:sz w:val="18"/>
          <w:szCs w:val="18"/>
          <w:color w:val="222222"/>
        </w:rPr>
        <w:t>months ended</w:t>
      </w:r>
      <w:r>
        <w:rPr>
          <w:rFonts w:ascii="Arial" w:cs="Arial" w:eastAsia="Arial" w:hAnsi="Arial"/>
          <w:sz w:val="18"/>
          <w:szCs w:val="18"/>
          <w:color w:val="auto"/>
        </w:rPr>
        <w:t xml:space="preserve"> September 30, 2016, and 24% and 23%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nine </w:t>
      </w:r>
      <w:r>
        <w:rPr>
          <w:rFonts w:ascii="Arial" w:cs="Arial" w:eastAsia="Arial" w:hAnsi="Arial"/>
          <w:sz w:val="18"/>
          <w:szCs w:val="18"/>
          <w:color w:val="222222"/>
        </w:rPr>
        <w:t>months ended</w:t>
      </w:r>
      <w:r>
        <w:rPr>
          <w:rFonts w:ascii="Arial" w:cs="Arial" w:eastAsia="Arial" w:hAnsi="Arial"/>
          <w:sz w:val="18"/>
          <w:szCs w:val="18"/>
          <w:color w:val="auto"/>
        </w:rPr>
        <w:t xml:space="preserve"> September 30, 2015. For further discussion of customer concentrations for the segments and total company, refer to Item 1: “Financial Statements, Note 15: Segment Information.”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third</w:t>
      </w:r>
      <w:r>
        <w:rPr>
          <w:rFonts w:ascii="Arial" w:cs="Arial" w:eastAsia="Arial" w:hAnsi="Arial"/>
          <w:sz w:val="18"/>
          <w:szCs w:val="18"/>
          <w:color w:val="222222"/>
        </w:rPr>
        <w:t xml:space="preserve"> quarter of </w:t>
      </w:r>
      <w:r>
        <w:rPr>
          <w:rFonts w:ascii="Arial" w:cs="Arial" w:eastAsia="Arial" w:hAnsi="Arial"/>
          <w:sz w:val="18"/>
          <w:szCs w:val="18"/>
          <w:color w:val="000000"/>
        </w:rPr>
        <w:t>2016</w:t>
      </w:r>
      <w:r>
        <w:rPr>
          <w:rFonts w:ascii="Arial" w:cs="Arial" w:eastAsia="Arial" w:hAnsi="Arial"/>
          <w:sz w:val="18"/>
          <w:szCs w:val="18"/>
          <w:color w:val="222222"/>
        </w:rPr>
        <w:t xml:space="preserve"> was 33.7%, compared with 31.4% for the same period in </w:t>
      </w:r>
      <w:r>
        <w:rPr>
          <w:rFonts w:ascii="Arial" w:cs="Arial" w:eastAsia="Arial" w:hAnsi="Arial"/>
          <w:sz w:val="18"/>
          <w:szCs w:val="18"/>
          <w:color w:val="000000"/>
        </w:rPr>
        <w:t>2015</w:t>
      </w:r>
      <w:r>
        <w:rPr>
          <w:rFonts w:ascii="Arial" w:cs="Arial" w:eastAsia="Arial" w:hAnsi="Arial"/>
          <w:sz w:val="18"/>
          <w:szCs w:val="18"/>
          <w:color w:val="222222"/>
        </w:rPr>
        <w:t>. The improvement in gross margin was primarily driven by improved revenues and product mix across our Electricity and Gas segments. Gross margin</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for the nine months ended September 30, 2016 was 33.2%, compared with 29.1% for the same period in 2015. The improvement was primarily driven by a significant warranty charge in our Water segment in 2015 that negatively impacted gross margin, as well as improved revenues and product mix in our Electricity and Gas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580" w:type="dxa"/>
            <w:vAlign w:val="bottom"/>
            <w:gridSpan w:val="6"/>
            <w:vMerge w:val="restart"/>
          </w:tcPr>
          <w:p>
            <w:pPr>
              <w:jc w:val="center"/>
              <w:ind w:right="80"/>
              <w:spacing w:after="0"/>
              <w:rPr>
                <w:sz w:val="20"/>
                <w:szCs w:val="20"/>
                <w:color w:val="auto"/>
              </w:rPr>
            </w:pPr>
            <w:r>
              <w:rPr>
                <w:rFonts w:ascii="Arial" w:cs="Arial" w:eastAsia="Arial" w:hAnsi="Arial"/>
                <w:sz w:val="16"/>
                <w:szCs w:val="16"/>
                <w:b w:val="1"/>
                <w:bCs w:val="1"/>
                <w:color w:val="auto"/>
                <w:w w:val="91"/>
              </w:rPr>
              <w:t>Three Months Ended September 30,</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58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39,386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41,559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9,266</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7,869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40,092</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164,339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120,350</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45,158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43,989</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40" w:type="dxa"/>
            <w:vAlign w:val="bottom"/>
          </w:tcPr>
          <w:p>
            <w:pPr>
              <w:spacing w:after="0"/>
              <w:rPr>
                <w:sz w:val="24"/>
                <w:szCs w:val="24"/>
                <w:color w:val="auto"/>
              </w:rPr>
            </w:pPr>
          </w:p>
        </w:tc>
        <w:tc>
          <w:tcPr>
            <w:tcW w:w="3580" w:type="dxa"/>
            <w:vAlign w:val="bottom"/>
            <w:gridSpan w:val="6"/>
            <w:vMerge w:val="restart"/>
          </w:tcPr>
          <w:p>
            <w:pPr>
              <w:jc w:val="center"/>
              <w:ind w:right="80"/>
              <w:spacing w:after="0"/>
              <w:rPr>
                <w:sz w:val="20"/>
                <w:szCs w:val="20"/>
                <w:color w:val="auto"/>
              </w:rPr>
            </w:pPr>
            <w:r>
              <w:rPr>
                <w:rFonts w:ascii="Arial" w:cs="Arial" w:eastAsia="Arial" w:hAnsi="Arial"/>
                <w:sz w:val="16"/>
                <w:szCs w:val="16"/>
                <w:b w:val="1"/>
                <w:bCs w:val="1"/>
                <w:color w:val="auto"/>
                <w:w w:val="91"/>
              </w:rPr>
              <w:t>Nine Months Ended September 30,</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58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119,037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(4,265)</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128,086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126,399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130,781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27,586</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19,002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23,730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(4,728)</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50,122</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438,200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367,798</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(5,968)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76,370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70,402</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$44.0 million for the three months ended September 30, 2016 as compared with the same period in 2015. The increase was primarily related to an increase in restructuring expense of $40.1 million, and an increase in general and administrative expense of $9.3 million related to increased professional services costs in 2016 and a $3.4 million litigation recovery that reduced general and administrative expenses during the third quarter of 2015.</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expenses increased $70.4 million for the nine months ended September 30, 2016 as compared with the same period in 2015. The increase was primarily related to an increase in restructuring expense of $50.1 million, and an increase in general and administrative expense of $27.6 million due to increased legal costs and professional services in 2016, and an $8.0 million litigation recovery that reduced these expenses in 2015.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36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160"/>
              <w:spacing w:after="0"/>
              <w:rPr>
                <w:sz w:val="20"/>
                <w:szCs w:val="20"/>
                <w:color w:val="auto"/>
              </w:rPr>
            </w:pPr>
            <w:r>
              <w:rPr>
                <w:rFonts w:ascii="Arial" w:cs="Arial" w:eastAsia="Arial" w:hAnsi="Arial"/>
                <w:sz w:val="16"/>
                <w:szCs w:val="16"/>
                <w:b w:val="1"/>
                <w:bCs w:val="1"/>
                <w:color w:val="auto"/>
              </w:rPr>
              <w:t>Nine Months Ended September 30,</w:t>
            </w:r>
          </w:p>
        </w:tc>
        <w:tc>
          <w:tcPr>
            <w:tcW w:w="8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 Change</w:t>
            </w:r>
          </w:p>
        </w:tc>
        <w:tc>
          <w:tcPr>
            <w:tcW w:w="280" w:type="dxa"/>
            <w:vAlign w:val="bottom"/>
          </w:tcPr>
          <w:p>
            <w:pPr>
              <w:spacing w:after="0"/>
              <w:rPr>
                <w:sz w:val="20"/>
                <w:szCs w:val="20"/>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8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35%</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(2,419)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(2,526)</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(7,538)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(7,485)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6"/>
              </w:rPr>
              <w:t>1%</w:t>
            </w:r>
          </w:p>
        </w:tc>
      </w:tr>
      <w:tr>
        <w:trPr>
          <w:trHeight w:val="33"/>
        </w:trPr>
        <w:tc>
          <w:tcPr>
            <w:tcW w:w="2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(56)%</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3"/>
              </w:rPr>
              <w:t>(64)%</w:t>
            </w:r>
          </w:p>
        </w:tc>
      </w:tr>
      <w:tr>
        <w:trPr>
          <w:trHeight w:val="33"/>
        </w:trPr>
        <w:tc>
          <w:tcPr>
            <w:tcW w:w="2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(1,882)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(26)%</w:t>
            </w:r>
          </w:p>
        </w:tc>
      </w:tr>
      <w:tr>
        <w:trPr>
          <w:trHeight w:val="20"/>
        </w:trPr>
        <w:tc>
          <w:tcPr>
            <w:tcW w:w="2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other income (expense) for the three months ended September 30, 2016 was a net expense of $1.9 million compared with $3.7 million in the same period in 2015. Total other income (expense) for the nine months ended September 30, 2016 was a net expense of $8.8 million compared with $11.9 million in the same period in 2015. The other income (expense), net, change for the three and nine months ended September 30, 2016 as compared with the same period in 2015 was due to fluctuations in the recognized foreign currency exchange gains and losses due to balances denominated in a currency other than the reporting entity's functional currency.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September 30, 2016, the income tax provisions were $13.4 million and $34.2 million compared with $9.9 million and $19.1 million for the same periods in 2015. Our tax rates for the three and nine months ended September 30, 2016 of 297% and 60% differed from the federal statutory rate of 35% due to the forecasted mix of earnings in domestic and international jurisdictions and losses, in particular related to restructuring charges recognized during the third quarter, experienced in jurisdictions with valuation allowances on deferred tax assets. Our tax rates for the three and nine months ended September 30, 2015 of 43% and 78% differed from the federal statutory rate of 35% due to the forecasted mix of earnings in domestic and international jurisdictions, valuation allowances, and discrete tax items.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3"/>
              </w:rPr>
              <w:t>Nine Months Ended September 30,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20" w:type="dxa"/>
            <w:vAlign w:val="bottom"/>
          </w:tcPr>
          <w:p>
            <w:pPr>
              <w:spacing w:after="0"/>
              <w:rPr>
                <w:sz w:val="22"/>
                <w:szCs w:val="22"/>
                <w:color w:val="auto"/>
              </w:rPr>
            </w:pPr>
          </w:p>
        </w:tc>
        <w:tc>
          <w:tcPr>
            <w:tcW w:w="1500" w:type="dxa"/>
            <w:vAlign w:val="bottom"/>
            <w:gridSpan w:val="4"/>
          </w:tcPr>
          <w:p>
            <w:pPr>
              <w:jc w:val="center"/>
              <w:ind w:left="649"/>
              <w:spacing w:after="0"/>
              <w:rPr>
                <w:sz w:val="20"/>
                <w:szCs w:val="20"/>
                <w:color w:val="auto"/>
              </w:rPr>
            </w:pPr>
            <w:r>
              <w:rPr>
                <w:rFonts w:ascii="Arial" w:cs="Arial" w:eastAsia="Arial" w:hAnsi="Arial"/>
                <w:sz w:val="13"/>
                <w:szCs w:val="13"/>
                <w:b w:val="1"/>
                <w:bCs w:val="1"/>
                <w:color w:val="auto"/>
                <w:w w:val="87"/>
              </w:rPr>
              <w:t>(in thousands)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242,667</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206,810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9"/>
              </w:rPr>
              <w:t>17%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692,785</w:t>
            </w:r>
          </w:p>
        </w:tc>
        <w:tc>
          <w:tcPr>
            <w:tcW w:w="3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602,999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144,185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136,726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8"/>
              </w:rPr>
              <w:t>5%</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433,707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401,099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88"/>
              </w:rPr>
              <w:t>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120,007</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125,992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4"/>
              </w:rPr>
              <w:t>(5)%</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390,981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382,987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506,859</w:t>
            </w:r>
          </w:p>
        </w:tc>
        <w:tc>
          <w:tcPr>
            <w:tcW w:w="5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469,528</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8"/>
              </w:rPr>
              <w:t>8%</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1,517,473</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1,387,085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88"/>
              </w:rPr>
              <w:t>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6"/>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89"/>
              </w:rPr>
              <w:t>2016</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98"/>
              </w:rPr>
              <w:t>Profit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Gross Profit and</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75,362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68"/>
              <w:spacing w:after="0"/>
              <w:rPr>
                <w:sz w:val="20"/>
                <w:szCs w:val="20"/>
                <w:color w:val="auto"/>
              </w:rPr>
            </w:pPr>
            <w:r>
              <w:rPr>
                <w:rFonts w:ascii="Arial" w:cs="Arial" w:eastAsia="Arial" w:hAnsi="Arial"/>
                <w:sz w:val="14"/>
                <w:szCs w:val="14"/>
                <w:color w:val="auto"/>
                <w:w w:val="90"/>
              </w:rPr>
              <w:t>31.1%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56,385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210,840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30.4%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163,330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27.1%</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56,096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center"/>
              <w:ind w:right="268"/>
              <w:spacing w:after="0"/>
              <w:rPr>
                <w:sz w:val="20"/>
                <w:szCs w:val="20"/>
                <w:color w:val="auto"/>
              </w:rPr>
            </w:pPr>
            <w:r>
              <w:rPr>
                <w:rFonts w:ascii="Arial" w:cs="Arial" w:eastAsia="Arial" w:hAnsi="Arial"/>
                <w:sz w:val="14"/>
                <w:szCs w:val="14"/>
                <w:color w:val="auto"/>
                <w:w w:val="90"/>
              </w:rPr>
              <w:t>38.9%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46,790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158,156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color w:val="auto"/>
                <w:w w:val="90"/>
              </w:rPr>
              <w:t>36.5%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134,854</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33.6%</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39,291</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68"/>
              <w:spacing w:after="0"/>
              <w:rPr>
                <w:sz w:val="20"/>
                <w:szCs w:val="20"/>
                <w:color w:val="auto"/>
              </w:rPr>
            </w:pPr>
            <w:r>
              <w:rPr>
                <w:rFonts w:ascii="Arial" w:cs="Arial" w:eastAsia="Arial" w:hAnsi="Arial"/>
                <w:sz w:val="14"/>
                <w:szCs w:val="14"/>
                <w:color w:val="auto"/>
                <w:w w:val="90"/>
              </w:rPr>
              <w:t>32.7%</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44,115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134,661</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34.4%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106,082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27.7%</w:t>
            </w:r>
          </w:p>
        </w:tc>
        <w:tc>
          <w:tcPr>
            <w:tcW w:w="0" w:type="dxa"/>
            <w:vAlign w:val="bottom"/>
          </w:tcPr>
          <w:p>
            <w:pPr>
              <w:spacing w:after="0"/>
              <w:rPr>
                <w:sz w:val="1"/>
                <w:szCs w:val="1"/>
                <w:color w:val="auto"/>
              </w:rPr>
            </w:pPr>
          </w:p>
        </w:tc>
      </w:tr>
      <w:tr>
        <w:trPr>
          <w:trHeight w:val="137"/>
        </w:trPr>
        <w:tc>
          <w:tcPr>
            <w:tcW w:w="1960" w:type="dxa"/>
            <w:vAlign w:val="bottom"/>
          </w:tcPr>
          <w:p>
            <w:pPr>
              <w:ind w:left="660"/>
              <w:spacing w:after="0" w:line="137" w:lineRule="exact"/>
              <w:rPr>
                <w:sz w:val="20"/>
                <w:szCs w:val="20"/>
                <w:color w:val="auto"/>
              </w:rPr>
            </w:pPr>
            <w:r>
              <w:rPr>
                <w:rFonts w:ascii="Arial" w:cs="Arial" w:eastAsia="Arial" w:hAnsi="Arial"/>
                <w:sz w:val="14"/>
                <w:szCs w:val="14"/>
                <w:color w:val="auto"/>
                <w:w w:val="97"/>
              </w:rPr>
              <w:t>Total gross profit and</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170,749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147,290</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503,657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404,266</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660"/>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w w:val="90"/>
              </w:rPr>
              <w:t>33.7%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31.4%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color w:val="auto"/>
                <w:w w:val="90"/>
              </w:rPr>
              <w:t>33.2%</w:t>
            </w: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29.1%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3"/>
              </w:rPr>
              <w:t>Nine Months Ended September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5"/>
              </w:rPr>
              <w:t>Segment Operating Expenses</w:t>
            </w:r>
          </w:p>
        </w:tc>
        <w:tc>
          <w:tcPr>
            <w:tcW w:w="120" w:type="dxa"/>
            <w:vAlign w:val="bottom"/>
          </w:tcPr>
          <w:p>
            <w:pPr>
              <w:spacing w:after="0"/>
              <w:rPr>
                <w:sz w:val="22"/>
                <w:szCs w:val="22"/>
                <w:color w:val="auto"/>
              </w:rPr>
            </w:pPr>
          </w:p>
        </w:tc>
        <w:tc>
          <w:tcPr>
            <w:tcW w:w="1500" w:type="dxa"/>
            <w:vAlign w:val="bottom"/>
            <w:gridSpan w:val="4"/>
          </w:tcPr>
          <w:p>
            <w:pPr>
              <w:jc w:val="center"/>
              <w:ind w:left="649"/>
              <w:spacing w:after="0"/>
              <w:rPr>
                <w:sz w:val="20"/>
                <w:szCs w:val="20"/>
                <w:color w:val="auto"/>
              </w:rPr>
            </w:pPr>
            <w:r>
              <w:rPr>
                <w:rFonts w:ascii="Arial" w:cs="Arial" w:eastAsia="Arial" w:hAnsi="Arial"/>
                <w:sz w:val="13"/>
                <w:szCs w:val="13"/>
                <w:b w:val="1"/>
                <w:bCs w:val="1"/>
                <w:color w:val="auto"/>
                <w:w w:val="87"/>
              </w:rPr>
              <w:t>(in thousands)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54,910</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9"/>
              </w:rPr>
              <w:t>18%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159,748</w:t>
            </w:r>
          </w:p>
        </w:tc>
        <w:tc>
          <w:tcPr>
            <w:tcW w:w="3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148,372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48,960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30,954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9"/>
              </w:rPr>
              <w:t>58%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109,345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89,868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9"/>
              </w:rPr>
              <w:t>44%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105,954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94,667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center"/>
              <w:ind w:right="49"/>
              <w:spacing w:after="0"/>
              <w:rPr>
                <w:sz w:val="20"/>
                <w:szCs w:val="20"/>
                <w:color w:val="auto"/>
              </w:rPr>
            </w:pPr>
            <w:r>
              <w:rPr>
                <w:rFonts w:ascii="Arial" w:cs="Arial" w:eastAsia="Arial" w:hAnsi="Arial"/>
                <w:sz w:val="14"/>
                <w:szCs w:val="14"/>
                <w:color w:val="auto"/>
                <w:w w:val="99"/>
              </w:rPr>
              <w:t>36%</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63,153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34,891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ind w:right="29"/>
              <w:spacing w:after="0"/>
              <w:rPr>
                <w:sz w:val="20"/>
                <w:szCs w:val="20"/>
                <w:color w:val="auto"/>
              </w:rPr>
            </w:pPr>
            <w:r>
              <w:rPr>
                <w:rFonts w:ascii="Arial" w:cs="Arial" w:eastAsia="Arial" w:hAnsi="Arial"/>
                <w:sz w:val="14"/>
                <w:szCs w:val="14"/>
                <w:color w:val="auto"/>
                <w:w w:val="92"/>
              </w:rPr>
              <w:t>81%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Total operating expenses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164,339</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120,350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9"/>
              </w:rPr>
              <w:t>37%</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438,200</w:t>
            </w:r>
          </w:p>
        </w:tc>
        <w:tc>
          <w:tcPr>
            <w:tcW w:w="3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367,798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gridSpan w:val="6"/>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gridSpan w:val="6"/>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89"/>
              </w:rPr>
              <w:t>2016</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88"/>
              </w:rPr>
              <w:t>Income (Loss)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Operating Income</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w w:val="99"/>
              </w:rPr>
              <w:t>(Loss) and Operating 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88"/>
              <w:spacing w:after="0"/>
              <w:rPr>
                <w:sz w:val="20"/>
                <w:szCs w:val="20"/>
                <w:color w:val="auto"/>
              </w:rPr>
            </w:pPr>
            <w:r>
              <w:rPr>
                <w:rFonts w:ascii="Arial" w:cs="Arial" w:eastAsia="Arial" w:hAnsi="Arial"/>
                <w:sz w:val="14"/>
                <w:szCs w:val="14"/>
                <w:color w:val="auto"/>
                <w:w w:val="93"/>
              </w:rPr>
              <w:t>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9,819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51,092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3"/>
              </w:rPr>
              <w:t>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14,958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center"/>
              <w:ind w:right="288"/>
              <w:spacing w:after="0"/>
              <w:rPr>
                <w:sz w:val="20"/>
                <w:szCs w:val="20"/>
                <w:color w:val="auto"/>
              </w:rPr>
            </w:pPr>
            <w:r>
              <w:rPr>
                <w:rFonts w:ascii="Arial" w:cs="Arial" w:eastAsia="Arial" w:hAnsi="Arial"/>
                <w:sz w:val="14"/>
                <w:szCs w:val="14"/>
                <w:color w:val="auto"/>
                <w:w w:val="93"/>
              </w:rPr>
              <w:t>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15,836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11.6%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color w:val="auto"/>
                <w:w w:val="90"/>
              </w:rPr>
              <w:t>11.3%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44,986</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11.2%</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68"/>
              <w:spacing w:after="0"/>
              <w:rPr>
                <w:sz w:val="20"/>
                <w:szCs w:val="20"/>
                <w:color w:val="auto"/>
              </w:rPr>
            </w:pPr>
            <w:r>
              <w:rPr>
                <w:rFonts w:ascii="Arial" w:cs="Arial" w:eastAsia="Arial" w:hAnsi="Arial"/>
                <w:sz w:val="14"/>
                <w:szCs w:val="14"/>
                <w:color w:val="auto"/>
                <w:w w:val="96"/>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14,265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3"/>
              </w:rPr>
              <w:t>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11,415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(12,980)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(63,153)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(34,891)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6,410</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288"/>
              <w:spacing w:after="0"/>
              <w:rPr>
                <w:sz w:val="20"/>
                <w:szCs w:val="20"/>
                <w:color w:val="auto"/>
              </w:rPr>
            </w:pPr>
            <w:r>
              <w:rPr>
                <w:rFonts w:ascii="Arial" w:cs="Arial" w:eastAsia="Arial" w:hAnsi="Arial"/>
                <w:sz w:val="14"/>
                <w:szCs w:val="14"/>
                <w:color w:val="auto"/>
                <w:w w:val="93"/>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26,940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65,457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128"/>
              <w:spacing w:after="0"/>
              <w:rPr>
                <w:sz w:val="20"/>
                <w:szCs w:val="20"/>
                <w:color w:val="auto"/>
              </w:rPr>
            </w:pPr>
            <w:r>
              <w:rPr>
                <w:rFonts w:ascii="Arial" w:cs="Arial" w:eastAsia="Arial" w:hAnsi="Arial"/>
                <w:sz w:val="14"/>
                <w:szCs w:val="14"/>
                <w:color w:val="auto"/>
                <w:w w:val="93"/>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36,468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58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242,667</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35,857</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75,362</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56,385</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(1,555)</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20,532</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18,977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54,910</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46,566</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9,099</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8,344</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358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692,785</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602,999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104,119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89,786</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210,840</w:t>
            </w:r>
          </w:p>
        </w:tc>
        <w:tc>
          <w:tcPr>
            <w:tcW w:w="5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163,330</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(3,880)</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51,390</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47,510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159,748</w:t>
            </w:r>
          </w:p>
        </w:tc>
        <w:tc>
          <w:tcPr>
            <w:tcW w:w="5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148,372</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(2,864)</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14,240</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11,376</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2016 vs. Three months ended September 30,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$35.9 million, or 17%, for the three months ended September 30, 2016, compared with the same period in 2015. This increase was primarily driven by increased product revenues from advanced and smart meter sales in North America and Europe, Middle East, and Africa (EMEA). These improvements were partially offset by declines in EMEA service revenues. The total change in Electricity revenues was unfavorably impacted by $2.8 million due to the effect of changes in foreign currency exchange rates.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2016 vs. Nine months ended September 30,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$89.8 million, or 15%, for the nine months ended September 30, 2016, compared with the same period in 2015. Revenues were higher in 2016 primarily due to increased product revenues and professional services in North America. Increased EMEA product revenues also contributed to the growth while EMEA service revenues declined during the period. The total change in Electricity revenues was unfavorably impacted by $14.3 million due to the effect of changes in foreign currency exchange rates.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2016 vs. Three months ended September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31.1% for the three months ended September 30, 2016, compared with 27.3% for the same period in 2015. The 380 basis point increase over the prior year was primarily the result of an improved product mix and volumes.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2016 vs. Nine months ended September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2016, gross margin was 30.4%, compared with 27.1% for the same period in 2015. The 330 basis point improvement over the prior year was primarily the result of increased revenue from higher margin smart meters.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2016 vs. Three months ended September 30, 2015</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increased $8.3 million, or 18%, for the three months ended September 30, 2016, compared with the same period in 2015. The increase was caused by a $5.4 million increase in general and administrative expense, primarily due to a $3.4 million reimbursement received in 2015 related to the settlement of litigation arising from the SmartSynch acquisition. In addition, the recognition of the 2016 Projects in the third quarter of 2016 resulted in an increase in restructuring expense as compared to 2015. These increases were partially offset by decreases in amortization of intangible assets, product development, and sales and marketing expenses.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2016 vs. Nine months ended September 30,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$11.4 million, or 8%, for the nine months ended September 30, 2016, compared with the same period in 2015. The increase resulted primarily from receiving a reimbursement of $8.0 million in 2015 related to the settlement of litigation arising from the SmartSynch acquisition. In addition, restructuring expense increased in 2016 following the recognition of the 2016 Projects. These increases were partially offset by decreases in sales and marketing, product development, and amortization of intangible assets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changes in foreign currency exchange rates and the constant currency changes in certain Gas segment financial results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480" w:type="dxa"/>
            <w:vAlign w:val="bottom"/>
            <w:gridSpan w:val="4"/>
            <w:vMerge w:val="restart"/>
          </w:tcPr>
          <w:p>
            <w:pPr>
              <w:jc w:val="right"/>
              <w:ind w:right="399"/>
              <w:spacing w:after="0"/>
              <w:rPr>
                <w:sz w:val="20"/>
                <w:szCs w:val="20"/>
                <w:color w:val="auto"/>
              </w:rPr>
            </w:pPr>
            <w:r>
              <w:rPr>
                <w:rFonts w:ascii="Arial" w:cs="Arial" w:eastAsia="Arial" w:hAnsi="Arial"/>
                <w:sz w:val="16"/>
                <w:szCs w:val="16"/>
                <w:b w:val="1"/>
                <w:bCs w:val="1"/>
                <w:color w:val="auto"/>
              </w:rPr>
              <w:t>Three Months Ended September 30,</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144,185</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136,726</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7,459</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56,096</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46,790</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9,581</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9,306</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48,960</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30,954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18,299</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18,006</w:t>
            </w: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4"/>
                <w:szCs w:val="24"/>
                <w:color w:val="auto"/>
              </w:rPr>
            </w:pPr>
          </w:p>
        </w:tc>
        <w:tc>
          <w:tcPr>
            <w:tcW w:w="348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433,707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401,099</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32,608</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158,156</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134,854</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(780)</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24,082</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23,302</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109,345</w:t>
            </w:r>
          </w:p>
        </w:tc>
        <w:tc>
          <w:tcPr>
            <w:tcW w:w="4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89,868</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(954)</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20,431</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19,477</w:t>
            </w:r>
          </w:p>
        </w:tc>
        <w:tc>
          <w:tcPr>
            <w:tcW w:w="0" w:type="dxa"/>
            <w:vAlign w:val="bottom"/>
          </w:tcPr>
          <w:p>
            <w:pPr>
              <w:spacing w:after="0"/>
              <w:rPr>
                <w:sz w:val="1"/>
                <w:szCs w:val="1"/>
                <w:color w:val="auto"/>
              </w:rPr>
            </w:pPr>
          </w:p>
        </w:tc>
      </w:tr>
      <w:tr>
        <w:trPr>
          <w:trHeight w:val="33"/>
        </w:trPr>
        <w:tc>
          <w:tcPr>
            <w:tcW w:w="3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2016 vs. Three months ended September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$7.5 million, or 5%, for the three months ended September 30, 2016 compared with the same period in 2015. This was primarily due to an increase in product sales in North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2016 vs. Nine months ended September 30, 2015</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Revenues increased $32.6 million, or 8%, for the nine months ended September 30, 2016, compared with the same period in 2015. This was due an increase in product sales in North America, EMEA, and Asia Pacific. The total change in Gas revenues was unfavorably impacted by $5.1 million due to the effect of changes in foreign currency exchange rates.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2016 vs. Three months ended September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38.9% for the three months ended September 30, 2016, compared with 34.2% for the same period in 2015. The 470 basis point increase was related to increased sales of higher margin products in North America and improved margins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2016 vs. Nine months ended September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36.5% for the nine months ended September 30, 2016, compared with 33.6% for the same period in 2015. The increase of 290 basis points was related to improved product mix and increased volumes.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2016 vs. Three months ended September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$18.0 million, or 58%, for the three months ended September 30, 2016, compared with the same period in 2015. The increase was primarily due to higher restructuring expense following the recognition of the 2016 Projects, partially offset by a decrease in general and administrative expense.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2016 vs. Nine months ended September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$19.5 million, or 22%, for the nine months ended September 30, 2016, compared with the same period in 2015. The increase was primarily due to higher restructuring expenses following the recognition of the 2016 Projects, partially offset by a decrease in general and administrative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480" w:type="dxa"/>
            <w:vAlign w:val="bottom"/>
            <w:gridSpan w:val="4"/>
            <w:vMerge w:val="restart"/>
          </w:tcPr>
          <w:p>
            <w:pPr>
              <w:jc w:val="right"/>
              <w:ind w:right="399"/>
              <w:spacing w:after="0"/>
              <w:rPr>
                <w:sz w:val="20"/>
                <w:szCs w:val="20"/>
                <w:color w:val="auto"/>
              </w:rPr>
            </w:pPr>
            <w:r>
              <w:rPr>
                <w:rFonts w:ascii="Arial" w:cs="Arial" w:eastAsia="Arial" w:hAnsi="Arial"/>
                <w:sz w:val="16"/>
                <w:szCs w:val="16"/>
                <w:b w:val="1"/>
                <w:bCs w:val="1"/>
                <w:color w:val="auto"/>
              </w:rPr>
              <w:t>Three Months Ended September 30,</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120,007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125,992</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(5,985)</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39,291</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44,115</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(4,551)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(4,824)</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42,837</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29,850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12,902</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12,987</w:t>
            </w: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4"/>
                <w:szCs w:val="24"/>
                <w:color w:val="auto"/>
              </w:rPr>
            </w:pPr>
          </w:p>
        </w:tc>
        <w:tc>
          <w:tcPr>
            <w:tcW w:w="348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390,981</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382,987</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134,661</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106,082</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(2,349)</w:t>
            </w: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30,928</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28,579</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105,954</w:t>
            </w:r>
          </w:p>
        </w:tc>
        <w:tc>
          <w:tcPr>
            <w:tcW w:w="4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94,667</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12,169</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11,287</w:t>
            </w:r>
          </w:p>
        </w:tc>
        <w:tc>
          <w:tcPr>
            <w:tcW w:w="0" w:type="dxa"/>
            <w:vAlign w:val="bottom"/>
          </w:tcPr>
          <w:p>
            <w:pPr>
              <w:spacing w:after="0"/>
              <w:rPr>
                <w:sz w:val="1"/>
                <w:szCs w:val="1"/>
                <w:color w:val="auto"/>
              </w:rPr>
            </w:pPr>
          </w:p>
        </w:tc>
      </w:tr>
      <w:tr>
        <w:trPr>
          <w:trHeight w:val="33"/>
        </w:trPr>
        <w:tc>
          <w:tcPr>
            <w:tcW w:w="3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2016 vs. Three months ended September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decreased $6.0 million, or 5%, for the three months ended September 30, 2016, compared with the third quarter of 2015. This was primarily due to lower meter volumes in EMEA and Asia Pacific.</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2016 vs. Nine months ended September 30, 2015</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increased $8.0 million, or 2%, for the nine months ended September 30, 2016, compared with the same period last year. This increase was primarily due to increased product revenues in North America and EMEA. This was partially offset by lower revenues in Latin America. The total change in Water revenues was unfavorably impacted by $8.2 million due to the effect of changes in foreign currency exchange rates.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2016 vs. Three months ended September 30,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third quarter of 2016 gross margin decreased to 32.7%, compared with 35.0% in 2015. The decrease in gross margin was driven by unfavorable product mix in EMEA and Latin America, as well as lower volumes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2016 vs. Nine months ended September 30,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increased to 34.4% for the nine months ended September 30, 2016, compared with 27.7% for the same period last year, driven by reduced warranty charges in 2016. The nine months ended September 30, 2015 included a $28.2 million warranty accrual associated with our preliminary failure estimates for certain communication modules manufactured between July 2013 and December 2014. This additional warranty expense reduced gross margin by 7.4 percentage points during the nine months ended September 30, 2015.</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2016 vs. Three months ended September 30, 2015</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expenses for the three months ended September 30, 2016 increased by $13.0 million, or 44%, compared with the third quarter of 2015. The increase was primarily due to restructuring expense associated with the 2016 Projects that was recognized during the third quarter of 2016.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2016 vs. Nine months ended September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nine months ended September 30, 2016 increased by $11.3 million, or 12%, compared with the same period last year. The increase was primarily due to restructuring expense associated with the 2016 Projects recognized during the third quarter of 2016, partially offset by a decrease in general and administrative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September 30, 2016 vs. Three months ended September 30, 2015</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increased by $4.7 million, or 36%, for the three months ended September 30, 2016 compared with the same period in 2015. The increase was primarily due to increased professional service fees associated with the revision of previously issued financial statements, as discussed in our 2015 Annual Report on Form 10-K, along with increased legal costs.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Nine months ended September 30, 2016 vs. Nine months ended September 30,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unallocated expenses increased by $28.3 million or 81%, for the nine months ended September 30, 2016 compared with the same period in 2015. The increase was primarily due to increased professional service fees associated with the revision of previously issued financial statements, as discussed in our 2015 Annual Report on Form 10-K, along with increased legal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fluctuations in foreign currency exchange rates, and other factors.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Backlog</w:t>
            </w:r>
            <w:r>
              <w:rPr>
                <w:rFonts w:ascii="Arial" w:cs="Arial" w:eastAsia="Arial" w:hAnsi="Arial"/>
                <w:sz w:val="21"/>
                <w:szCs w:val="21"/>
                <w:b w:val="1"/>
                <w:bCs w:val="1"/>
                <w:color w:val="auto"/>
                <w:w w:val="88"/>
                <w:vertAlign w:val="superscript"/>
              </w:rPr>
              <w:t>(1)</w:t>
            </w:r>
          </w:p>
        </w:tc>
        <w:tc>
          <w:tcPr>
            <w:tcW w:w="540" w:type="dxa"/>
            <w:vAlign w:val="bottom"/>
          </w:tcPr>
          <w:p>
            <w:pPr>
              <w:spacing w:after="0"/>
              <w:rPr>
                <w:sz w:val="21"/>
                <w:szCs w:val="21"/>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231"/>
        </w:trPr>
        <w:tc>
          <w:tcPr>
            <w:tcW w:w="4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2016</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670</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1,511</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2016</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349</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1,345</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688</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2015</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822</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1,575</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836</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2015</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337</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1,252</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left="340" w:hanging="332"/>
        <w:spacing w:after="0" w:line="239" w:lineRule="auto"/>
        <w:tabs>
          <w:tab w:leader="none" w:pos="34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The March 31, 2016 ending total backlog was adjusted for an error as the prior periods’ backlog did not reflect the deferral of 2011 and 2012 revenues as disclosed in our 2015 Annual Report on Form 10-K (2015 Form 10-K). This revenue deferral was properly recorded as a beginning retained earnings balance adjustment for the year ended December 31, 2013 in the 2015 Form 10-K. The total backlog was adjusted upward by approximately $29 million, which is not considered 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2016</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June 30, 2016</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2015</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822</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2015</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20,154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(32,772)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(38,533)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(30,696)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28,355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1,949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(12,889)</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20,362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$151.4 million at September 30, 2016, compared with $131.0 million at December 31, 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provided by operating activities during the nine months ended September 30, 2016 was $81.9 million compared with $20.2 million during the same period in 2015. The increase in cash provided was primarily due to an improvement in net income adjusted for non-cash items and changes in operating asset and liabilities. These adjustments include a $76.7 million decreased use of cash for inventory caused by a prior year buildup for expected demand in North America and EMEA. In addition, $40.0 million of restructuring expense was recognized related to the 2016 Projects, much of which will be paid in future periods. These improvements were offset by the $28.2 million warranty charge recorded during the nine months ended September 30, 2015 related to a product replacement notification to customers of our Water business line, for which many replacements have been processed during 2016.</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Cash used by investing activities during the nine months ended September 30, 2016 was $5.8 million lower compared with the same period in 2015.</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by financing activities during the nine months ended September 30, 2016 was $30.7 million, compared with a cash source of $28.4 million for the same period in 2015. The increased use of cash by financing activities is primarily a result of repaying $29.0 million of borrowings in the nine months ended September 30, 2016, compared to utilizing $59.5 million of net proceeds and payments during the same period in 2015, as free cash flow was sufficient to fund operating and investing activities and pay down existing debt. This was partially offset by a $35.3 million reduction in cash used for repurchases of common stock during the nine months ended September 30, 2016, compared with the same period in 2015.</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nine months ended September 30, 2016 was an increase of $1.9 million, compared with a decrease of $12.9 million for the same period in 2015. The impact of exchange rates is the result of an increase in U.S. dollar value compared with most foreign currencies during the nine months ended September 30, 2015.</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provided by (used in) operating activities as a measure of liquidity. We calculate free cash flows, using amounts from our Consolidated Statements of Cash Flows,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20,154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(30,563)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(33,324)</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51,318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(13,170)</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Free cash flow increased primarily as a result of higher cash provided by operating activities. See the cash flow discussion of operating activities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2016 and December 31, 2015 that we believe are reasonably likely to have a current or future effect on our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$352.5 million at September 30, 2016, compared with $281.2 million at December 31, 2015.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consists of a $225 million U.S. dollar term loan and a multicurrency revolving line of credit (the revolver) with a principal amount of up to $500 million. The revolver also contains a $250 million letter of credit sub-facility and a $50 million swingline sub-facility (available for immediate cash needs at a higher interest rate). At September 30, 2016, $132.6 million was outstanding under the revolver, and $321.3 million was available for additional borrowings or standby letters of credit. At September 30, 2016, $46.1 million was utilized by outstanding standby letters of credit, resulting in $203.9 million available for additional letters of credit.</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2015 credit facility includes debt covenants, which contain certain financial ratio thresholds, place certain restrictions on the incurrence of debt, investments, and the issuance of dividends, and require quarterly unaudited and annual audited financial reporting. We were not in compliance with the financial reporting portion of these covenants under the 2015 credit facility at June 30, 2016. On April 1, 2016 and June 13, 2016, we entered into the first and second amendments to the 2015 credit facility. As a result of these amendments, we were granted waivers that extended the due dates for annual audited financial statements for the year ended December 31, 2015 and quarterly unaudited financial statements for the periods ended March 31, 2016 and June 30, 2016 through September 12, 2016, and our $300 million standby letter of credit sub-facility was reduced to $250 million. We regained compliance with all financial reporting covenants upon filing our Quarterly Report on Form 10-Q for the fiscal quarter ended June 30, 2016 on September 2,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2015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substantially complete the 2016 Projects by the end of 2018. Many of the affected employees are represented by unions or works councils, which requires consultation, and potential restructuring projects may be subject to regulatory approval, both of which could impact the timing of charges, total expected charges, costs recognized, and planned savings in certain jurisdictions.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pre-tax restructuring charges associated with the 2016 Projects of approximately $66 million, with expected annualized savings of approximately $40 million upon completion. Of the total estimated charge, more than 90% is expected to result in cash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2016, $49.8 million was accrued for the restructuring projects, of which $20.3 million is expected to be paid over the next 12 months.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Note 12: Restructuring.”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$5 million in state taxes, $9 million in U.S federal taxes, and $14 million in local and foreign taxes during 2016.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September 30, 2016, we are under examination by certain tax authorities for the 2000 to 2014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September 30, 2016, there was $36.5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Approximately $21.6 million of our consolidated cash balance at September 30, 2016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2016, we have accrued $18.2 million of bonus and profit sharing plans expense for the expected achievement of annual financial and nonfinancial targets, which will be paid in cash during the first quarter of 2017.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2015, which was filed with the SEC on June 30, 2016,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2015 Annual Report on Form 10-K and have not changed materially from that discussion, with the following exception.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 various stock-based compensation awards to our officers, employees and Board of Directors with service, market, and/or performance vesting conditions. Beginning with the fiscal quarter ended March 31, 2016, we granted phantom stock units which are settled in cash upon vesting and accounted for as liability-based awards.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 as a means for determining executive compensation. These non-GAAP financial measures facilitate management's internal comparisons to our historical performance.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Non-GAAP net income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non-GAAP diluted EPS</w:t>
      </w:r>
      <w:r>
        <w:rPr>
          <w:rFonts w:ascii="Arial" w:cs="Arial" w:eastAsia="Arial" w:hAnsi="Arial"/>
          <w:sz w:val="18"/>
          <w:szCs w:val="18"/>
          <w:color w:val="auto"/>
        </w:rPr>
        <w:t xml:space="preserve"> – We define non-GAAP net income as net income (loss) attributable to Itron, Inc. excluding the expenses associated with amortization of intangible assets, restructuring, acquisitions, goodwill impairment, amortization of debt placement fees,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Adjusted EBITDA</w:t>
      </w:r>
      <w:r>
        <w:rPr>
          <w:rFonts w:ascii="Arial" w:cs="Arial" w:eastAsia="Arial" w:hAnsi="Arial"/>
          <w:sz w:val="16"/>
          <w:szCs w:val="16"/>
          <w:color w:val="auto"/>
        </w:rPr>
        <w:t xml:space="preserve"> – We define adjusted EBITDA as net income (a) minus interest income, (b) plus interest expense, depreciation, amortization of intangible assets, restructuring,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reconciles the non-GAAP financial measures of operating expenses, operating income, net income, diluted EPS, adjusted EBITDA, free cash flow, and operating income by segment with the most directly comparable GAAP financial measures.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ind w:left="40"/>
              <w:spacing w:after="0"/>
              <w:rPr>
                <w:sz w:val="20"/>
                <w:szCs w:val="20"/>
                <w:color w:val="auto"/>
              </w:rPr>
            </w:pPr>
            <w:r>
              <w:rPr>
                <w:rFonts w:ascii="Arial" w:cs="Arial" w:eastAsia="Arial" w:hAnsi="Arial"/>
                <w:sz w:val="16"/>
                <w:szCs w:val="16"/>
                <w:b w:val="1"/>
                <w:bCs w:val="1"/>
                <w:color w:val="auto"/>
              </w:rPr>
              <w:t>TOTAL COMPANY RECONCILIATIONS</w:t>
            </w:r>
          </w:p>
        </w:tc>
        <w:tc>
          <w:tcPr>
            <w:tcW w:w="300" w:type="dxa"/>
            <w:vAlign w:val="bottom"/>
          </w:tcPr>
          <w:p>
            <w:pPr>
              <w:spacing w:after="0"/>
              <w:rPr>
                <w:sz w:val="18"/>
                <w:szCs w:val="18"/>
                <w:color w:val="auto"/>
              </w:rPr>
            </w:pPr>
          </w:p>
        </w:tc>
        <w:tc>
          <w:tcPr>
            <w:tcW w:w="32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gridSpan w:val="5"/>
          </w:tcPr>
          <w:p>
            <w:pPr>
              <w:ind w:left="18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367,798</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(23,730)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3,271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expenses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378,106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358,450</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36,468</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7,869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23,730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45,816</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7,869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23,730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placement fees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40,679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41,294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270"/>
        </w:trPr>
        <w:tc>
          <w:tcPr>
            <w:tcW w:w="43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w:t>
            </w: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net income attributable to Itron, Inc.</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71,871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diluted EPS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common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38,515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38,591</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9,336</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13,430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9,932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34,249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19,060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57,790</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40,679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41,294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(5,554)</w:t>
            </w:r>
          </w:p>
        </w:tc>
        <w:tc>
          <w:tcPr>
            <w:tcW w:w="0" w:type="dxa"/>
            <w:vAlign w:val="bottom"/>
          </w:tcPr>
          <w:p>
            <w:pPr>
              <w:spacing w:after="0"/>
              <w:rPr>
                <w:sz w:val="1"/>
                <w:szCs w:val="1"/>
                <w:color w:val="auto"/>
              </w:rPr>
            </w:pPr>
          </w:p>
        </w:tc>
      </w:tr>
      <w:tr>
        <w:trPr>
          <w:trHeight w:val="244"/>
        </w:trPr>
        <w:tc>
          <w:tcPr>
            <w:tcW w:w="438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62,715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41,505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154,775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75,056</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20,154</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Acquisitions of property, plant, and equipment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(33,324)</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ind w:left="40"/>
              <w:spacing w:after="0"/>
              <w:rPr>
                <w:sz w:val="20"/>
                <w:szCs w:val="20"/>
                <w:color w:val="auto"/>
              </w:rPr>
            </w:pPr>
            <w:r>
              <w:rPr>
                <w:rFonts w:ascii="Arial" w:cs="Arial" w:eastAsia="Arial" w:hAnsi="Arial"/>
                <w:sz w:val="16"/>
                <w:szCs w:val="16"/>
                <w:b w:val="1"/>
                <w:bCs w:val="1"/>
                <w:color w:val="auto"/>
              </w:rPr>
              <w:t>SEGMENT RECONCILIATIONS</w:t>
            </w:r>
          </w:p>
        </w:tc>
        <w:tc>
          <w:tcPr>
            <w:tcW w:w="300" w:type="dxa"/>
            <w:vAlign w:val="bottom"/>
          </w:tcPr>
          <w:p>
            <w:pPr>
              <w:spacing w:after="0"/>
              <w:rPr>
                <w:sz w:val="18"/>
                <w:szCs w:val="18"/>
                <w:color w:val="auto"/>
              </w:rPr>
            </w:pPr>
          </w:p>
        </w:tc>
        <w:tc>
          <w:tcPr>
            <w:tcW w:w="32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Pr>
          <w:p>
            <w:pPr>
              <w:spacing w:after="0"/>
              <w:rPr>
                <w:sz w:val="18"/>
                <w:szCs w:val="18"/>
                <w:color w:val="auto"/>
              </w:rPr>
            </w:pPr>
          </w:p>
        </w:tc>
        <w:tc>
          <w:tcPr>
            <w:tcW w:w="29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40"/>
              <w:spacing w:after="0"/>
              <w:rPr>
                <w:sz w:val="20"/>
                <w:szCs w:val="20"/>
                <w:color w:val="auto"/>
              </w:rPr>
            </w:pPr>
            <w:r>
              <w:rPr>
                <w:rFonts w:ascii="Arial" w:cs="Arial" w:eastAsia="Arial" w:hAnsi="Arial"/>
                <w:sz w:val="16"/>
                <w:szCs w:val="16"/>
                <w:b w:val="1"/>
                <w:bCs w:val="1"/>
                <w:color w:val="auto"/>
              </w:rPr>
              <w:t>NON-GAAP OPERATING INCOME - ELECTRICITY</w:t>
            </w: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Electricity - GAAP operating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14,958</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13,296</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(3,390)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(5,673)</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Electricity - Non-GAAP operating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66,351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15,438</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GAS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Gas - GAAP operating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44,986</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5,865</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44"/>
        </w:trPr>
        <w:tc>
          <w:tcPr>
            <w:tcW w:w="4400" w:type="dxa"/>
            <w:vAlign w:val="bottom"/>
          </w:tcPr>
          <w:p>
            <w:pPr>
              <w:ind w:left="260"/>
              <w:spacing w:after="0"/>
              <w:rPr>
                <w:sz w:val="20"/>
                <w:szCs w:val="20"/>
                <w:color w:val="auto"/>
              </w:rPr>
            </w:pPr>
            <w:r>
              <w:rPr>
                <w:rFonts w:ascii="Arial" w:cs="Arial" w:eastAsia="Arial" w:hAnsi="Arial"/>
                <w:sz w:val="16"/>
                <w:szCs w:val="16"/>
                <w:color w:val="auto"/>
              </w:rPr>
              <w:t>Gas - Non-GAAP operating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29,387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17,946</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75,689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49,950</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WATER</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Water - GAAP operating income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11,415</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4,064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Water - Non-GAAP operating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16,634</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CORPORATE</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40"/>
              <w:spacing w:after="0"/>
              <w:rPr>
                <w:sz w:val="20"/>
                <w:szCs w:val="20"/>
                <w:color w:val="auto"/>
              </w:rPr>
            </w:pPr>
            <w:r>
              <w:rPr>
                <w:rFonts w:ascii="Arial" w:cs="Arial" w:eastAsia="Arial" w:hAnsi="Arial"/>
                <w:sz w:val="16"/>
                <w:szCs w:val="16"/>
                <w:b w:val="1"/>
                <w:bCs w:val="1"/>
                <w:color w:val="auto"/>
              </w:rPr>
              <w:t>UNALLOCATED</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unallocated - GAAP operating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(34,891)</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4"/>
        </w:trPr>
        <w:tc>
          <w:tcPr>
            <w:tcW w:w="4400" w:type="dxa"/>
            <w:vAlign w:val="bottom"/>
          </w:tcPr>
          <w:p>
            <w:pPr>
              <w:ind w:left="260"/>
              <w:spacing w:after="0"/>
              <w:rPr>
                <w:sz w:val="20"/>
                <w:szCs w:val="20"/>
                <w:color w:val="auto"/>
              </w:rPr>
            </w:pPr>
            <w:r>
              <w:rPr>
                <w:rFonts w:ascii="Arial" w:cs="Arial" w:eastAsia="Arial" w:hAnsi="Arial"/>
                <w:sz w:val="16"/>
                <w:szCs w:val="16"/>
                <w:color w:val="auto"/>
              </w:rPr>
              <w:t>Corporate unallocated - Non-GAAP operating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(16,548)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(11,133)</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(61,725)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(36,206)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were effective from July 31, 2013 to August 8,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September 30, 2016, our LIBOR-based debt balance was $290.9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September 30, 2016. Weighted average variable rates in the table are based on implied forward rates in the Reuters U.S. dollar yield curve as of September 30, 2016 and our estimated leverage ratio, which determines our additional interest rate margin at September 30, 2016.</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r>
      <w:tr>
        <w:trPr>
          <w:trHeight w:val="244"/>
        </w:trPr>
        <w:tc>
          <w:tcPr>
            <w:tcW w:w="3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336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3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19,688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151,874</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210,938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209,317</w:t>
            </w:r>
          </w:p>
        </w:tc>
      </w:tr>
      <w:tr>
        <w:trPr>
          <w:trHeight w:val="264"/>
        </w:trPr>
        <w:tc>
          <w:tcPr>
            <w:tcW w:w="336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2.17 %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2.40 %</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3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57"/>
        </w:trPr>
        <w:tc>
          <w:tcPr>
            <w:tcW w:w="3360" w:type="dxa"/>
            <w:vAlign w:val="bottom"/>
          </w:tcPr>
          <w:p>
            <w:pPr>
              <w:ind w:left="620"/>
              <w:spacing w:after="0" w:line="157" w:lineRule="exact"/>
              <w:rPr>
                <w:sz w:val="20"/>
                <w:szCs w:val="20"/>
                <w:color w:val="auto"/>
              </w:rPr>
            </w:pPr>
            <w:r>
              <w:rPr>
                <w:rFonts w:ascii="Arial" w:cs="Arial" w:eastAsia="Arial" w:hAnsi="Arial"/>
                <w:sz w:val="14"/>
                <w:szCs w:val="14"/>
                <w:color w:val="auto"/>
              </w:rPr>
              <w:t>Principal: Multicurrency revolving line of</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3360" w:type="dxa"/>
            <w:vAlign w:val="bottom"/>
          </w:tcPr>
          <w:p>
            <w:pPr>
              <w:ind w:left="620"/>
              <w:spacing w:after="0"/>
              <w:rPr>
                <w:sz w:val="20"/>
                <w:szCs w:val="20"/>
                <w:color w:val="auto"/>
              </w:rPr>
            </w:pPr>
            <w:r>
              <w:rPr>
                <w:rFonts w:ascii="Arial" w:cs="Arial" w:eastAsia="Arial" w:hAnsi="Arial"/>
                <w:sz w:val="14"/>
                <w:szCs w:val="14"/>
                <w:color w:val="auto"/>
              </w:rPr>
              <w:t>credit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132,597</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132,597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131,387</w:t>
            </w:r>
          </w:p>
        </w:tc>
      </w:tr>
      <w:tr>
        <w:trPr>
          <w:trHeight w:val="276"/>
        </w:trPr>
        <w:tc>
          <w:tcPr>
            <w:tcW w:w="3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1.94 %</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3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Interest rate swap on LIBOR-based debt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3360" w:type="dxa"/>
            <w:vAlign w:val="bottom"/>
          </w:tcPr>
          <w:p>
            <w:pPr>
              <w:ind w:left="380"/>
              <w:spacing w:after="0"/>
              <w:rPr>
                <w:sz w:val="20"/>
                <w:szCs w:val="20"/>
                <w:color w:val="auto"/>
              </w:rPr>
            </w:pPr>
            <w:r>
              <w:rPr>
                <w:rFonts w:ascii="Arial" w:cs="Arial" w:eastAsia="Arial" w:hAnsi="Arial"/>
                <w:sz w:val="14"/>
                <w:szCs w:val="14"/>
                <w:color w:val="auto"/>
              </w:rPr>
              <w:t>Average interest rate (pay)</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3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0.92 %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4"/>
        </w:trPr>
        <w:tc>
          <w:tcPr>
            <w:tcW w:w="336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(0.27)%</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September 30, 2016, we estimate that, if market interest rates average one percentage point higher in 2016 than in the table above, our financial results in 2016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currencies other than the U.S. dollar were 44% and 47% of total revenues for the three and nine months ended September 30, 2016 compared with 49% and 51% for the same respective periods in 2015.</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recorded to other income and expense. We enter into monthly foreign exchange forward contracts (a total of 402 contracts were entered into during the nine months ended September 30, 2016), which are not designated for hedge accounting, with the intent to reduce earnings volatility associated with currency exposures. The notional amounts of the contracts ranged from less than $10,000 to $37.9 million, offsetting our exposures from the euro, British pound, Canadian dollar, Australian dollar, Mexican peso, and various other currencies.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An evaluation was performed under the supervision and with the participation of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Chief Executive Officer and Chief Financial Officer, of the effectiveness of the design and operation of our disclosure controls and procedures (as such term is defined in Rules 13a-15(e) and 15d-15(e)) under the Securities Exchange Act of 1934, as amended. These disclosure controls and procedures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7" w:lineRule="exact"/>
        <w:rPr>
          <w:rFonts w:ascii="Arial" w:cs="Arial" w:eastAsia="Arial" w:hAnsi="Arial"/>
          <w:sz w:val="18"/>
          <w:szCs w:val="18"/>
          <w:color w:val="auto"/>
        </w:rPr>
      </w:pPr>
    </w:p>
    <w:p>
      <w:pPr>
        <w:jc w:val="both"/>
        <w:ind w:left="660"/>
        <w:spacing w:after="0" w:line="291" w:lineRule="auto"/>
        <w:rPr>
          <w:rFonts w:ascii="Arial" w:cs="Arial" w:eastAsia="Arial" w:hAnsi="Arial"/>
          <w:sz w:val="18"/>
          <w:szCs w:val="18"/>
          <w:color w:val="auto"/>
        </w:rPr>
      </w:pPr>
      <w:r>
        <w:rPr>
          <w:rFonts w:ascii="Arial" w:cs="Arial" w:eastAsia="Arial" w:hAnsi="Arial"/>
          <w:sz w:val="16"/>
          <w:szCs w:val="16"/>
          <w:color w:val="auto"/>
        </w:rPr>
        <w:t>Based on that evaluation, our management, including the Chief Executive Officer and Chief Financial Officer, concluded that as of September 30, 2016, the Company’s disclosure controls and procedures were not effective as a result of a material weakness in our internal control over financial reporting identified during the year ended December 31, 2015, as disclosed in our 2015 Annual Report on Form 10-K. Specifically, we did not design and maintain effective controls to determine whether vendor specific objective evidence (VSOE) of fair value could be demonstrated for substantially all maintenance contracts associated with certain software solutions and whether software was essential to the functionality of certain hardware. Management has concluded that the deficiencies identified in our revenue processes and controls, the combination of which represents a material weakness, were also present as of September 30, 2016, as our remediation efforts have not yet been completed.</w:t>
      </w:r>
    </w:p>
    <w:p>
      <w:pPr>
        <w:spacing w:after="0" w:line="167"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In the ordinary course of business, we review our system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78" w:lineRule="exact"/>
        <w:rPr>
          <w:rFonts w:ascii="Arial" w:cs="Arial" w:eastAsia="Arial" w:hAnsi="Arial"/>
          <w:sz w:val="17"/>
          <w:szCs w:val="17"/>
          <w:color w:val="auto"/>
        </w:rPr>
      </w:pPr>
    </w:p>
    <w:p>
      <w:pPr>
        <w:jc w:val="both"/>
        <w:ind w:left="660"/>
        <w:spacing w:after="0" w:line="312" w:lineRule="auto"/>
        <w:rPr>
          <w:rFonts w:ascii="Arial" w:cs="Arial" w:eastAsia="Arial" w:hAnsi="Arial"/>
          <w:sz w:val="17"/>
          <w:szCs w:val="17"/>
          <w:color w:val="auto"/>
        </w:rPr>
      </w:pPr>
      <w:r>
        <w:rPr>
          <w:rFonts w:ascii="Arial" w:cs="Arial" w:eastAsia="Arial" w:hAnsi="Arial"/>
          <w:sz w:val="16"/>
          <w:szCs w:val="16"/>
          <w:color w:val="auto"/>
        </w:rPr>
        <w:t>Additionally, we have established a shared services center in Europe, and we are currently transitioning certain finance and accounting activities within all regions to the shared services center in a staged approach. The transition to shared services is ongoing, and we believe the related changes to processes and internal controls will allow us to be more efficient and further enhance our internal control over financial reporting.</w:t>
      </w:r>
    </w:p>
    <w:p>
      <w:pPr>
        <w:spacing w:after="0" w:line="92"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Except for these changes and the remediation efforts related to the material weakness noted below, there have been no other changes in our internal control over financial reporting during the three months ended September 30, 2016 that materially affected, or are reasonably likely to materially affect, internal control over financial reporting.</w:t>
      </w:r>
    </w:p>
    <w:p>
      <w:pPr>
        <w:spacing w:after="0" w:line="18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Remediation of Material Weakness in Internal Controls over Financial Reporting. </w:t>
      </w:r>
      <w:r>
        <w:rPr>
          <w:rFonts w:ascii="Arial" w:cs="Arial" w:eastAsia="Arial" w:hAnsi="Arial"/>
          <w:sz w:val="18"/>
          <w:szCs w:val="18"/>
          <w:color w:val="auto"/>
        </w:rPr>
        <w:t>To remediate the material weakness in our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described above, substantial progress has been made with the following:</w:t>
      </w:r>
    </w:p>
    <w:p>
      <w:pPr>
        <w:spacing w:after="0" w:line="62" w:lineRule="exact"/>
        <w:rPr>
          <w:rFonts w:ascii="Arial" w:cs="Arial" w:eastAsia="Arial" w:hAnsi="Arial"/>
          <w:sz w:val="18"/>
          <w:szCs w:val="18"/>
          <w:color w:val="auto"/>
        </w:rPr>
      </w:pPr>
    </w:p>
    <w:p>
      <w:pPr>
        <w:ind w:left="1380" w:hanging="319"/>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Implementing control design changes;</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Developing a plan to implement operational effectiveness testing during the fourth quarter of 2016;</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Updating revenue recognition policies and procedures;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Hiring additional resources with revenue accounting expertise;</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Completing training for revenue accounting employees and other employees directly associated with sales contracts; and</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Utilizing external advisers to assist with technical matters related to complex sales contracts.</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When fully implemented and operational, we believe the measures described above will remediate the material weakness we have identified and strengthen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third quarter of 2016 from those previously disclosed in Item 1A: “Risk Factors” of Part I of our Annual Report on Form 10-K for the fiscal year ended December 31, 2015, which was filed with the SEC on June 30, 2016.</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2016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580" w:type="dxa"/>
            <w:vAlign w:val="bottom"/>
          </w:tcPr>
          <w:p>
            <w:pPr>
              <w:spacing w:after="0"/>
              <w:rPr>
                <w:sz w:val="18"/>
                <w:szCs w:val="18"/>
                <w:color w:val="auto"/>
              </w:rPr>
            </w:pPr>
          </w:p>
        </w:tc>
      </w:tr>
      <w:tr>
        <w:trPr>
          <w:trHeight w:val="234"/>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61"/>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Amendment to the Itron, Inc. Executive Deferred Compensation Plan. (filed with this report)</w:t>
            </w:r>
          </w:p>
        </w:tc>
      </w:tr>
      <w:tr>
        <w:trPr>
          <w:trHeight w:val="553"/>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3"/>
              </w:rPr>
              <w:t>Amendment to Cooperation Agreement with Coppersmith Capital Management and Scopia Capital Management. (filed with this</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report)</w:t>
            </w:r>
          </w:p>
        </w:tc>
      </w:tr>
      <w:tr>
        <w:trPr>
          <w:trHeight w:val="567"/>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Computation of Ratio of Earnings to Fixed Charges. (filed with this report)</w:t>
            </w:r>
          </w:p>
        </w:tc>
      </w:tr>
      <w:tr>
        <w:trPr>
          <w:trHeight w:val="567"/>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48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November 3, 2016</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W. MARK SCHMITZ</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5"/>
              </w:rPr>
              <w:t>W. Mark Schmitz</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 EXECUTIVE 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2012</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Itron, Inc. (the "Employer") has adopted, and currently maintains, the Itron, Inc. Executive Deferred Compensation Plan (the "Plan"),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a select group of management and highly compensated employees of the Company and its designated subsidiaries and affiliates may defer compensation and equity compensation awards; and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Compensation Committee of the Board of Directors of the Employer, pursuant to its authority under the Plan, has amended the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 different matching contribution and has authorized the Company to document such amendment;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Employer desires to document such amendment in terms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as follows, effective January 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Distributions</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5.1 is amended to add the following sentence to the end of that Section:</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"Effective January 1, 2017, an Employee-Participant's Account shall be credited with matching contributions in an amount equal to seventy-five percent (75%) of the first six percent (6%) of total Salary and Bonuses deferred under the Plan by such Participant during a payroll period to the extent that such deferred Salary and Bonus exceeds an amount equal to the annual limit under Section 401(a)(17) of the Code earned by the Employee-Participant in the applicable calendar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Except as amended above, the provisions of the Plan shall continue in full force and effect.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Employer, by its duly authorized officer, has caused this Amendment to be executed as of the 14th day of September, 2016.</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ITRON, INC.</w:t>
      </w:r>
    </w:p>
    <w:p>
      <w:pPr>
        <w:spacing w:after="0" w:line="391"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 Cadieux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909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Michel Cadieux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909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SVP of Human</w:t>
      </w:r>
    </w:p>
    <w:p>
      <w:pPr>
        <w:spacing w:after="0" w:line="23"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22860</wp:posOffset>
            </wp:positionV>
            <wp:extent cx="909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ind w:left="9740"/>
        <w:spacing w:after="0"/>
        <w:rPr>
          <w:sz w:val="20"/>
          <w:szCs w:val="20"/>
          <w:color w:val="auto"/>
        </w:rPr>
      </w:pPr>
      <w:r>
        <w:rPr>
          <w:rFonts w:ascii="Arial" w:cs="Arial" w:eastAsia="Arial" w:hAnsi="Arial"/>
          <w:sz w:val="22"/>
          <w:szCs w:val="22"/>
          <w:b w:val="1"/>
          <w:bCs w:val="1"/>
          <w:u w:val="single" w:color="auto"/>
          <w:color w:val="auto"/>
        </w:rPr>
        <w:t>CONFIDENTIAL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SCOPIA CAPITAL MANAGEMENT LP</w:t>
      </w:r>
    </w:p>
    <w:p>
      <w:pPr>
        <w:jc w:val="center"/>
        <w:spacing w:after="0" w:line="207" w:lineRule="auto"/>
        <w:rPr>
          <w:sz w:val="20"/>
          <w:szCs w:val="20"/>
          <w:color w:val="auto"/>
        </w:rPr>
      </w:pPr>
      <w:r>
        <w:rPr>
          <w:rFonts w:ascii="Arial" w:cs="Arial" w:eastAsia="Arial" w:hAnsi="Arial"/>
          <w:sz w:val="22"/>
          <w:szCs w:val="22"/>
          <w:color w:val="auto"/>
        </w:rPr>
        <w:t>152 West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 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York, New York 10019</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2111 North Molter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Liberty Lake, WA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Shannon Votava, General Counsel</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25,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Ms. Votava:</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Reference is made to that certain cooperation agreement (the "Cooperation Agreement"), by and among Itron, Inc. (the "Company"), Coppersmith Capital Management, LLC, Scopia Management, Inc. and certain of their affiliates (collectively, "the Shareholders"), Jerome J. Lande and Peter Mainz. The Shareholders understand that the Board of Directors of the Company proposes to (i) increase the size of the Value Enhancement Committee (the "Committee") established pursuant to the Cooperation Agreement from five (5) to six (6) independent directors, (ii) appoint Timothy Leyden to the Committee to fill such vacancy and appoint Mr. Leyden as Chairperson of the Committee and (iii) provide that the size of the Committee be reduced automatically to five (5) members upon the completion by Jon Eliassen of his current term as a director of the Company at its May 2017 Annual Meeting of Shareholders and his resulting concurrent cessation as a member of the Committee (collectively, the "Proposed Actions"). Pursuant to Section l(c) of the Cooperation Agreement, the Committee shall be comprised of no more than five (5) independent directors. In accordance with the Cooperation Agreement, the Shareholders hereby waive the requirement that the Committee be comprised of no more than five (5) independent directors and hereby consent to the Proposed Actions. Except as otherwise provided herein, the Cooperation Agreement shall remain unchanged and in full force and effect. From and after the execution of this letter agreement by the parties hereto, any reference to the Cooperation Agreement shall be deemed to be a reference to the Cooperation Agreement and this letter agreement.</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letter agreement shall be governed by and construed and enforced in accordance with the laws of the State of Washington without reference to the conflict of laws principles thereof. This letter agreement may be executed in two or more counterparts, each of which shall be considered one and the same agreement and shall become effective when counterparts have been signed by each of the parties and delivered to the other party (including by means of electronic delivery or facsimile). The terms and conditions of this letter agreement shall be binding upon, inure to the benefit of, and be enforceable by the ·parties hereto and their respective successors, heirs, executors, legal representatives, and permitted assigns.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585"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16"/>
          <w:szCs w:val="16"/>
          <w:color w:val="auto"/>
        </w:rPr>
        <w:t>IN WITNESS WHEREOF, this letter agreement has been duly executed and delivered by the duly authorized signatories of the parties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COPPERSMITH VALUE PARTNERS II, LP</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Coppersmith Capital Partners, LLC, its General Partner</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 Jerome J. Lande</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Jerome J. Lande</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Managing Member</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561"/>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COPPERSMITH CAPITAL PARTNERS, LLC</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 Jerome J. Lande</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Jerome J. Lande</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Managing Member</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561"/>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COPPERSMITH CAPITAL MANAGEMENT, LLC</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 Jerome J. Lande</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Jerome J. Lande</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Managing Member</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561"/>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INDIVIDUALS: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 Jerome J. Lande</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Jerome J. Lande</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561"/>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 Craig Rosenblum</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Craig Rosenblum</w:t>
            </w:r>
          </w:p>
        </w:tc>
      </w:tr>
      <w:tr>
        <w:trPr>
          <w:trHeight w:val="27"/>
        </w:trPr>
        <w:tc>
          <w:tcPr>
            <w:tcW w:w="8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SCOPIA LONG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SCOPIA LB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SCOPIA PX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SCOPIA PARTNERS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SCOPIA LONG INTERNATIONAL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FUND LP</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By: Scopia Capital Management LP, its Investment Manager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By: Scopia Management, Inc., its General Partner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SCOPIA CAPITAL MANAGEMENT LP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By: Scopia Management, Inc., its General Partner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SCOPIA CAPITAL GP LLC</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SCOPIA MANAGEMENT, INC.</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INDIVIDUALS: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Matthew Sirovich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Jeremy Mindich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Jeremy Mindich</w:t>
            </w:r>
          </w:p>
        </w:tc>
      </w:tr>
      <w:tr>
        <w:trPr>
          <w:trHeight w:val="27"/>
        </w:trPr>
        <w:tc>
          <w:tcPr>
            <w:tcW w:w="8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SCOPIA WINDMILL FUND LP</w:t>
      </w:r>
    </w:p>
    <w:p>
      <w:pPr>
        <w:spacing w:after="0" w:line="63" w:lineRule="exact"/>
        <w:rPr>
          <w:sz w:val="20"/>
          <w:szCs w:val="20"/>
          <w:color w:val="auto"/>
        </w:rPr>
      </w:pPr>
    </w:p>
    <w:p>
      <w:pPr>
        <w:ind w:right="199"/>
        <w:spacing w:after="0" w:line="323" w:lineRule="auto"/>
        <w:rPr>
          <w:sz w:val="20"/>
          <w:szCs w:val="20"/>
          <w:color w:val="auto"/>
        </w:rPr>
      </w:pPr>
      <w:r>
        <w:rPr>
          <w:rFonts w:ascii="Arial" w:cs="Arial" w:eastAsia="Arial" w:hAnsi="Arial"/>
          <w:sz w:val="18"/>
          <w:szCs w:val="18"/>
          <w:b w:val="1"/>
          <w:bCs w:val="1"/>
          <w:color w:val="auto"/>
        </w:rPr>
        <w:t>SCOPIA INTERNATIONAL MASTER FUND LP SCOPIA PX INTERNATIONAL MASTER FUND LP SCOPIA LB INTERNATIONAL MASTER FUND LP SCOPIA LONG QP LLC</w:t>
      </w:r>
    </w:p>
    <w:p>
      <w:pPr>
        <w:spacing w:after="0" w:line="8476" w:lineRule="exact"/>
        <w:rPr>
          <w:sz w:val="20"/>
          <w:szCs w:val="20"/>
          <w:color w:val="auto"/>
        </w:rPr>
      </w:pPr>
    </w:p>
    <w:p>
      <w:pPr>
        <w:sectPr>
          <w:pgSz w:w="11900" w:h="16838" w:orient="portrait"/>
          <w:cols w:equalWidth="0" w:num="2">
            <w:col w:w="5100" w:space="720"/>
            <w:col w:w="4359"/>
          </w:cols>
          <w:pgMar w:left="280" w:top="742" w:right="1440" w:bottom="1440" w:gutter="0" w:footer="0" w:header="0"/>
        </w:sectPr>
      </w:pPr>
    </w:p>
    <w:p>
      <w:pPr>
        <w:spacing w:after="0" w:line="353"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[Signature Page to Letter Agreement]</w:t>
      </w:r>
    </w:p>
    <w:p>
      <w:pPr>
        <w:sectPr>
          <w:pgSz w:w="11900" w:h="16838" w:orient="portrait"/>
          <w:cols w:equalWidth="0" w:num="1">
            <w:col w:w="10179"/>
          </w:cols>
          <w:pgMar w:left="280" w:top="742" w:right="1440"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w w:val="93"/>
              </w:rPr>
              <w:t>Itron, Inc.</w:t>
            </w:r>
          </w:p>
        </w:tc>
        <w:tc>
          <w:tcPr>
            <w:tcW w:w="3680" w:type="dxa"/>
            <w:vAlign w:val="bottom"/>
          </w:tcPr>
          <w:p>
            <w:pPr>
              <w:spacing w:after="0"/>
              <w:rPr>
                <w:sz w:val="20"/>
                <w:szCs w:val="20"/>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ind w:left="20"/>
              <w:spacing w:after="0"/>
              <w:rPr>
                <w:sz w:val="20"/>
                <w:szCs w:val="20"/>
                <w:color w:val="auto"/>
              </w:rPr>
            </w:pPr>
            <w:r>
              <w:rPr>
                <w:rFonts w:ascii="Arial" w:cs="Arial" w:eastAsia="Arial" w:hAnsi="Arial"/>
                <w:sz w:val="18"/>
                <w:szCs w:val="18"/>
                <w:color w:val="auto"/>
              </w:rPr>
              <w:t>/s/ Philip Mezey</w:t>
            </w:r>
          </w:p>
        </w:tc>
      </w:tr>
      <w:tr>
        <w:trPr>
          <w:trHeight w:val="27"/>
        </w:trPr>
        <w:tc>
          <w:tcPr>
            <w:tcW w:w="7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80" w:type="dxa"/>
            <w:vAlign w:val="bottom"/>
          </w:tcPr>
          <w:p>
            <w:pPr>
              <w:ind w:left="20"/>
              <w:spacing w:after="0"/>
              <w:rPr>
                <w:sz w:val="20"/>
                <w:szCs w:val="20"/>
                <w:color w:val="auto"/>
              </w:rPr>
            </w:pPr>
            <w:r>
              <w:rPr>
                <w:rFonts w:ascii="Arial" w:cs="Arial" w:eastAsia="Arial" w:hAnsi="Arial"/>
                <w:sz w:val="18"/>
                <w:szCs w:val="18"/>
                <w:color w:val="auto"/>
              </w:rPr>
              <w:t>Philip Mezey</w:t>
            </w:r>
          </w:p>
        </w:tc>
      </w:tr>
      <w:tr>
        <w:trPr>
          <w:trHeight w:val="27"/>
        </w:trPr>
        <w:tc>
          <w:tcPr>
            <w:tcW w:w="7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7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10179"/>
          </w:cols>
          <w:pgMar w:left="280" w:top="742"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676"/>
        </w:trPr>
        <w:tc>
          <w:tcPr>
            <w:tcW w:w="2880" w:type="dxa"/>
            <w:vAlign w:val="bottom"/>
          </w:tcPr>
          <w:p>
            <w:pPr>
              <w:spacing w:after="0"/>
              <w:rPr>
                <w:sz w:val="24"/>
                <w:szCs w:val="24"/>
                <w:color w:val="auto"/>
              </w:rPr>
            </w:pPr>
          </w:p>
        </w:tc>
        <w:tc>
          <w:tcPr>
            <w:tcW w:w="5940" w:type="dxa"/>
            <w:vAlign w:val="bottom"/>
            <w:gridSpan w:val="13"/>
          </w:tcPr>
          <w:p>
            <w:pPr>
              <w:ind w:left="320"/>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Nine Months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6"/>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Ended September</w:t>
            </w: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30, 2016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6"/>
                <w:szCs w:val="16"/>
                <w:b w:val="1"/>
                <w:bCs w:val="1"/>
                <w:color w:val="auto"/>
              </w:rPr>
              <w:t>(in thousands, except ratios)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(503,677)</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Add: dividends received from equity</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investees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(508,148)</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8,344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12,289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11,602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36,794</w:t>
            </w: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6,855</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43,649</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66,402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139,876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(464,499)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3"/>
                <w:szCs w:val="23"/>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(508,148)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to fixed charges ratio </w:t>
      </w:r>
      <w:r>
        <w:rPr>
          <w:rFonts w:ascii="Arial" w:cs="Arial" w:eastAsia="Arial" w:hAnsi="Arial"/>
          <w:sz w:val="18"/>
          <w:szCs w:val="18"/>
          <w:color w:val="auto"/>
        </w:rPr>
        <w:t>is not calculated for years with a</w:t>
      </w:r>
      <w:r>
        <w:rPr>
          <w:rFonts w:ascii="Arial" w:cs="Arial" w:eastAsia="Arial" w:hAnsi="Arial"/>
          <w:sz w:val="18"/>
          <w:szCs w:val="18"/>
          <w:i w:val="1"/>
          <w:iCs w:val="1"/>
          <w:color w:val="auto"/>
        </w:rPr>
        <w:t xml:space="preserve"> Deficit of earnings to fixed charges </w:t>
      </w:r>
      <w:r>
        <w:rPr>
          <w:rFonts w:ascii="Arial" w:cs="Arial" w:eastAsia="Arial" w:hAnsi="Arial"/>
          <w:sz w:val="18"/>
          <w:szCs w:val="18"/>
          <w:color w:val="auto"/>
        </w:rPr>
        <w:t>amount as the ratio is less than 1:1.</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Mark Schmitz,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2016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W. Mark Schmitz,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3, 2016</w:t>
      </w:r>
    </w:p>
    <w:p>
      <w:pPr>
        <w:spacing w:after="0" w:line="31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3, 2016</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lvl w:ilvl="1">
      <w:lvlJc w:val="left"/>
      <w:lvlText w:val="•"/>
      <w:numFmt w:val="bullet"/>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2019-12-29T09:37:17Z</dcterms:created>
  <dcterms:modified xsi:type="dcterms:W3CDTF">2019-12-29T09:37:17Z</dcterms:modified>
</cp:coreProperties>
</file>