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2522220</wp:posOffset>
            </wp:positionH>
            <wp:positionV relativeFrom="paragraph">
              <wp:posOffset>274955</wp:posOffset>
            </wp:positionV>
            <wp:extent cx="221234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26035</wp:posOffset>
            </wp:positionV>
            <wp:extent cx="2178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26035</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300" w:type="dxa"/>
        <w:tblCellMar>
          <w:top w:w="0" w:type="dxa"/>
          <w:left w:w="0" w:type="dxa"/>
          <w:bottom w:w="0" w:type="dxa"/>
          <w:right w:w="0" w:type="dxa"/>
        </w:tblCellMar>
      </w:tblPr>
      <w:tr>
        <w:trPr>
          <w:trHeight w:val="241"/>
        </w:trPr>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89"/>
              </w:rPr>
              <w:t>Washington</w:t>
            </w:r>
          </w:p>
        </w:tc>
        <w:tc>
          <w:tcPr>
            <w:tcW w:w="380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0"/>
              </w:rPr>
              <w:t>000-22418</w:t>
            </w:r>
          </w:p>
        </w:tc>
        <w:tc>
          <w:tcPr>
            <w:tcW w:w="5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89"/>
              </w:rPr>
              <w:t>91-1011792</w:t>
            </w:r>
          </w:p>
        </w:tc>
      </w:tr>
      <w:tr>
        <w:trPr>
          <w:trHeight w:val="215"/>
        </w:trPr>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56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(Commission File No.)</w:t>
            </w:r>
          </w:p>
        </w:tc>
        <w:tc>
          <w:tcPr>
            <w:tcW w:w="540" w:type="dxa"/>
            <w:vAlign w:val="bottom"/>
          </w:tcPr>
          <w:p>
            <w:pPr>
              <w:spacing w:after="0"/>
              <w:rPr>
                <w:sz w:val="18"/>
                <w:szCs w:val="18"/>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32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2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3"/>
              </w:rPr>
              <w:t>2111 N. Molter Road, Liberty Lake, WA 99019</w:t>
            </w:r>
          </w:p>
        </w:tc>
        <w:tc>
          <w:tcPr>
            <w:tcW w:w="3240" w:type="dxa"/>
            <w:vAlign w:val="bottom"/>
            <w:tcBorders>
              <w:bottom w:val="single" w:sz="8" w:color="auto"/>
            </w:tcBorders>
          </w:tcPr>
          <w:p>
            <w:pPr>
              <w:spacing w:after="0"/>
              <w:rPr>
                <w:sz w:val="24"/>
                <w:szCs w:val="24"/>
                <w:color w:val="auto"/>
              </w:rPr>
            </w:pPr>
          </w:p>
        </w:tc>
      </w:tr>
      <w:tr>
        <w:trPr>
          <w:trHeight w:val="230"/>
        </w:trPr>
        <w:tc>
          <w:tcPr>
            <w:tcW w:w="3260" w:type="dxa"/>
            <w:vAlign w:val="bottom"/>
          </w:tcPr>
          <w:p>
            <w:pPr>
              <w:spacing w:after="0"/>
              <w:rPr>
                <w:sz w:val="20"/>
                <w:szCs w:val="20"/>
                <w:color w:val="auto"/>
              </w:rPr>
            </w:pPr>
          </w:p>
        </w:tc>
        <w:tc>
          <w:tcPr>
            <w:tcW w:w="434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(Address of Principal Executive Offices, Zip Code)</w:t>
            </w:r>
          </w:p>
        </w:tc>
        <w:tc>
          <w:tcPr>
            <w:tcW w:w="3240" w:type="dxa"/>
            <w:vAlign w:val="bottom"/>
          </w:tcPr>
          <w:p>
            <w:pPr>
              <w:spacing w:after="0"/>
              <w:rPr>
                <w:sz w:val="20"/>
                <w:szCs w:val="20"/>
                <w:color w:val="auto"/>
              </w:rPr>
            </w:pPr>
          </w:p>
        </w:tc>
      </w:tr>
      <w:tr>
        <w:trPr>
          <w:trHeight w:val="465"/>
        </w:trPr>
        <w:tc>
          <w:tcPr>
            <w:tcW w:w="32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jc w:val="center"/>
              <w:ind w:left="430"/>
              <w:spacing w:after="0"/>
              <w:rPr>
                <w:sz w:val="20"/>
                <w:szCs w:val="20"/>
                <w:color w:val="auto"/>
              </w:rPr>
            </w:pPr>
            <w:r>
              <w:rPr>
                <w:rFonts w:ascii="Arial" w:cs="Arial" w:eastAsia="Arial" w:hAnsi="Arial"/>
                <w:sz w:val="18"/>
                <w:szCs w:val="18"/>
                <w:b w:val="1"/>
                <w:bCs w:val="1"/>
                <w:color w:val="auto"/>
                <w:w w:val="90"/>
              </w:rPr>
              <w:t>(509) 924-9900</w:t>
            </w:r>
          </w:p>
        </w:tc>
        <w:tc>
          <w:tcPr>
            <w:tcW w:w="5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r>
        <w:trPr>
          <w:trHeight w:val="230"/>
        </w:trPr>
        <w:tc>
          <w:tcPr>
            <w:tcW w:w="3260" w:type="dxa"/>
            <w:vAlign w:val="bottom"/>
          </w:tcPr>
          <w:p>
            <w:pPr>
              <w:spacing w:after="0"/>
              <w:rPr>
                <w:sz w:val="20"/>
                <w:szCs w:val="20"/>
                <w:color w:val="auto"/>
              </w:rPr>
            </w:pPr>
          </w:p>
        </w:tc>
        <w:tc>
          <w:tcPr>
            <w:tcW w:w="43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(Registrant’s Telephone Number, Including Area Code)</w:t>
            </w:r>
          </w:p>
        </w:tc>
        <w:tc>
          <w:tcPr>
            <w:tcW w:w="32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299720</wp:posOffset>
            </wp:positionV>
            <wp:extent cx="687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2"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172"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Emerging growth company</w:t>
      </w:r>
    </w:p>
    <w:p>
      <w:pPr>
        <w:spacing w:after="0" w:line="279" w:lineRule="exact"/>
        <w:rPr>
          <w:sz w:val="24"/>
          <w:szCs w:val="24"/>
          <w:color w:val="auto"/>
        </w:rPr>
      </w:pPr>
    </w:p>
    <w:p>
      <w:pPr>
        <w:ind w:right="68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w:t>
      </w:r>
      <w:r>
        <w:rPr>
          <w:rFonts w:ascii="Arial Unicode MS" w:cs="Arial Unicode MS" w:eastAsia="Arial Unicode MS" w:hAnsi="Arial Unicode MS"/>
          <w:sz w:val="18"/>
          <w:szCs w:val="18"/>
          <w:color w:val="auto"/>
        </w:rPr>
        <w:t></w:t>
      </w:r>
      <w:r>
        <w:rPr>
          <w:rFonts w:ascii="Arial" w:cs="Arial" w:eastAsia="Arial" w:hAnsi="Arial"/>
          <w:sz w:val="18"/>
          <w:szCs w:val="18"/>
          <w:color w:val="auto"/>
        </w:rPr>
        <w:t>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27202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83"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On February 28, 2018, Itron Inc. issued a press release announcing its financial results for the three months and full year ended December 31, 2017. A copy of this press release and accompanying financial statements are attached as Exhibit 99.1.</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83" w:lineRule="exact"/>
        <w:rPr>
          <w:sz w:val="20"/>
          <w:szCs w:val="20"/>
          <w:color w:val="auto"/>
        </w:rPr>
      </w:pPr>
    </w:p>
    <w:p>
      <w:pPr>
        <w:ind w:left="1160"/>
        <w:spacing w:after="0" w:line="272" w:lineRule="auto"/>
        <w:rPr>
          <w:sz w:val="20"/>
          <w:szCs w:val="20"/>
          <w:color w:val="auto"/>
        </w:rPr>
      </w:pPr>
      <w:r>
        <w:rPr>
          <w:rFonts w:ascii="Arial" w:cs="Arial" w:eastAsia="Arial" w:hAnsi="Arial"/>
          <w:sz w:val="17"/>
          <w:szCs w:val="17"/>
          <w:color w:val="auto"/>
        </w:rPr>
        <w:t>On February 22, 2018, our Board of Directors (“Board”) approved a restructuring plan (the “2018 Projects”). The 2018 Projects will include activities that continue our efforts to optimize our global supply chain and manufacturing operations, product development, and sales and marketing organizations. We expect to substantially complete the plan by the end of 2020. We estimate pre-tax restructuring charges of $100 million to $110 million with approximately 20% related to closing or consolidating facilities and non-manufacturing operations and approximately 80% associated with severance and other one-time termination benefits. Of the total estimated charge, approximately 95% will result in cash expenditures. We expect to record the majority of the charges in the first quarter of 2018. The 2018 Projects are expected to result in approximately $45 million to $50 million of annualized savings when substantially complete.</w:t>
      </w:r>
    </w:p>
    <w:p>
      <w:pPr>
        <w:spacing w:after="0" w:line="232" w:lineRule="exact"/>
        <w:rPr>
          <w:sz w:val="20"/>
          <w:szCs w:val="20"/>
          <w:color w:val="auto"/>
        </w:rPr>
      </w:pPr>
    </w:p>
    <w:p>
      <w:pPr>
        <w:ind w:left="1160" w:right="20"/>
        <w:spacing w:after="0" w:line="277" w:lineRule="auto"/>
        <w:rPr>
          <w:sz w:val="20"/>
          <w:szCs w:val="20"/>
          <w:color w:val="auto"/>
        </w:rPr>
      </w:pPr>
      <w:r>
        <w:rPr>
          <w:rFonts w:ascii="Arial" w:cs="Arial" w:eastAsia="Arial" w:hAnsi="Arial"/>
          <w:sz w:val="18"/>
          <w:szCs w:val="18"/>
          <w:color w:val="auto"/>
        </w:rPr>
        <w:t>Many of our employees are represented by unions or works councils, which requires consultation, and potential restructuring projects may be subject to regulatory approval, both of which could impact the timing of planned savings in certain jurisdictions.</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83" w:lineRule="exact"/>
        <w:rPr>
          <w:sz w:val="20"/>
          <w:szCs w:val="20"/>
          <w:color w:val="auto"/>
        </w:rPr>
      </w:pPr>
    </w:p>
    <w:p>
      <w:pPr>
        <w:ind w:left="1160" w:right="20"/>
        <w:spacing w:after="0" w:line="255" w:lineRule="auto"/>
        <w:rPr>
          <w:sz w:val="20"/>
          <w:szCs w:val="20"/>
          <w:color w:val="auto"/>
        </w:rPr>
      </w:pPr>
      <w:r>
        <w:rPr>
          <w:rFonts w:ascii="Arial" w:cs="Arial" w:eastAsia="Arial" w:hAnsi="Arial"/>
          <w:sz w:val="18"/>
          <w:szCs w:val="18"/>
          <w:color w:val="auto"/>
        </w:rPr>
        <w:t>On February 22, 2018, Kirby Dyess and Peter Mainz, each members of the Board, informed the Board that they will not stand for re-election and will retire at the Company’s next annual general meeting in the second quarter of 2018. Ms. Dyess also serves as a member of the Corporate Governance Committee and the Compensation Committee. Mr. Mainz also serves as a member of the Compensation Committee and the Value Enhancement Committee. The Company would like to thank each of Ms. Dyess and Mr. Mainz for their many contributions to the Company and wish them the best in their future endeavors. Upon their departures from the Board, the Board will be reduced from eleven to nine members at the next annual general meeting.</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6" w:lineRule="exact"/>
        <w:rPr>
          <w:sz w:val="20"/>
          <w:szCs w:val="20"/>
          <w:color w:val="auto"/>
        </w:rPr>
      </w:pPr>
    </w:p>
    <w:p>
      <w:pPr>
        <w:jc w:val="center"/>
        <w:ind w:right="9400"/>
        <w:spacing w:after="0"/>
        <w:rPr>
          <w:sz w:val="20"/>
          <w:szCs w:val="20"/>
          <w:color w:val="auto"/>
        </w:rPr>
      </w:pPr>
      <w:r>
        <w:rPr>
          <w:rFonts w:ascii="Arial" w:cs="Arial" w:eastAsia="Arial" w:hAnsi="Arial"/>
          <w:sz w:val="22"/>
          <w:szCs w:val="22"/>
          <w:color w:val="auto"/>
        </w:rPr>
        <w:t>(d) Exhibits.</w:t>
      </w:r>
    </w:p>
    <w:p>
      <w:pPr>
        <w:spacing w:after="0" w:line="2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28,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auto"/>
        </w:rPr>
        <w:t>* This exhibit is intended to be furnished and shall not be deemed "filed" for purposes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135" w:right="299" w:bottom="1440" w:gutter="0" w:footer="0" w:header="0"/>
        </w:sectPr>
      </w:pPr>
    </w:p>
    <w:bookmarkStart w:id="2" w:name="page3"/>
    <w:bookmarkEnd w:id="2"/>
    <w:p>
      <w:pPr>
        <w:spacing w:after="0" w:line="271" w:lineRule="auto"/>
        <w:rPr>
          <w:sz w:val="20"/>
          <w:szCs w:val="20"/>
          <w:color w:val="auto"/>
        </w:rPr>
      </w:pPr>
      <w:r>
        <w:rPr>
          <w:rFonts w:ascii="Arial" w:cs="Arial" w:eastAsia="Arial" w:hAnsi="Arial"/>
          <w:sz w:val="19"/>
          <w:szCs w:val="19"/>
          <w:color w:val="auto"/>
        </w:rPr>
        <w:t>The information presented in this Current Report on Form 8-K may contain forward-looking statements within in the meaning of the Private Securities Litigation Reform Act of 1995. These statements relate to our expectations about revenues, operations, financial performance, earnings, earnings per share, cash flows and other financial results.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execute on our restructuring plan,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December 31, 2016 and other reports on file with the Securities and Exchange Commission. The Company undertakes no obligation to update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2"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ITRON, INC.</w:t>
            </w:r>
          </w:p>
        </w:tc>
      </w:tr>
      <w:tr>
        <w:trPr>
          <w:trHeight w:val="736"/>
        </w:trPr>
        <w:tc>
          <w:tcPr>
            <w:tcW w:w="3780" w:type="dxa"/>
            <w:vAlign w:val="bottom"/>
          </w:tcPr>
          <w:p>
            <w:pPr>
              <w:spacing w:after="0"/>
              <w:rPr>
                <w:sz w:val="20"/>
                <w:szCs w:val="20"/>
                <w:color w:val="auto"/>
              </w:rPr>
            </w:pPr>
            <w:r>
              <w:rPr>
                <w:rFonts w:ascii="Arial" w:cs="Arial" w:eastAsia="Arial" w:hAnsi="Arial"/>
                <w:sz w:val="18"/>
                <w:szCs w:val="18"/>
                <w:color w:val="auto"/>
              </w:rPr>
              <w:t>Dated: February 28, 2018</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Joan S. Hooper</w:t>
            </w:r>
          </w:p>
        </w:tc>
      </w:tr>
      <w:tr>
        <w:trPr>
          <w:trHeight w:val="230"/>
        </w:trPr>
        <w:tc>
          <w:tcPr>
            <w:tcW w:w="378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w w:val="88"/>
              </w:rPr>
              <w:t>Joan S.</w:t>
            </w:r>
          </w:p>
        </w:tc>
        <w:tc>
          <w:tcPr>
            <w:tcW w:w="5140" w:type="dxa"/>
            <w:vAlign w:val="bottom"/>
          </w:tcPr>
          <w:p>
            <w:pPr>
              <w:spacing w:after="0"/>
              <w:rPr>
                <w:sz w:val="20"/>
                <w:szCs w:val="20"/>
                <w:color w:val="auto"/>
              </w:rPr>
            </w:pPr>
            <w:r>
              <w:rPr>
                <w:rFonts w:ascii="Arial" w:cs="Arial" w:eastAsia="Arial" w:hAnsi="Arial"/>
                <w:sz w:val="18"/>
                <w:szCs w:val="18"/>
                <w:color w:val="auto"/>
              </w:rPr>
              <w:t>Hooper</w:t>
            </w:r>
          </w:p>
        </w:tc>
      </w:tr>
      <w:tr>
        <w:trPr>
          <w:trHeight w:val="242"/>
        </w:trPr>
        <w:tc>
          <w:tcPr>
            <w:tcW w:w="3780" w:type="dxa"/>
            <w:vAlign w:val="bottom"/>
          </w:tcPr>
          <w:p>
            <w:pPr>
              <w:spacing w:after="0"/>
              <w:rPr>
                <w:sz w:val="21"/>
                <w:szCs w:val="21"/>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780" w:type="dxa"/>
            <w:vAlign w:val="bottom"/>
            <w:tcBorders>
              <w:bottom w:val="single" w:sz="8" w:color="9A9A9A"/>
            </w:tcBorders>
          </w:tcPr>
          <w:p>
            <w:pPr>
              <w:spacing w:after="0"/>
              <w:rPr>
                <w:sz w:val="19"/>
                <w:szCs w:val="19"/>
                <w:color w:val="auto"/>
              </w:rPr>
            </w:pPr>
          </w:p>
        </w:tc>
        <w:tc>
          <w:tcPr>
            <w:tcW w:w="2500" w:type="dxa"/>
            <w:vAlign w:val="bottom"/>
            <w:tcBorders>
              <w:bottom w:val="single" w:sz="8" w:color="9A9A9A"/>
            </w:tcBorders>
          </w:tcPr>
          <w:p>
            <w:pPr>
              <w:spacing w:after="0"/>
              <w:rPr>
                <w:sz w:val="19"/>
                <w:szCs w:val="19"/>
                <w:color w:val="auto"/>
              </w:rPr>
            </w:pPr>
          </w:p>
        </w:tc>
        <w:tc>
          <w:tcPr>
            <w:tcW w:w="5140" w:type="dxa"/>
            <w:vAlign w:val="bottom"/>
            <w:tcBorders>
              <w:bottom w:val="single" w:sz="8" w:color="9A9A9A"/>
            </w:tcBorders>
          </w:tcPr>
          <w:p>
            <w:pPr>
              <w:spacing w:after="0"/>
              <w:rPr>
                <w:sz w:val="19"/>
                <w:szCs w:val="19"/>
                <w:color w:val="auto"/>
              </w:rPr>
            </w:pPr>
          </w:p>
        </w:tc>
      </w:tr>
      <w:tr>
        <w:trPr>
          <w:trHeight w:val="21"/>
        </w:trPr>
        <w:tc>
          <w:tcPr>
            <w:tcW w:w="3780" w:type="dxa"/>
            <w:vAlign w:val="bottom"/>
            <w:tcBorders>
              <w:bottom w:val="single" w:sz="8" w:color="EEEEEE"/>
            </w:tcBorders>
          </w:tcPr>
          <w:p>
            <w:pPr>
              <w:spacing w:after="0" w:line="20" w:lineRule="exact"/>
              <w:rPr>
                <w:sz w:val="1"/>
                <w:szCs w:val="1"/>
                <w:color w:val="auto"/>
              </w:rPr>
            </w:pPr>
          </w:p>
        </w:tc>
        <w:tc>
          <w:tcPr>
            <w:tcW w:w="2500" w:type="dxa"/>
            <w:vAlign w:val="bottom"/>
            <w:tcBorders>
              <w:bottom w:val="single" w:sz="8" w:color="EEEEEE"/>
            </w:tcBorders>
          </w:tcPr>
          <w:p>
            <w:pPr>
              <w:spacing w:after="0" w:line="20" w:lineRule="exact"/>
              <w:rPr>
                <w:sz w:val="1"/>
                <w:szCs w:val="1"/>
                <w:color w:val="auto"/>
              </w:rPr>
            </w:pPr>
          </w:p>
        </w:tc>
        <w:tc>
          <w:tcPr>
            <w:tcW w:w="5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4880"/>
        <w:spacing w:after="0"/>
        <w:rPr>
          <w:sz w:val="20"/>
          <w:szCs w:val="20"/>
          <w:color w:val="auto"/>
        </w:rPr>
      </w:pPr>
      <w:r>
        <w:rPr>
          <w:rFonts w:ascii="Arial" w:cs="Arial" w:eastAsia="Arial" w:hAnsi="Arial"/>
          <w:sz w:val="22"/>
          <w:szCs w:val="22"/>
          <w:b w:val="1"/>
          <w:bCs w:val="1"/>
          <w:color w:val="auto"/>
        </w:rPr>
        <w:t>EXHIBIT INDEX</w:t>
      </w:r>
    </w:p>
    <w:p>
      <w:pPr>
        <w:spacing w:after="0" w:line="200" w:lineRule="exact"/>
        <w:rPr>
          <w:sz w:val="20"/>
          <w:szCs w:val="20"/>
          <w:color w:val="auto"/>
        </w:rPr>
      </w:pPr>
    </w:p>
    <w:p>
      <w:pPr>
        <w:spacing w:after="0" w:line="27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40"/>
        <w:spacing w:after="0"/>
        <w:tabs>
          <w:tab w:leader="none" w:pos="1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8" w:lineRule="exact"/>
        <w:rPr>
          <w:sz w:val="20"/>
          <w:szCs w:val="20"/>
          <w:color w:val="auto"/>
        </w:rPr>
      </w:pPr>
    </w:p>
    <w:p>
      <w:pPr>
        <w:ind w:left="140"/>
        <w:spacing w:after="0"/>
        <w:tabs>
          <w:tab w:leader="none" w:pos="1840" w:val="left"/>
        </w:tabs>
        <w:rPr>
          <w:rFonts w:ascii="Arial" w:cs="Arial" w:eastAsia="Arial" w:hAnsi="Arial"/>
          <w:sz w:val="15"/>
          <w:szCs w:val="15"/>
          <w:u w:val="single" w:color="auto"/>
          <w:color w:val="0000EE"/>
        </w:rPr>
      </w:pPr>
      <w:hyperlink w:anchor="page6">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6">
        <w:r>
          <w:rPr>
            <w:rFonts w:ascii="Arial" w:cs="Arial" w:eastAsia="Arial" w:hAnsi="Arial"/>
            <w:sz w:val="15"/>
            <w:szCs w:val="15"/>
            <w:u w:val="single" w:color="auto"/>
            <w:color w:val="0000EE"/>
          </w:rPr>
          <w:t>Press release dated February 28, 2018.*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color w:val="auto"/>
        </w:rPr>
        <w:t>* This exhibit is intended to be furnished and shall not be deemed "filed" for purposes of the Exchange Act.</w:t>
      </w:r>
    </w:p>
    <w:p>
      <w:pPr>
        <w:sectPr>
          <w:pgSz w:w="11900" w:h="16838" w:orient="portrait"/>
          <w:cols w:equalWidth="0" w:num="1">
            <w:col w:w="10219"/>
          </w:cols>
          <w:pgMar w:left="240" w:top="112"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Announces Fourth Quarter and Full Year 2017 Financial Results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Fourth Quarter Revenue Increased 11 Percent Driven by Strength in Smart Solutions</w:t>
      </w:r>
    </w:p>
    <w:p>
      <w:pPr>
        <w:spacing w:after="0" w:line="206" w:lineRule="exact"/>
        <w:rPr>
          <w:sz w:val="20"/>
          <w:szCs w:val="20"/>
          <w:color w:val="auto"/>
        </w:rPr>
      </w:pPr>
    </w:p>
    <w:p>
      <w:pPr>
        <w:ind w:right="60"/>
        <w:spacing w:after="0" w:line="274" w:lineRule="auto"/>
        <w:rPr>
          <w:sz w:val="20"/>
          <w:szCs w:val="20"/>
          <w:color w:val="auto"/>
        </w:rPr>
      </w:pPr>
      <w:r>
        <w:rPr>
          <w:rFonts w:ascii="Arial" w:cs="Arial" w:eastAsia="Arial" w:hAnsi="Arial"/>
          <w:sz w:val="21"/>
          <w:szCs w:val="21"/>
          <w:color w:val="auto"/>
        </w:rPr>
        <w:t>LIBERTY LAKE, Wash.--(BUSINESS WIRE)--February 28, 2018--Itron, Inc. (NASDAQ:ITRI) announced today financial results for its fourth quarter and full year ended Dec. 31, 2017. Highlights for the quarter and full year include:</w:t>
      </w:r>
    </w:p>
    <w:p>
      <w:pPr>
        <w:spacing w:after="0" w:line="151" w:lineRule="exact"/>
        <w:rPr>
          <w:sz w:val="20"/>
          <w:szCs w:val="20"/>
          <w:color w:val="auto"/>
        </w:rPr>
      </w:pPr>
    </w:p>
    <w:p>
      <w:pPr>
        <w:ind w:left="540" w:right="4820"/>
        <w:spacing w:after="0" w:line="415" w:lineRule="auto"/>
        <w:rPr>
          <w:sz w:val="20"/>
          <w:szCs w:val="20"/>
          <w:color w:val="auto"/>
        </w:rPr>
      </w:pPr>
      <w:r>
        <w:rPr>
          <w:rFonts w:ascii="Arial" w:cs="Arial" w:eastAsia="Arial" w:hAnsi="Arial"/>
          <w:sz w:val="19"/>
          <w:szCs w:val="19"/>
          <w:color w:val="auto"/>
        </w:rPr>
        <w:t>Quarterly and full year revenue of $551 million and $2.0 billion; Quarterly and full year gross margin of 31.7 percent and 33.5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-418465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-177800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00"/>
        <w:spacing w:after="0" w:line="251" w:lineRule="auto"/>
        <w:rPr>
          <w:sz w:val="20"/>
          <w:szCs w:val="20"/>
          <w:color w:val="auto"/>
        </w:rPr>
      </w:pPr>
      <w:r>
        <w:rPr>
          <w:rFonts w:ascii="Arial" w:cs="Arial" w:eastAsia="Arial" w:hAnsi="Arial"/>
          <w:sz w:val="22"/>
          <w:szCs w:val="22"/>
          <w:color w:val="auto"/>
        </w:rPr>
        <w:t>Quarterly and full year GAAP net income of $2 million and $57 million, which include a charge of $30 million associated with the Tax Cut and Jobs Act ("Tax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400"/>
        <w:spacing w:after="0" w:line="251" w:lineRule="auto"/>
        <w:rPr>
          <w:sz w:val="20"/>
          <w:szCs w:val="20"/>
          <w:color w:val="auto"/>
        </w:rPr>
      </w:pPr>
      <w:r>
        <w:rPr>
          <w:rFonts w:ascii="Arial" w:cs="Arial" w:eastAsia="Arial" w:hAnsi="Arial"/>
          <w:sz w:val="22"/>
          <w:szCs w:val="22"/>
          <w:color w:val="auto"/>
        </w:rPr>
        <w:t>Quarterly and full year GAAP diluted earnings per share of $0.05 and $1.45, which include the impact of $0.77 per share associated with the Tax 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220"/>
        <w:spacing w:after="0" w:line="251" w:lineRule="auto"/>
        <w:rPr>
          <w:sz w:val="20"/>
          <w:szCs w:val="20"/>
          <w:color w:val="auto"/>
        </w:rPr>
      </w:pPr>
      <w:r>
        <w:rPr>
          <w:rFonts w:ascii="Arial" w:cs="Arial" w:eastAsia="Arial" w:hAnsi="Arial"/>
          <w:sz w:val="22"/>
          <w:szCs w:val="22"/>
          <w:color w:val="auto"/>
        </w:rPr>
        <w:t>Quarterly and full year non-GAAP diluted earnings per share of $1.01 and $3.06, which exclude the charge associated with the Tax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2" w:lineRule="exact"/>
        <w:rPr>
          <w:sz w:val="20"/>
          <w:szCs w:val="20"/>
          <w:color w:val="auto"/>
        </w:rPr>
      </w:pPr>
    </w:p>
    <w:p>
      <w:pPr>
        <w:ind w:left="540" w:right="680"/>
        <w:spacing w:after="0" w:line="251" w:lineRule="auto"/>
        <w:rPr>
          <w:sz w:val="20"/>
          <w:szCs w:val="20"/>
          <w:color w:val="auto"/>
        </w:rPr>
      </w:pPr>
      <w:r>
        <w:rPr>
          <w:rFonts w:ascii="Arial" w:cs="Arial" w:eastAsia="Arial" w:hAnsi="Arial"/>
          <w:sz w:val="22"/>
          <w:szCs w:val="22"/>
          <w:color w:val="auto"/>
        </w:rPr>
        <w:t>The acquisition of Silver Spring Networks closed on Jan. 5, 2018 and will operate and report as a new Itron Networks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“Our fourth quarter results reflect strong execution of our strategy as we delivered year-over-year growth in revenue and non-GAAP earnings per share," said Philip Mezey, Itron president and chief executive officer. "The progress we made in the quarter and throughout 2017 provides a solid foundation for 2018 as we optimize our operations and integrate Silver Spring Networks. The integration is progressing as planned with active collaboration across our team, a powerful sense of our shared mission and values and positive support from customers and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Summary of Fourth Quarter Consolidated Financial Results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(All comparisons made are against the prior year period unless otherwise noted)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w:t>
      </w:r>
    </w:p>
    <w:p>
      <w:pPr>
        <w:spacing w:after="0" w:line="206" w:lineRule="exact"/>
        <w:rPr>
          <w:sz w:val="20"/>
          <w:szCs w:val="20"/>
          <w:color w:val="auto"/>
        </w:rPr>
      </w:pPr>
    </w:p>
    <w:p>
      <w:pPr>
        <w:ind w:right="380"/>
        <w:spacing w:after="0" w:line="328" w:lineRule="auto"/>
        <w:rPr>
          <w:sz w:val="20"/>
          <w:szCs w:val="20"/>
          <w:color w:val="auto"/>
        </w:rPr>
      </w:pPr>
      <w:r>
        <w:rPr>
          <w:rFonts w:ascii="Arial" w:cs="Arial" w:eastAsia="Arial" w:hAnsi="Arial"/>
          <w:sz w:val="19"/>
          <w:szCs w:val="19"/>
          <w:color w:val="auto"/>
        </w:rPr>
        <w:t>Total revenue of $551 million increased 11 percent, or 8 percent excluding the impact of changes in foreign currency exchange rates, compared with the fourth quarter of 2016, driven by strong smart solution business and managed services.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By segment, Electricity revenue increased 20 percent driven by higher smart solution deliveries primarily in North America and Europe, Middle East and Africa (EMEA) regions. Gas and Water revenue increased 2 percent and 3 percent, respectively, primarily due to a favorable impact from changes in foreign currency exchange rates.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Gross Margin</w:t>
      </w:r>
    </w:p>
    <w:p>
      <w:pPr>
        <w:spacing w:after="0" w:line="206"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Consolidated gross margin of 31.7 percent increased 10 basis points compared with the fourth quarter of 2016, driven by higher volume and mix of smart solutions primarily in the Electricity segment, offsetting lower gross margins in the Gas and Water segments.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Operating Income, Net Income and Earnings per Share (EPS)</w:t>
      </w:r>
    </w:p>
    <w:p>
      <w:pPr>
        <w:spacing w:after="0" w:line="206"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GAAP operating income increased to $47 million compared with $31 million in the fourth quarter of 2016. Non-GAAP operating income increased to $55 million compared with $45 million in 2016. GAAP and non-GAAP operating income improved due to increased revenue at a higher gross margin, offsetting modest increases in operating expenses to support new solutions.</w:t>
      </w:r>
    </w:p>
    <w:p>
      <w:pPr>
        <w:spacing w:after="0" w:line="134"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GAAP net income attributable to Itron for the quarter was $2 million, or $0.05 per diluted share, compared with net income of $12 million, or $0.30 per diluted share, in 2016. The lower GAAP net income and EPS were due to a charge of $30 million, or $0.77 per share, to recognize estimated impacts on the company's deferred tax assets due to the enactment of the Tax Act.</w:t>
      </w:r>
    </w:p>
    <w:p>
      <w:pPr>
        <w:spacing w:after="0" w:line="13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Non-GAAP net income of $40 million, or $1.01 per diluted share, increased compared with $26 million, or $0.68 per diluted share, in 2016. The increase reflects higher non-GAAP operating income and lower tax expense related to tax audit settlements, adjustments to valuation allowances and the timing and mix of taxable income by jurisdiction. Non-GAAP amounts exclude the charge related to the Tax Act.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Cash Flow</w:t>
      </w:r>
    </w:p>
    <w:p>
      <w:pPr>
        <w:spacing w:after="0" w:line="206"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In the fourth quarter, cash provided by operating activities of $77 million and free cash flow of $61 million increased $43 million and $40 million, respectively, compared with the fourth quarter of 2016. Full-year 2017 cash provided by operating activities of $191 million and free cash flow of $142 million increased $76 million and $70 million, respectively, from the prior year. These cash flow increases were primarily driven by improved profitability and changes in working capital.</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Measures</w:t>
      </w:r>
    </w:p>
    <w:p>
      <w:pPr>
        <w:spacing w:after="0" w:line="212"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Bookings of $811 million increased 24 percent compared with the fourth quarter of 2016. Total backlog was $1.8 billion and 12-month backlog was $931 million at the end of the quarter, a year-over-year increase of 6 percent and 22 percent,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27202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111" w:right="29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Operational Update</w:t>
      </w:r>
    </w:p>
    <w:p>
      <w:pPr>
        <w:spacing w:after="0" w:line="213"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On Feb. 22, 2018, the board of directors approved a new restructuring plan to continue efforts to optimize our global supply chain, manufacturing operations and product development, sales and marketing Organizations. Estimated pre-tax restructuring charges are between $100 and $110 million, the majority of which will be recognized in the first quarter of 2018. The projects under this plan are anticipated to result in approximately $45 to $50 million of annualized savings upon completion. The Company expects to substantially complete projects under this plan by the end of 2020.</w:t>
      </w:r>
    </w:p>
    <w:p>
      <w:pPr>
        <w:spacing w:after="0" w:line="179" w:lineRule="exact"/>
        <w:rPr>
          <w:sz w:val="20"/>
          <w:szCs w:val="20"/>
          <w:color w:val="auto"/>
        </w:rPr>
      </w:pPr>
    </w:p>
    <w:p>
      <w:pPr>
        <w:ind w:right="220"/>
        <w:spacing w:after="0" w:line="328" w:lineRule="auto"/>
        <w:rPr>
          <w:sz w:val="20"/>
          <w:szCs w:val="20"/>
          <w:color w:val="auto"/>
        </w:rPr>
      </w:pPr>
      <w:r>
        <w:rPr>
          <w:rFonts w:ascii="Arial" w:cs="Arial" w:eastAsia="Arial" w:hAnsi="Arial"/>
          <w:sz w:val="19"/>
          <w:szCs w:val="19"/>
          <w:color w:val="auto"/>
        </w:rPr>
        <w:t>Many of our employees are represented by unions or works councils, which requires consultation, and potential restructuring projects may be subject to regulatory approval, both of which could impact the timing of planned savings in certain jurisdictions.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the full year 2018 is as follows: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between $2.33 and $2.43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diluted EPS between $2.95 and $3.35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the first quarter of 2018 is as follows: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between $575 and $600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Non-GAAP diluted EPS between $0.10 and $0.15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Guidance assumes an average euro to U.S. dollar foreign currency exchange rate of $1.21 in 2018, diluted weighted average shares outstanding of approximately 40 million for the year, a non-GAAP effective tax rate for the year of approximately 28 percent and total interest expense of approximately $50 million. Operating profitability and Non-GAAP EPS is expected to be weighted to the second half of the year.</w:t>
      </w:r>
    </w:p>
    <w:p>
      <w:pPr>
        <w:spacing w:after="0" w:line="185"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The company also confirmed its expectations that the acquisition of Silver Spring Networks will be accretive to gross margin in 2018 and will be accretive to non-GAAP EPS and adjusted EBITDA in 2019.</w:t>
      </w:r>
    </w:p>
    <w:p>
      <w:pPr>
        <w:spacing w:after="0" w:line="173" w:lineRule="exact"/>
        <w:rPr>
          <w:sz w:val="20"/>
          <w:szCs w:val="20"/>
          <w:color w:val="auto"/>
        </w:rPr>
      </w:pPr>
    </w:p>
    <w:p>
      <w:pPr>
        <w:jc w:val="both"/>
        <w:ind w:right="500"/>
        <w:spacing w:after="0"/>
        <w:rPr>
          <w:sz w:val="20"/>
          <w:szCs w:val="20"/>
          <w:color w:val="auto"/>
        </w:rPr>
      </w:pPr>
      <w:r>
        <w:rPr>
          <w:rFonts w:ascii="Arial" w:cs="Arial" w:eastAsia="Arial" w:hAnsi="Arial"/>
          <w:sz w:val="22"/>
          <w:szCs w:val="22"/>
          <w:color w:val="auto"/>
        </w:rPr>
        <w:t>These assumptions are forward-looking and reflect the estimated impacts of purchase accounting for the acquisition of Silver Spring Networks, adoption of the new revenue accounting standard and the Tax Act on our financial results and are subject to change.</w:t>
      </w:r>
    </w:p>
    <w:p>
      <w:pPr>
        <w:spacing w:after="0" w:line="186" w:lineRule="exact"/>
        <w:rPr>
          <w:sz w:val="20"/>
          <w:szCs w:val="20"/>
          <w:color w:val="auto"/>
        </w:rPr>
      </w:pPr>
    </w:p>
    <w:p>
      <w:pPr>
        <w:ind w:right="200"/>
        <w:spacing w:after="0" w:line="252" w:lineRule="auto"/>
        <w:rPr>
          <w:sz w:val="20"/>
          <w:szCs w:val="20"/>
          <w:color w:val="auto"/>
        </w:rPr>
      </w:pPr>
      <w:r>
        <w:rPr>
          <w:rFonts w:ascii="Arial" w:cs="Arial" w:eastAsia="Arial" w:hAnsi="Arial"/>
          <w:sz w:val="21"/>
          <w:szCs w:val="21"/>
          <w:color w:val="auto"/>
        </w:rPr>
        <w:t>A reconciliation of forward-looking non-GAAP diluted EPS to the GAAP diluted EPS has not been provided because we are unable to predict with reasonable certainty the potential amount or timing of restructuring and acquisition and integration related expenses and their related tax effects without unreasonable effort. These items are uncertain, depend on various factors and could have a material impact on GAAP results for the guidance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27202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Earnings Conference Call</w:t>
      </w:r>
    </w:p>
    <w:p>
      <w:pPr>
        <w:spacing w:after="0" w:line="213"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 xml:space="preserve">Itron will host a conference call to discuss the financial results and guidance contained in this release at 5:00 p.m. EDT on Feb. 28, 2018. The call will be webcast in a listen-only mode. Webcast information and conference call materials will be made available 10 minutes before the start of the call and will be accessible on Itron’s website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xml:space="preserve">. A replay of the audio webcast will be made available at </w:t>
      </w:r>
      <w:r>
        <w:rPr>
          <w:rFonts w:ascii="Arial" w:cs="Arial" w:eastAsia="Arial" w:hAnsi="Arial"/>
          <w:sz w:val="19"/>
          <w:szCs w:val="19"/>
          <w:u w:val="single" w:color="auto"/>
          <w:color w:val="auto"/>
        </w:rPr>
        <w:t>http://investors.itron.com/events.cfm</w:t>
      </w:r>
      <w:r>
        <w:rPr>
          <w:rFonts w:ascii="Arial" w:cs="Arial" w:eastAsia="Arial" w:hAnsi="Arial"/>
          <w:sz w:val="19"/>
          <w:szCs w:val="19"/>
          <w:color w:val="auto"/>
        </w:rPr>
        <w:t>. A telephone replay of the conference call will be available through Mar. 5, 2018. To access the telephone replay, dial (888) 203-1112 (domestic) or (719) 457-0820 (international) and enter passcode 3052187</w:t>
      </w:r>
      <w:r>
        <w:rPr>
          <w:rFonts w:ascii="Arial" w:cs="Arial" w:eastAsia="Arial" w:hAnsi="Arial"/>
          <w:sz w:val="19"/>
          <w:szCs w:val="19"/>
          <w:b w:val="1"/>
          <w:bCs w:val="1"/>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2"/>
          <w:szCs w:val="22"/>
          <w:u w:val="single" w:color="auto"/>
          <w:color w:val="auto"/>
        </w:rPr>
        <w:t>www.itron.com</w:t>
      </w:r>
      <w:r>
        <w:rPr>
          <w:rFonts w:ascii="Arial" w:cs="Arial" w:eastAsia="Arial" w:hAnsi="Arial"/>
          <w:sz w:val="22"/>
          <w:szCs w:val="22"/>
          <w:color w:val="auto"/>
        </w:rPr>
        <w:t>.</w:t>
      </w:r>
    </w:p>
    <w:p>
      <w:pPr>
        <w:spacing w:after="0" w:line="196" w:lineRule="exact"/>
        <w:rPr>
          <w:sz w:val="20"/>
          <w:szCs w:val="20"/>
          <w:color w:val="auto"/>
        </w:rPr>
      </w:pPr>
    </w:p>
    <w:p>
      <w:pPr>
        <w:ind w:right="360"/>
        <w:spacing w:after="0" w:line="235" w:lineRule="auto"/>
        <w:rPr>
          <w:sz w:val="20"/>
          <w:szCs w:val="20"/>
          <w:color w:val="auto"/>
        </w:rPr>
      </w:pPr>
      <w:r>
        <w:rPr>
          <w:rFonts w:ascii="Arial" w:cs="Arial" w:eastAsia="Arial" w:hAnsi="Arial"/>
          <w:sz w:val="19"/>
          <w:szCs w:val="19"/>
          <w:color w:val="auto"/>
        </w:rPr>
        <w:t>Itron</w:t>
      </w:r>
      <w:r>
        <w:rPr>
          <w:rFonts w:ascii="Arial" w:cs="Arial" w:eastAsia="Arial" w:hAnsi="Arial"/>
          <w:sz w:val="31"/>
          <w:szCs w:val="31"/>
          <w:color w:val="auto"/>
          <w:vertAlign w:val="superscript"/>
        </w:rPr>
        <w:t>®</w:t>
      </w:r>
      <w:r>
        <w:rPr>
          <w:rFonts w:ascii="Arial" w:cs="Arial" w:eastAsia="Arial" w:hAnsi="Arial"/>
          <w:sz w:val="19"/>
          <w:szCs w:val="19"/>
          <w:color w:val="auto"/>
        </w:rPr>
        <w:t xml:space="preserve"> and OpenWay</w:t>
      </w:r>
      <w:r>
        <w:rPr>
          <w:rFonts w:ascii="Arial" w:cs="Arial" w:eastAsia="Arial" w:hAnsi="Arial"/>
          <w:sz w:val="31"/>
          <w:szCs w:val="31"/>
          <w:color w:val="auto"/>
          <w:vertAlign w:val="superscript"/>
        </w:rPr>
        <w:t>®</w:t>
      </w:r>
      <w:r>
        <w:rPr>
          <w:rFonts w:ascii="Arial" w:cs="Arial" w:eastAsia="Arial" w:hAnsi="Arial"/>
          <w:sz w:val="19"/>
          <w:szCs w:val="19"/>
          <w:color w:val="auto"/>
        </w:rPr>
        <w:t xml:space="preserve"> are registered trademarks of Itron, Inc. All third party trademarks are property of their respective owners and any usage herein does not suggest or imply any relationship between Itron and the third party unless expressly stated.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This release contains forward-looking statements within in the meaning of the Private Securities Litigation Reform Act of 1995. These statements relate to our expectations about revenues, operations, financial performance, earnings, earnings per share and cash flows.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Some of the factors that we believe could affect our results include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and other factors that are more fully described in our Annual Report on Form 10-K for the year ended Dec. 31, 2016 and other reports on file with the Securities and Exchange Commission. Itron undertakes no obligation to update or revise any information in this press release.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To supplement our consolidated financial statements presented in accordance with GAAP, we use certain non-GAAP financial measures, including non-GAAP operating expense, non-GAAP operating income, non-GAAP net income, non-GAAP diluted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The company believes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Our non-GAAP financial measures may be different from those reported by other companies. A more detailed discussion of why we use non-GAAP financial measures, the limitations of using such measures, and reconciliations between non-GAAP and the nearest GAAP financial measures are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27202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6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280" w:type="dxa"/>
            <w:vAlign w:val="bottom"/>
          </w:tcPr>
          <w:p>
            <w:pPr>
              <w:spacing w:after="0"/>
              <w:rPr>
                <w:sz w:val="15"/>
                <w:szCs w:val="15"/>
                <w:color w:val="auto"/>
              </w:rPr>
            </w:pPr>
          </w:p>
        </w:tc>
        <w:tc>
          <w:tcPr>
            <w:tcW w:w="2140" w:type="dxa"/>
            <w:vAlign w:val="bottom"/>
            <w:gridSpan w:val="3"/>
            <w:vMerge w:val="restart"/>
          </w:tcPr>
          <w:p>
            <w:pPr>
              <w:jc w:val="right"/>
              <w:ind w:right="48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80" w:type="dxa"/>
            <w:vAlign w:val="bottom"/>
            <w:gridSpan w:val="3"/>
            <w:vMerge w:val="restart"/>
          </w:tcPr>
          <w:p>
            <w:pPr>
              <w:jc w:val="right"/>
              <w:ind w:right="66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38"/>
        </w:trPr>
        <w:tc>
          <w:tcPr>
            <w:tcW w:w="6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4"/>
        </w:trPr>
        <w:tc>
          <w:tcPr>
            <w:tcW w:w="6060" w:type="dxa"/>
            <w:vAlign w:val="bottom"/>
          </w:tcPr>
          <w:p>
            <w:pPr>
              <w:spacing w:after="0"/>
              <w:rPr>
                <w:sz w:val="20"/>
                <w:szCs w:val="20"/>
                <w:color w:val="auto"/>
              </w:rPr>
            </w:pPr>
            <w:r>
              <w:rPr>
                <w:rFonts w:ascii="Arial" w:cs="Arial" w:eastAsia="Arial" w:hAnsi="Arial"/>
                <w:sz w:val="14"/>
                <w:szCs w:val="14"/>
                <w:color w:val="auto"/>
              </w:rPr>
              <w:t>Revenues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Product revenues</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492,863</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451,174</w:t>
            </w:r>
          </w:p>
        </w:tc>
        <w:tc>
          <w:tcPr>
            <w:tcW w:w="4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1,813,925</w:t>
            </w:r>
          </w:p>
        </w:tc>
        <w:tc>
          <w:tcPr>
            <w:tcW w:w="5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1,830,070</w:t>
            </w:r>
          </w:p>
        </w:tc>
        <w:tc>
          <w:tcPr>
            <w:tcW w:w="0" w:type="dxa"/>
            <w:vAlign w:val="bottom"/>
          </w:tcPr>
          <w:p>
            <w:pPr>
              <w:spacing w:after="0"/>
              <w:rPr>
                <w:sz w:val="1"/>
                <w:szCs w:val="1"/>
                <w:color w:val="auto"/>
              </w:rPr>
            </w:pPr>
          </w:p>
        </w:tc>
      </w:tr>
      <w:tr>
        <w:trPr>
          <w:trHeight w:val="181"/>
        </w:trPr>
        <w:tc>
          <w:tcPr>
            <w:tcW w:w="6060" w:type="dxa"/>
            <w:vAlign w:val="bottom"/>
          </w:tcPr>
          <w:p>
            <w:pPr>
              <w:ind w:left="140"/>
              <w:spacing w:after="0"/>
              <w:rPr>
                <w:sz w:val="20"/>
                <w:szCs w:val="20"/>
                <w:color w:val="auto"/>
              </w:rPr>
            </w:pPr>
            <w:r>
              <w:rPr>
                <w:rFonts w:ascii="Arial" w:cs="Arial" w:eastAsia="Arial" w:hAnsi="Arial"/>
                <w:sz w:val="14"/>
                <w:szCs w:val="14"/>
                <w:color w:val="auto"/>
              </w:rPr>
              <w:t>Service revenues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57,913</w:t>
            </w: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44,539</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204,272</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183,116</w:t>
            </w:r>
          </w:p>
        </w:tc>
        <w:tc>
          <w:tcPr>
            <w:tcW w:w="0" w:type="dxa"/>
            <w:vAlign w:val="bottom"/>
          </w:tcPr>
          <w:p>
            <w:pPr>
              <w:spacing w:after="0"/>
              <w:rPr>
                <w:sz w:val="1"/>
                <w:szCs w:val="1"/>
                <w:color w:val="auto"/>
              </w:rPr>
            </w:pPr>
          </w:p>
        </w:tc>
      </w:tr>
      <w:tr>
        <w:trPr>
          <w:trHeight w:val="169"/>
        </w:trPr>
        <w:tc>
          <w:tcPr>
            <w:tcW w:w="6060" w:type="dxa"/>
            <w:vAlign w:val="bottom"/>
          </w:tcPr>
          <w:p>
            <w:pPr>
              <w:ind w:left="280"/>
              <w:spacing w:after="0"/>
              <w:rPr>
                <w:sz w:val="20"/>
                <w:szCs w:val="20"/>
                <w:color w:val="auto"/>
              </w:rPr>
            </w:pPr>
            <w:r>
              <w:rPr>
                <w:rFonts w:ascii="Arial" w:cs="Arial" w:eastAsia="Arial" w:hAnsi="Arial"/>
                <w:sz w:val="14"/>
                <w:szCs w:val="14"/>
                <w:color w:val="auto"/>
              </w:rPr>
              <w:t>Total revenues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550,776</w:t>
            </w: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495,713</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2,018,197</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2,013,186</w:t>
            </w:r>
          </w:p>
        </w:tc>
        <w:tc>
          <w:tcPr>
            <w:tcW w:w="0" w:type="dxa"/>
            <w:vAlign w:val="bottom"/>
          </w:tcPr>
          <w:p>
            <w:pPr>
              <w:spacing w:after="0"/>
              <w:rPr>
                <w:sz w:val="1"/>
                <w:szCs w:val="1"/>
                <w:color w:val="auto"/>
              </w:rPr>
            </w:pPr>
          </w:p>
        </w:tc>
      </w:tr>
      <w:tr>
        <w:trPr>
          <w:trHeight w:val="164"/>
        </w:trPr>
        <w:tc>
          <w:tcPr>
            <w:tcW w:w="6060" w:type="dxa"/>
            <w:vAlign w:val="bottom"/>
          </w:tcPr>
          <w:p>
            <w:pPr>
              <w:spacing w:after="0"/>
              <w:rPr>
                <w:sz w:val="20"/>
                <w:szCs w:val="20"/>
                <w:color w:val="auto"/>
              </w:rPr>
            </w:pPr>
            <w:r>
              <w:rPr>
                <w:rFonts w:ascii="Arial" w:cs="Arial" w:eastAsia="Arial" w:hAnsi="Arial"/>
                <w:sz w:val="14"/>
                <w:szCs w:val="14"/>
                <w:color w:val="auto"/>
              </w:rPr>
              <w:t>Cost of revenues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Product cost of revenues</w:t>
            </w:r>
          </w:p>
        </w:tc>
        <w:tc>
          <w:tcPr>
            <w:tcW w:w="28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339,114</w:t>
            </w:r>
          </w:p>
        </w:tc>
        <w:tc>
          <w:tcPr>
            <w:tcW w:w="46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311,023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1,205,548</w:t>
            </w:r>
          </w:p>
        </w:tc>
        <w:tc>
          <w:tcPr>
            <w:tcW w:w="5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1,239,152</w:t>
            </w:r>
          </w:p>
        </w:tc>
        <w:tc>
          <w:tcPr>
            <w:tcW w:w="0" w:type="dxa"/>
            <w:vAlign w:val="bottom"/>
          </w:tcPr>
          <w:p>
            <w:pPr>
              <w:spacing w:after="0"/>
              <w:rPr>
                <w:sz w:val="1"/>
                <w:szCs w:val="1"/>
                <w:color w:val="auto"/>
              </w:rPr>
            </w:pPr>
          </w:p>
        </w:tc>
      </w:tr>
      <w:tr>
        <w:trPr>
          <w:trHeight w:val="181"/>
        </w:trPr>
        <w:tc>
          <w:tcPr>
            <w:tcW w:w="6060" w:type="dxa"/>
            <w:vAlign w:val="bottom"/>
          </w:tcPr>
          <w:p>
            <w:pPr>
              <w:ind w:left="140"/>
              <w:spacing w:after="0"/>
              <w:rPr>
                <w:sz w:val="20"/>
                <w:szCs w:val="20"/>
                <w:color w:val="auto"/>
              </w:rPr>
            </w:pPr>
            <w:r>
              <w:rPr>
                <w:rFonts w:ascii="Arial" w:cs="Arial" w:eastAsia="Arial" w:hAnsi="Arial"/>
                <w:sz w:val="14"/>
                <w:szCs w:val="14"/>
                <w:color w:val="auto"/>
              </w:rPr>
              <w:t>Services cost of revenues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36,911</w:t>
            </w: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28,027</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137,495</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113,714</w:t>
            </w:r>
          </w:p>
        </w:tc>
        <w:tc>
          <w:tcPr>
            <w:tcW w:w="0" w:type="dxa"/>
            <w:vAlign w:val="bottom"/>
          </w:tcPr>
          <w:p>
            <w:pPr>
              <w:spacing w:after="0"/>
              <w:rPr>
                <w:sz w:val="1"/>
                <w:szCs w:val="1"/>
                <w:color w:val="auto"/>
              </w:rPr>
            </w:pPr>
          </w:p>
        </w:tc>
      </w:tr>
      <w:tr>
        <w:trPr>
          <w:trHeight w:val="169"/>
        </w:trPr>
        <w:tc>
          <w:tcPr>
            <w:tcW w:w="6060" w:type="dxa"/>
            <w:vAlign w:val="bottom"/>
          </w:tcPr>
          <w:p>
            <w:pPr>
              <w:ind w:left="280"/>
              <w:spacing w:after="0"/>
              <w:rPr>
                <w:sz w:val="20"/>
                <w:szCs w:val="20"/>
                <w:color w:val="auto"/>
              </w:rPr>
            </w:pPr>
            <w:r>
              <w:rPr>
                <w:rFonts w:ascii="Arial" w:cs="Arial" w:eastAsia="Arial" w:hAnsi="Arial"/>
                <w:sz w:val="14"/>
                <w:szCs w:val="14"/>
                <w:color w:val="auto"/>
              </w:rPr>
              <w:t>Total cost of revenues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376,025</w:t>
            </w: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339,050</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1,343,043</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1,352,866</w:t>
            </w:r>
          </w:p>
        </w:tc>
        <w:tc>
          <w:tcPr>
            <w:tcW w:w="0" w:type="dxa"/>
            <w:vAlign w:val="bottom"/>
          </w:tcPr>
          <w:p>
            <w:pPr>
              <w:spacing w:after="0"/>
              <w:rPr>
                <w:sz w:val="1"/>
                <w:szCs w:val="1"/>
                <w:color w:val="auto"/>
              </w:rPr>
            </w:pPr>
          </w:p>
        </w:tc>
      </w:tr>
      <w:tr>
        <w:trPr>
          <w:trHeight w:val="346"/>
        </w:trPr>
        <w:tc>
          <w:tcPr>
            <w:tcW w:w="6060" w:type="dxa"/>
            <w:vAlign w:val="bottom"/>
          </w:tcPr>
          <w:p>
            <w:pPr>
              <w:spacing w:after="0"/>
              <w:rPr>
                <w:sz w:val="20"/>
                <w:szCs w:val="20"/>
                <w:color w:val="auto"/>
              </w:rPr>
            </w:pPr>
            <w:r>
              <w:rPr>
                <w:rFonts w:ascii="Arial" w:cs="Arial" w:eastAsia="Arial" w:hAnsi="Arial"/>
                <w:sz w:val="14"/>
                <w:szCs w:val="14"/>
                <w:color w:val="auto"/>
              </w:rPr>
              <w:t>Gross profit</w:t>
            </w:r>
          </w:p>
        </w:tc>
        <w:tc>
          <w:tcPr>
            <w:tcW w:w="28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174,751</w:t>
            </w:r>
          </w:p>
        </w:tc>
        <w:tc>
          <w:tcPr>
            <w:tcW w:w="4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156,663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675,154</w:t>
            </w:r>
          </w:p>
        </w:tc>
        <w:tc>
          <w:tcPr>
            <w:tcW w:w="50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660,320</w:t>
            </w:r>
          </w:p>
        </w:tc>
        <w:tc>
          <w:tcPr>
            <w:tcW w:w="0" w:type="dxa"/>
            <w:vAlign w:val="bottom"/>
          </w:tcPr>
          <w:p>
            <w:pPr>
              <w:spacing w:after="0"/>
              <w:rPr>
                <w:sz w:val="1"/>
                <w:szCs w:val="1"/>
                <w:color w:val="auto"/>
              </w:rPr>
            </w:pPr>
          </w:p>
        </w:tc>
      </w:tr>
      <w:tr>
        <w:trPr>
          <w:trHeight w:val="344"/>
        </w:trPr>
        <w:tc>
          <w:tcPr>
            <w:tcW w:w="6060" w:type="dxa"/>
            <w:vAlign w:val="bottom"/>
          </w:tcPr>
          <w:p>
            <w:pPr>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43,007</w:t>
            </w:r>
          </w:p>
        </w:tc>
        <w:tc>
          <w:tcPr>
            <w:tcW w:w="46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39,846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170,008</w:t>
            </w:r>
          </w:p>
        </w:tc>
        <w:tc>
          <w:tcPr>
            <w:tcW w:w="5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158,883</w:t>
            </w: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Product development</w:t>
            </w:r>
          </w:p>
        </w:tc>
        <w:tc>
          <w:tcPr>
            <w:tcW w:w="28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43,438</w:t>
            </w:r>
          </w:p>
        </w:tc>
        <w:tc>
          <w:tcPr>
            <w:tcW w:w="46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40,123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169,977</w:t>
            </w:r>
          </w:p>
        </w:tc>
        <w:tc>
          <w:tcPr>
            <w:tcW w:w="5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168,209</w:t>
            </w: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36,466</w:t>
            </w:r>
          </w:p>
        </w:tc>
        <w:tc>
          <w:tcPr>
            <w:tcW w:w="46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32,034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156,540</w:t>
            </w:r>
          </w:p>
        </w:tc>
        <w:tc>
          <w:tcPr>
            <w:tcW w:w="5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162,815</w:t>
            </w: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5,641</w:t>
            </w:r>
          </w:p>
        </w:tc>
        <w:tc>
          <w:tcPr>
            <w:tcW w:w="46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6,110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20,785</w:t>
            </w:r>
          </w:p>
        </w:tc>
        <w:tc>
          <w:tcPr>
            <w:tcW w:w="5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25,112</w:t>
            </w:r>
          </w:p>
        </w:tc>
        <w:tc>
          <w:tcPr>
            <w:tcW w:w="0" w:type="dxa"/>
            <w:vAlign w:val="bottom"/>
          </w:tcPr>
          <w:p>
            <w:pPr>
              <w:spacing w:after="0"/>
              <w:rPr>
                <w:sz w:val="1"/>
                <w:szCs w:val="1"/>
                <w:color w:val="auto"/>
              </w:rPr>
            </w:pPr>
          </w:p>
        </w:tc>
      </w:tr>
      <w:tr>
        <w:trPr>
          <w:trHeight w:val="181"/>
        </w:trPr>
        <w:tc>
          <w:tcPr>
            <w:tcW w:w="6060" w:type="dxa"/>
            <w:vAlign w:val="bottom"/>
          </w:tcPr>
          <w:p>
            <w:pPr>
              <w:ind w:left="140"/>
              <w:spacing w:after="0"/>
              <w:rPr>
                <w:sz w:val="20"/>
                <w:szCs w:val="20"/>
                <w:color w:val="auto"/>
              </w:rPr>
            </w:pPr>
            <w:r>
              <w:rPr>
                <w:rFonts w:ascii="Arial" w:cs="Arial" w:eastAsia="Arial" w:hAnsi="Arial"/>
                <w:sz w:val="14"/>
                <w:szCs w:val="14"/>
                <w:color w:val="auto"/>
              </w:rPr>
              <w:t>Restructuring</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(999)</w:t>
            </w: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7,796</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6,418</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49,090</w:t>
            </w:r>
          </w:p>
        </w:tc>
        <w:tc>
          <w:tcPr>
            <w:tcW w:w="0" w:type="dxa"/>
            <w:vAlign w:val="bottom"/>
          </w:tcPr>
          <w:p>
            <w:pPr>
              <w:spacing w:after="0"/>
              <w:rPr>
                <w:sz w:val="1"/>
                <w:szCs w:val="1"/>
                <w:color w:val="auto"/>
              </w:rPr>
            </w:pPr>
          </w:p>
        </w:tc>
      </w:tr>
      <w:tr>
        <w:trPr>
          <w:trHeight w:val="169"/>
        </w:trPr>
        <w:tc>
          <w:tcPr>
            <w:tcW w:w="6060" w:type="dxa"/>
            <w:vAlign w:val="bottom"/>
          </w:tcPr>
          <w:p>
            <w:pPr>
              <w:ind w:left="280"/>
              <w:spacing w:after="0"/>
              <w:rPr>
                <w:sz w:val="20"/>
                <w:szCs w:val="20"/>
                <w:color w:val="auto"/>
              </w:rPr>
            </w:pPr>
            <w:r>
              <w:rPr>
                <w:rFonts w:ascii="Arial" w:cs="Arial" w:eastAsia="Arial" w:hAnsi="Arial"/>
                <w:sz w:val="14"/>
                <w:szCs w:val="14"/>
                <w:color w:val="auto"/>
              </w:rPr>
              <w:t>Total operating expenses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127,553</w:t>
            </w: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125,909</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523,728</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564,109</w:t>
            </w:r>
          </w:p>
        </w:tc>
        <w:tc>
          <w:tcPr>
            <w:tcW w:w="0" w:type="dxa"/>
            <w:vAlign w:val="bottom"/>
          </w:tcPr>
          <w:p>
            <w:pPr>
              <w:spacing w:after="0"/>
              <w:rPr>
                <w:sz w:val="1"/>
                <w:szCs w:val="1"/>
                <w:color w:val="auto"/>
              </w:rPr>
            </w:pPr>
          </w:p>
        </w:tc>
      </w:tr>
      <w:tr>
        <w:trPr>
          <w:trHeight w:val="339"/>
        </w:trPr>
        <w:tc>
          <w:tcPr>
            <w:tcW w:w="6060" w:type="dxa"/>
            <w:vAlign w:val="bottom"/>
          </w:tcPr>
          <w:p>
            <w:pPr>
              <w:spacing w:after="0"/>
              <w:rPr>
                <w:sz w:val="20"/>
                <w:szCs w:val="20"/>
                <w:color w:val="auto"/>
              </w:rPr>
            </w:pPr>
            <w:r>
              <w:rPr>
                <w:rFonts w:ascii="Arial" w:cs="Arial" w:eastAsia="Arial" w:hAnsi="Arial"/>
                <w:sz w:val="14"/>
                <w:szCs w:val="14"/>
                <w:color w:val="auto"/>
              </w:rPr>
              <w:t>Operating income</w:t>
            </w:r>
          </w:p>
        </w:tc>
        <w:tc>
          <w:tcPr>
            <w:tcW w:w="28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47,198</w:t>
            </w:r>
          </w:p>
        </w:tc>
        <w:tc>
          <w:tcPr>
            <w:tcW w:w="4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30,754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151,426</w:t>
            </w:r>
          </w:p>
        </w:tc>
        <w:tc>
          <w:tcPr>
            <w:tcW w:w="50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96,211</w:t>
            </w:r>
          </w:p>
        </w:tc>
        <w:tc>
          <w:tcPr>
            <w:tcW w:w="0" w:type="dxa"/>
            <w:vAlign w:val="bottom"/>
          </w:tcPr>
          <w:p>
            <w:pPr>
              <w:spacing w:after="0"/>
              <w:rPr>
                <w:sz w:val="1"/>
                <w:szCs w:val="1"/>
                <w:color w:val="auto"/>
              </w:rPr>
            </w:pPr>
          </w:p>
        </w:tc>
      </w:tr>
      <w:tr>
        <w:trPr>
          <w:trHeight w:val="176"/>
        </w:trPr>
        <w:tc>
          <w:tcPr>
            <w:tcW w:w="6060" w:type="dxa"/>
            <w:vAlign w:val="bottom"/>
          </w:tcPr>
          <w:p>
            <w:pPr>
              <w:spacing w:after="0"/>
              <w:rPr>
                <w:sz w:val="20"/>
                <w:szCs w:val="20"/>
                <w:color w:val="auto"/>
              </w:rPr>
            </w:pPr>
            <w:r>
              <w:rPr>
                <w:rFonts w:ascii="Arial" w:cs="Arial" w:eastAsia="Arial" w:hAnsi="Arial"/>
                <w:sz w:val="14"/>
                <w:szCs w:val="14"/>
                <w:color w:val="auto"/>
              </w:rPr>
              <w:t>Other income (expense)</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658</w:t>
            </w:r>
          </w:p>
        </w:tc>
        <w:tc>
          <w:tcPr>
            <w:tcW w:w="46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2,126</w:t>
            </w:r>
          </w:p>
        </w:tc>
        <w:tc>
          <w:tcPr>
            <w:tcW w:w="5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(3,133)</w:t>
            </w:r>
          </w:p>
        </w:tc>
        <w:tc>
          <w:tcPr>
            <w:tcW w:w="46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(2,604)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(11,581)</w:t>
            </w:r>
          </w:p>
        </w:tc>
        <w:tc>
          <w:tcPr>
            <w:tcW w:w="50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(10,948)</w:t>
            </w:r>
          </w:p>
        </w:tc>
        <w:tc>
          <w:tcPr>
            <w:tcW w:w="0" w:type="dxa"/>
            <w:vAlign w:val="bottom"/>
          </w:tcPr>
          <w:p>
            <w:pPr>
              <w:spacing w:after="0"/>
              <w:rPr>
                <w:sz w:val="1"/>
                <w:szCs w:val="1"/>
                <w:color w:val="auto"/>
              </w:rPr>
            </w:pPr>
          </w:p>
        </w:tc>
      </w:tr>
      <w:tr>
        <w:trPr>
          <w:trHeight w:val="181"/>
        </w:trPr>
        <w:tc>
          <w:tcPr>
            <w:tcW w:w="6060" w:type="dxa"/>
            <w:vAlign w:val="bottom"/>
          </w:tcPr>
          <w:p>
            <w:pPr>
              <w:ind w:left="140"/>
              <w:spacing w:after="0"/>
              <w:rPr>
                <w:sz w:val="20"/>
                <w:szCs w:val="20"/>
                <w:color w:val="auto"/>
              </w:rPr>
            </w:pPr>
            <w:r>
              <w:rPr>
                <w:rFonts w:ascii="Arial" w:cs="Arial" w:eastAsia="Arial" w:hAnsi="Arial"/>
                <w:sz w:val="14"/>
                <w:szCs w:val="14"/>
                <w:color w:val="auto"/>
              </w:rPr>
              <w:t>Other income (expense), net</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(270)</w:t>
            </w: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(7,396)</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169"/>
        </w:trPr>
        <w:tc>
          <w:tcPr>
            <w:tcW w:w="6060" w:type="dxa"/>
            <w:vAlign w:val="bottom"/>
          </w:tcPr>
          <w:p>
            <w:pPr>
              <w:ind w:left="280"/>
              <w:spacing w:after="0"/>
              <w:rPr>
                <w:sz w:val="20"/>
                <w:szCs w:val="20"/>
                <w:color w:val="auto"/>
              </w:rPr>
            </w:pPr>
            <w:r>
              <w:rPr>
                <w:rFonts w:ascii="Arial" w:cs="Arial" w:eastAsia="Arial" w:hAnsi="Arial"/>
                <w:sz w:val="14"/>
                <w:szCs w:val="14"/>
                <w:color w:val="auto"/>
              </w:rPr>
              <w:t>Total other income (expense)</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(2,745)</w:t>
            </w: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(2,760)</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(16,851)</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(11,584)</w:t>
            </w:r>
          </w:p>
        </w:tc>
        <w:tc>
          <w:tcPr>
            <w:tcW w:w="0" w:type="dxa"/>
            <w:vAlign w:val="bottom"/>
          </w:tcPr>
          <w:p>
            <w:pPr>
              <w:spacing w:after="0"/>
              <w:rPr>
                <w:sz w:val="1"/>
                <w:szCs w:val="1"/>
                <w:color w:val="auto"/>
              </w:rPr>
            </w:pPr>
          </w:p>
        </w:tc>
      </w:tr>
      <w:tr>
        <w:trPr>
          <w:trHeight w:val="339"/>
        </w:trPr>
        <w:tc>
          <w:tcPr>
            <w:tcW w:w="606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28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44,453</w:t>
            </w:r>
          </w:p>
        </w:tc>
        <w:tc>
          <w:tcPr>
            <w:tcW w:w="4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27,994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134,575</w:t>
            </w:r>
          </w:p>
        </w:tc>
        <w:tc>
          <w:tcPr>
            <w:tcW w:w="50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84,627</w:t>
            </w:r>
          </w:p>
        </w:tc>
        <w:tc>
          <w:tcPr>
            <w:tcW w:w="0" w:type="dxa"/>
            <w:vAlign w:val="bottom"/>
          </w:tcPr>
          <w:p>
            <w:pPr>
              <w:spacing w:after="0"/>
              <w:rPr>
                <w:sz w:val="1"/>
                <w:szCs w:val="1"/>
                <w:color w:val="auto"/>
              </w:rPr>
            </w:pPr>
          </w:p>
        </w:tc>
      </w:tr>
      <w:tr>
        <w:trPr>
          <w:trHeight w:val="181"/>
        </w:trPr>
        <w:tc>
          <w:tcPr>
            <w:tcW w:w="6060" w:type="dxa"/>
            <w:vAlign w:val="bottom"/>
          </w:tcPr>
          <w:p>
            <w:pPr>
              <w:spacing w:after="0"/>
              <w:rPr>
                <w:sz w:val="20"/>
                <w:szCs w:val="20"/>
                <w:color w:val="auto"/>
              </w:rPr>
            </w:pPr>
            <w:r>
              <w:rPr>
                <w:rFonts w:ascii="Arial" w:cs="Arial" w:eastAsia="Arial" w:hAnsi="Arial"/>
                <w:sz w:val="14"/>
                <w:szCs w:val="14"/>
                <w:color w:val="auto"/>
              </w:rPr>
              <w:t>Income tax provision</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(42,079)</w:t>
            </w: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(15,325)</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(74,326)</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(49,574)</w:t>
            </w:r>
          </w:p>
        </w:tc>
        <w:tc>
          <w:tcPr>
            <w:tcW w:w="0" w:type="dxa"/>
            <w:vAlign w:val="bottom"/>
          </w:tcPr>
          <w:p>
            <w:pPr>
              <w:spacing w:after="0"/>
              <w:rPr>
                <w:sz w:val="1"/>
                <w:szCs w:val="1"/>
                <w:color w:val="auto"/>
              </w:rPr>
            </w:pPr>
          </w:p>
        </w:tc>
      </w:tr>
      <w:tr>
        <w:trPr>
          <w:trHeight w:val="164"/>
        </w:trPr>
        <w:tc>
          <w:tcPr>
            <w:tcW w:w="6060" w:type="dxa"/>
            <w:vAlign w:val="bottom"/>
          </w:tcPr>
          <w:p>
            <w:pPr>
              <w:spacing w:after="0"/>
              <w:rPr>
                <w:sz w:val="20"/>
                <w:szCs w:val="20"/>
                <w:color w:val="auto"/>
              </w:rPr>
            </w:pPr>
            <w:r>
              <w:rPr>
                <w:rFonts w:ascii="Arial" w:cs="Arial" w:eastAsia="Arial" w:hAnsi="Arial"/>
                <w:sz w:val="14"/>
                <w:szCs w:val="14"/>
                <w:color w:val="auto"/>
              </w:rPr>
              <w:t>Net income</w:t>
            </w:r>
          </w:p>
        </w:tc>
        <w:tc>
          <w:tcPr>
            <w:tcW w:w="2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2,374</w:t>
            </w:r>
          </w:p>
        </w:tc>
        <w:tc>
          <w:tcPr>
            <w:tcW w:w="4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12,669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60,249</w:t>
            </w:r>
          </w:p>
        </w:tc>
        <w:tc>
          <w:tcPr>
            <w:tcW w:w="50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35,053</w:t>
            </w:r>
          </w:p>
        </w:tc>
        <w:tc>
          <w:tcPr>
            <w:tcW w:w="0" w:type="dxa"/>
            <w:vAlign w:val="bottom"/>
          </w:tcPr>
          <w:p>
            <w:pPr>
              <w:spacing w:after="0"/>
              <w:rPr>
                <w:sz w:val="1"/>
                <w:szCs w:val="1"/>
                <w:color w:val="auto"/>
              </w:rPr>
            </w:pPr>
          </w:p>
        </w:tc>
      </w:tr>
      <w:tr>
        <w:trPr>
          <w:trHeight w:val="181"/>
        </w:trPr>
        <w:tc>
          <w:tcPr>
            <w:tcW w:w="6060" w:type="dxa"/>
            <w:vAlign w:val="bottom"/>
          </w:tcPr>
          <w:p>
            <w:pPr>
              <w:ind w:left="140"/>
              <w:spacing w:after="0"/>
              <w:rPr>
                <w:sz w:val="20"/>
                <w:szCs w:val="20"/>
                <w:color w:val="auto"/>
              </w:rPr>
            </w:pPr>
            <w:r>
              <w:rPr>
                <w:rFonts w:ascii="Arial" w:cs="Arial" w:eastAsia="Arial" w:hAnsi="Arial"/>
                <w:sz w:val="14"/>
                <w:szCs w:val="14"/>
                <w:color w:val="auto"/>
              </w:rPr>
              <w:t>Net income attributable to noncontrolling interests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594</w:t>
            </w: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1,020</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2,951</w:t>
            </w: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3,283</w:t>
            </w:r>
          </w:p>
        </w:tc>
        <w:tc>
          <w:tcPr>
            <w:tcW w:w="0" w:type="dxa"/>
            <w:vAlign w:val="bottom"/>
          </w:tcPr>
          <w:p>
            <w:pPr>
              <w:spacing w:after="0"/>
              <w:rPr>
                <w:sz w:val="1"/>
                <w:szCs w:val="1"/>
                <w:color w:val="auto"/>
              </w:rPr>
            </w:pPr>
          </w:p>
        </w:tc>
      </w:tr>
      <w:tr>
        <w:trPr>
          <w:trHeight w:val="169"/>
        </w:trPr>
        <w:tc>
          <w:tcPr>
            <w:tcW w:w="6060" w:type="dxa"/>
            <w:vAlign w:val="bottom"/>
          </w:tcPr>
          <w:p>
            <w:pPr>
              <w:spacing w:after="0"/>
              <w:rPr>
                <w:sz w:val="20"/>
                <w:szCs w:val="20"/>
                <w:color w:val="auto"/>
              </w:rPr>
            </w:pPr>
            <w:r>
              <w:rPr>
                <w:rFonts w:ascii="Arial" w:cs="Arial" w:eastAsia="Arial" w:hAnsi="Arial"/>
                <w:sz w:val="14"/>
                <w:szCs w:val="14"/>
                <w:color w:val="auto"/>
              </w:rPr>
              <w:t>Net income attributable to Itron, Inc.</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1,780</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11,649</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57,298</w:t>
            </w: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31,770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6060" w:type="dxa"/>
            <w:vAlign w:val="bottom"/>
          </w:tcPr>
          <w:p>
            <w:pPr>
              <w:spacing w:after="0"/>
              <w:rPr>
                <w:sz w:val="20"/>
                <w:szCs w:val="20"/>
                <w:color w:val="auto"/>
              </w:rPr>
            </w:pPr>
            <w:r>
              <w:rPr>
                <w:rFonts w:ascii="Arial" w:cs="Arial" w:eastAsia="Arial" w:hAnsi="Arial"/>
                <w:sz w:val="14"/>
                <w:szCs w:val="14"/>
                <w:color w:val="auto"/>
              </w:rPr>
              <w:t>Earnings per common share - Basic</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0.05</w:t>
            </w: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0.30</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1.48</w:t>
            </w:r>
          </w:p>
        </w:tc>
        <w:tc>
          <w:tcPr>
            <w:tcW w:w="5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4"/>
                <w:szCs w:val="14"/>
                <w:color w:val="auto"/>
              </w:rPr>
              <w:t>Earnings per common share - Diluted</w:t>
            </w: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60" w:type="dxa"/>
            <w:vAlign w:val="bottom"/>
            <w:vMerge w:val="continue"/>
          </w:tcPr>
          <w:p>
            <w:pPr>
              <w:spacing w:after="0"/>
              <w:rPr>
                <w:sz w:val="13"/>
                <w:szCs w:val="13"/>
                <w:color w:val="auto"/>
              </w:rPr>
            </w:pPr>
          </w:p>
        </w:tc>
        <w:tc>
          <w:tcPr>
            <w:tcW w:w="28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0.05</w:t>
            </w:r>
          </w:p>
        </w:tc>
        <w:tc>
          <w:tcPr>
            <w:tcW w:w="460" w:type="dxa"/>
            <w:vAlign w:val="bottom"/>
            <w:tcBorders>
              <w:top w:val="single" w:sz="8" w:color="auto"/>
              <w:bottom w:val="single" w:sz="8" w:color="auto"/>
            </w:tcBorders>
          </w:tcPr>
          <w:p>
            <w:pPr>
              <w:jc w:val="right"/>
              <w:ind w:right="188"/>
              <w:spacing w:after="0" w:line="156"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8"/>
              <w:spacing w:after="0" w:line="156" w:lineRule="exact"/>
              <w:rPr>
                <w:sz w:val="20"/>
                <w:szCs w:val="20"/>
                <w:color w:val="auto"/>
              </w:rPr>
            </w:pPr>
            <w:r>
              <w:rPr>
                <w:rFonts w:ascii="Arial" w:cs="Arial" w:eastAsia="Arial" w:hAnsi="Arial"/>
                <w:sz w:val="14"/>
                <w:szCs w:val="14"/>
                <w:color w:val="auto"/>
              </w:rPr>
              <w:t>0.30</w:t>
            </w:r>
          </w:p>
        </w:tc>
        <w:tc>
          <w:tcPr>
            <w:tcW w:w="1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1.45</w:t>
            </w:r>
          </w:p>
        </w:tc>
        <w:tc>
          <w:tcPr>
            <w:tcW w:w="500" w:type="dxa"/>
            <w:vAlign w:val="bottom"/>
            <w:tcBorders>
              <w:top w:val="single" w:sz="8" w:color="auto"/>
              <w:bottom w:val="single" w:sz="8" w:color="auto"/>
            </w:tcBorders>
          </w:tcPr>
          <w:p>
            <w:pPr>
              <w:jc w:val="right"/>
              <w:ind w:right="228"/>
              <w:spacing w:after="0" w:line="156"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060" w:type="dxa"/>
            <w:vAlign w:val="bottom"/>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tcPr>
          <w:p>
            <w:pPr>
              <w:spacing w:after="0"/>
              <w:rPr>
                <w:sz w:val="24"/>
                <w:szCs w:val="2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38,745</w:t>
            </w:r>
          </w:p>
        </w:tc>
        <w:tc>
          <w:tcPr>
            <w:tcW w:w="460" w:type="dxa"/>
            <w:vAlign w:val="bottom"/>
          </w:tcPr>
          <w:p>
            <w:pPr>
              <w:spacing w:after="0"/>
              <w:rPr>
                <w:sz w:val="24"/>
                <w:szCs w:val="2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38,283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38,655</w:t>
            </w:r>
          </w:p>
        </w:tc>
        <w:tc>
          <w:tcPr>
            <w:tcW w:w="50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38,207</w:t>
            </w:r>
          </w:p>
        </w:tc>
        <w:tc>
          <w:tcPr>
            <w:tcW w:w="0" w:type="dxa"/>
            <w:vAlign w:val="bottom"/>
          </w:tcPr>
          <w:p>
            <w:pPr>
              <w:spacing w:after="0"/>
              <w:rPr>
                <w:sz w:val="1"/>
                <w:szCs w:val="1"/>
                <w:color w:val="auto"/>
              </w:rPr>
            </w:pPr>
          </w:p>
        </w:tc>
      </w:tr>
      <w:tr>
        <w:trPr>
          <w:trHeight w:val="182"/>
        </w:trPr>
        <w:tc>
          <w:tcPr>
            <w:tcW w:w="6060" w:type="dxa"/>
            <w:vAlign w:val="bottom"/>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39,530</w:t>
            </w:r>
          </w:p>
        </w:tc>
        <w:tc>
          <w:tcPr>
            <w:tcW w:w="460" w:type="dxa"/>
            <w:vAlign w:val="bottom"/>
          </w:tcPr>
          <w:p>
            <w:pPr>
              <w:spacing w:after="0"/>
              <w:rPr>
                <w:sz w:val="15"/>
                <w:szCs w:val="15"/>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39,028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39,387</w:t>
            </w:r>
          </w:p>
        </w:tc>
        <w:tc>
          <w:tcPr>
            <w:tcW w:w="50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38,643</w:t>
            </w:r>
          </w:p>
        </w:tc>
        <w:tc>
          <w:tcPr>
            <w:tcW w:w="0" w:type="dxa"/>
            <w:vAlign w:val="bottom"/>
          </w:tcPr>
          <w:p>
            <w:pPr>
              <w:spacing w:after="0"/>
              <w:rPr>
                <w:sz w:val="1"/>
                <w:szCs w:val="1"/>
                <w:color w:val="auto"/>
              </w:rPr>
            </w:pPr>
          </w:p>
        </w:tc>
      </w:tr>
      <w:tr>
        <w:trPr>
          <w:trHeight w:val="309"/>
        </w:trPr>
        <w:tc>
          <w:tcPr>
            <w:tcW w:w="6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SEGMENT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0" w:type="dxa"/>
            <w:vAlign w:val="bottom"/>
          </w:tcPr>
          <w:p>
            <w:pPr>
              <w:spacing w:after="0"/>
              <w:rPr>
                <w:sz w:val="20"/>
                <w:szCs w:val="20"/>
                <w:color w:val="auto"/>
              </w:rPr>
            </w:pPr>
            <w:r>
              <w:rPr>
                <w:rFonts w:ascii="Arial" w:cs="Arial" w:eastAsia="Arial" w:hAnsi="Arial"/>
                <w:sz w:val="14"/>
                <w:szCs w:val="14"/>
                <w:color w:val="auto"/>
              </w:rPr>
              <w:t>(Unaudited, in thousands)</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00" w:type="dxa"/>
            <w:vAlign w:val="bottom"/>
            <w:gridSpan w:val="3"/>
            <w:vMerge w:val="restart"/>
          </w:tcPr>
          <w:p>
            <w:pPr>
              <w:jc w:val="center"/>
              <w:ind w:right="288"/>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60" w:type="dxa"/>
            <w:vAlign w:val="bottom"/>
            <w:gridSpan w:val="2"/>
            <w:vMerge w:val="restart"/>
          </w:tcPr>
          <w:p>
            <w:pPr>
              <w:jc w:val="center"/>
              <w:ind w:left="488"/>
              <w:spacing w:after="0"/>
              <w:rPr>
                <w:sz w:val="20"/>
                <w:szCs w:val="20"/>
                <w:color w:val="auto"/>
              </w:rPr>
            </w:pPr>
            <w:r>
              <w:rPr>
                <w:rFonts w:ascii="Arial" w:cs="Arial" w:eastAsia="Arial" w:hAnsi="Arial"/>
                <w:sz w:val="14"/>
                <w:szCs w:val="14"/>
                <w:b w:val="1"/>
                <w:bCs w:val="1"/>
                <w:color w:val="auto"/>
                <w:w w:val="92"/>
              </w:rPr>
              <w:t>Twelve Months Ended</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left="508"/>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64"/>
        </w:trPr>
        <w:tc>
          <w:tcPr>
            <w:tcW w:w="340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140"/>
              <w:spacing w:after="0"/>
              <w:rPr>
                <w:sz w:val="20"/>
                <w:szCs w:val="20"/>
                <w:color w:val="auto"/>
              </w:rPr>
            </w:pPr>
            <w:r>
              <w:rPr>
                <w:rFonts w:ascii="Arial" w:cs="Arial" w:eastAsia="Arial" w:hAnsi="Arial"/>
                <w:sz w:val="14"/>
                <w:szCs w:val="14"/>
                <w:color w:val="auto"/>
              </w:rPr>
              <w:t>Electricity</w:t>
            </w:r>
          </w:p>
        </w:tc>
        <w:tc>
          <w:tcPr>
            <w:tcW w:w="20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293,714</w:t>
            </w: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245,589</w:t>
            </w:r>
          </w:p>
        </w:tc>
        <w:tc>
          <w:tcPr>
            <w:tcW w:w="5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1,022,939</w:t>
            </w:r>
          </w:p>
        </w:tc>
        <w:tc>
          <w:tcPr>
            <w:tcW w:w="7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938,374</w:t>
            </w:r>
          </w:p>
        </w:tc>
        <w:tc>
          <w:tcPr>
            <w:tcW w:w="0" w:type="dxa"/>
            <w:vAlign w:val="bottom"/>
          </w:tcPr>
          <w:p>
            <w:pPr>
              <w:spacing w:after="0"/>
              <w:rPr>
                <w:sz w:val="1"/>
                <w:szCs w:val="1"/>
                <w:color w:val="auto"/>
              </w:rPr>
            </w:pPr>
          </w:p>
        </w:tc>
      </w:tr>
      <w:tr>
        <w:trPr>
          <w:trHeight w:val="176"/>
        </w:trPr>
        <w:tc>
          <w:tcPr>
            <w:tcW w:w="3400" w:type="dxa"/>
            <w:vAlign w:val="bottom"/>
          </w:tcPr>
          <w:p>
            <w:pPr>
              <w:ind w:left="140"/>
              <w:spacing w:after="0"/>
              <w:rPr>
                <w:sz w:val="20"/>
                <w:szCs w:val="20"/>
                <w:color w:val="auto"/>
              </w:rPr>
            </w:pPr>
            <w:r>
              <w:rPr>
                <w:rFonts w:ascii="Arial" w:cs="Arial" w:eastAsia="Arial" w:hAnsi="Arial"/>
                <w:sz w:val="14"/>
                <w:szCs w:val="14"/>
                <w:color w:val="auto"/>
              </w:rPr>
              <w:t>Gas</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138,933</w:t>
            </w:r>
          </w:p>
        </w:tc>
        <w:tc>
          <w:tcPr>
            <w:tcW w:w="52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135,769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533,624</w:t>
            </w:r>
          </w:p>
        </w:tc>
        <w:tc>
          <w:tcPr>
            <w:tcW w:w="70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569,476</w:t>
            </w:r>
          </w:p>
        </w:tc>
        <w:tc>
          <w:tcPr>
            <w:tcW w:w="0" w:type="dxa"/>
            <w:vAlign w:val="bottom"/>
          </w:tcPr>
          <w:p>
            <w:pPr>
              <w:spacing w:after="0"/>
              <w:rPr>
                <w:sz w:val="1"/>
                <w:szCs w:val="1"/>
                <w:color w:val="auto"/>
              </w:rPr>
            </w:pPr>
          </w:p>
        </w:tc>
      </w:tr>
      <w:tr>
        <w:trPr>
          <w:trHeight w:val="181"/>
        </w:trPr>
        <w:tc>
          <w:tcPr>
            <w:tcW w:w="3400" w:type="dxa"/>
            <w:vAlign w:val="bottom"/>
          </w:tcPr>
          <w:p>
            <w:pPr>
              <w:ind w:left="140"/>
              <w:spacing w:after="0"/>
              <w:rPr>
                <w:sz w:val="20"/>
                <w:szCs w:val="20"/>
                <w:color w:val="auto"/>
              </w:rPr>
            </w:pPr>
            <w:r>
              <w:rPr>
                <w:rFonts w:ascii="Arial" w:cs="Arial" w:eastAsia="Arial" w:hAnsi="Arial"/>
                <w:sz w:val="14"/>
                <w:szCs w:val="14"/>
                <w:color w:val="auto"/>
              </w:rPr>
              <w:t>Water</w:t>
            </w:r>
          </w:p>
        </w:tc>
        <w:tc>
          <w:tcPr>
            <w:tcW w:w="1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118,129</w:t>
            </w: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114,355</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461,634</w:t>
            </w: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505,336</w:t>
            </w:r>
          </w:p>
        </w:tc>
        <w:tc>
          <w:tcPr>
            <w:tcW w:w="0" w:type="dxa"/>
            <w:vAlign w:val="bottom"/>
          </w:tcPr>
          <w:p>
            <w:pPr>
              <w:spacing w:after="0"/>
              <w:rPr>
                <w:sz w:val="1"/>
                <w:szCs w:val="1"/>
                <w:color w:val="auto"/>
              </w:rPr>
            </w:pPr>
          </w:p>
        </w:tc>
      </w:tr>
      <w:tr>
        <w:trPr>
          <w:trHeight w:val="169"/>
        </w:trPr>
        <w:tc>
          <w:tcPr>
            <w:tcW w:w="3400" w:type="dxa"/>
            <w:vAlign w:val="bottom"/>
          </w:tcPr>
          <w:p>
            <w:pPr>
              <w:ind w:left="280"/>
              <w:spacing w:after="0"/>
              <w:rPr>
                <w:sz w:val="20"/>
                <w:szCs w:val="20"/>
                <w:color w:val="auto"/>
              </w:rPr>
            </w:pPr>
            <w:r>
              <w:rPr>
                <w:rFonts w:ascii="Arial" w:cs="Arial" w:eastAsia="Arial" w:hAnsi="Arial"/>
                <w:sz w:val="14"/>
                <w:szCs w:val="14"/>
                <w:color w:val="auto"/>
              </w:rPr>
              <w:t>Total Company</w:t>
            </w:r>
          </w:p>
        </w:tc>
        <w:tc>
          <w:tcPr>
            <w:tcW w:w="17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550,776</w:t>
            </w:r>
          </w:p>
        </w:tc>
        <w:tc>
          <w:tcPr>
            <w:tcW w:w="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495,713</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2,018,197</w:t>
            </w:r>
          </w:p>
        </w:tc>
        <w:tc>
          <w:tcPr>
            <w:tcW w:w="7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2,013,186</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Gross profit</w:t>
            </w:r>
          </w:p>
        </w:tc>
        <w:tc>
          <w:tcPr>
            <w:tcW w:w="1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4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140"/>
              <w:spacing w:after="0"/>
              <w:rPr>
                <w:sz w:val="20"/>
                <w:szCs w:val="20"/>
                <w:color w:val="auto"/>
              </w:rPr>
            </w:pPr>
            <w:r>
              <w:rPr>
                <w:rFonts w:ascii="Arial" w:cs="Arial" w:eastAsia="Arial" w:hAnsi="Arial"/>
                <w:sz w:val="14"/>
                <w:szCs w:val="14"/>
                <w:color w:val="auto"/>
              </w:rPr>
              <w:t>Electricity</w:t>
            </w:r>
          </w:p>
        </w:tc>
        <w:tc>
          <w:tcPr>
            <w:tcW w:w="20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96,726</w:t>
            </w: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71,837</w:t>
            </w:r>
          </w:p>
        </w:tc>
        <w:tc>
          <w:tcPr>
            <w:tcW w:w="5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318,953</w:t>
            </w:r>
          </w:p>
        </w:tc>
        <w:tc>
          <w:tcPr>
            <w:tcW w:w="7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282,677</w:t>
            </w:r>
          </w:p>
        </w:tc>
        <w:tc>
          <w:tcPr>
            <w:tcW w:w="0" w:type="dxa"/>
            <w:vAlign w:val="bottom"/>
          </w:tcPr>
          <w:p>
            <w:pPr>
              <w:spacing w:after="0"/>
              <w:rPr>
                <w:sz w:val="1"/>
                <w:szCs w:val="1"/>
                <w:color w:val="auto"/>
              </w:rPr>
            </w:pPr>
          </w:p>
        </w:tc>
      </w:tr>
      <w:tr>
        <w:trPr>
          <w:trHeight w:val="176"/>
        </w:trPr>
        <w:tc>
          <w:tcPr>
            <w:tcW w:w="3400" w:type="dxa"/>
            <w:vAlign w:val="bottom"/>
          </w:tcPr>
          <w:p>
            <w:pPr>
              <w:ind w:left="140"/>
              <w:spacing w:after="0"/>
              <w:rPr>
                <w:sz w:val="20"/>
                <w:szCs w:val="20"/>
                <w:color w:val="auto"/>
              </w:rPr>
            </w:pPr>
            <w:r>
              <w:rPr>
                <w:rFonts w:ascii="Arial" w:cs="Arial" w:eastAsia="Arial" w:hAnsi="Arial"/>
                <w:sz w:val="14"/>
                <w:szCs w:val="14"/>
                <w:color w:val="auto"/>
              </w:rPr>
              <w:t>Gas</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44,267</w:t>
            </w:r>
          </w:p>
        </w:tc>
        <w:tc>
          <w:tcPr>
            <w:tcW w:w="52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46,907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191,303</w:t>
            </w:r>
          </w:p>
        </w:tc>
        <w:tc>
          <w:tcPr>
            <w:tcW w:w="70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205,063</w:t>
            </w:r>
          </w:p>
        </w:tc>
        <w:tc>
          <w:tcPr>
            <w:tcW w:w="0" w:type="dxa"/>
            <w:vAlign w:val="bottom"/>
          </w:tcPr>
          <w:p>
            <w:pPr>
              <w:spacing w:after="0"/>
              <w:rPr>
                <w:sz w:val="1"/>
                <w:szCs w:val="1"/>
                <w:color w:val="auto"/>
              </w:rPr>
            </w:pPr>
          </w:p>
        </w:tc>
      </w:tr>
      <w:tr>
        <w:trPr>
          <w:trHeight w:val="181"/>
        </w:trPr>
        <w:tc>
          <w:tcPr>
            <w:tcW w:w="3400" w:type="dxa"/>
            <w:vAlign w:val="bottom"/>
          </w:tcPr>
          <w:p>
            <w:pPr>
              <w:ind w:left="140"/>
              <w:spacing w:after="0"/>
              <w:rPr>
                <w:sz w:val="20"/>
                <w:szCs w:val="20"/>
                <w:color w:val="auto"/>
              </w:rPr>
            </w:pPr>
            <w:r>
              <w:rPr>
                <w:rFonts w:ascii="Arial" w:cs="Arial" w:eastAsia="Arial" w:hAnsi="Arial"/>
                <w:sz w:val="14"/>
                <w:szCs w:val="14"/>
                <w:color w:val="auto"/>
              </w:rPr>
              <w:t>Water</w:t>
            </w:r>
          </w:p>
        </w:tc>
        <w:tc>
          <w:tcPr>
            <w:tcW w:w="1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33,758</w:t>
            </w: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37,919</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164,898</w:t>
            </w: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172,580</w:t>
            </w:r>
          </w:p>
        </w:tc>
        <w:tc>
          <w:tcPr>
            <w:tcW w:w="0" w:type="dxa"/>
            <w:vAlign w:val="bottom"/>
          </w:tcPr>
          <w:p>
            <w:pPr>
              <w:spacing w:after="0"/>
              <w:rPr>
                <w:sz w:val="1"/>
                <w:szCs w:val="1"/>
                <w:color w:val="auto"/>
              </w:rPr>
            </w:pPr>
          </w:p>
        </w:tc>
      </w:tr>
      <w:tr>
        <w:trPr>
          <w:trHeight w:val="169"/>
        </w:trPr>
        <w:tc>
          <w:tcPr>
            <w:tcW w:w="3400" w:type="dxa"/>
            <w:vAlign w:val="bottom"/>
          </w:tcPr>
          <w:p>
            <w:pPr>
              <w:ind w:left="280"/>
              <w:spacing w:after="0"/>
              <w:rPr>
                <w:sz w:val="20"/>
                <w:szCs w:val="20"/>
                <w:color w:val="auto"/>
              </w:rPr>
            </w:pPr>
            <w:r>
              <w:rPr>
                <w:rFonts w:ascii="Arial" w:cs="Arial" w:eastAsia="Arial" w:hAnsi="Arial"/>
                <w:sz w:val="14"/>
                <w:szCs w:val="14"/>
                <w:color w:val="auto"/>
              </w:rPr>
              <w:t>Total Company</w:t>
            </w:r>
          </w:p>
        </w:tc>
        <w:tc>
          <w:tcPr>
            <w:tcW w:w="17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174,751</w:t>
            </w:r>
          </w:p>
        </w:tc>
        <w:tc>
          <w:tcPr>
            <w:tcW w:w="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156,663</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675,154</w:t>
            </w:r>
          </w:p>
        </w:tc>
        <w:tc>
          <w:tcPr>
            <w:tcW w:w="7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660,320</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Operating income</w:t>
            </w:r>
          </w:p>
        </w:tc>
        <w:tc>
          <w:tcPr>
            <w:tcW w:w="1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4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140"/>
              <w:spacing w:after="0"/>
              <w:rPr>
                <w:sz w:val="20"/>
                <w:szCs w:val="20"/>
                <w:color w:val="auto"/>
              </w:rPr>
            </w:pPr>
            <w:r>
              <w:rPr>
                <w:rFonts w:ascii="Arial" w:cs="Arial" w:eastAsia="Arial" w:hAnsi="Arial"/>
                <w:sz w:val="14"/>
                <w:szCs w:val="14"/>
                <w:color w:val="auto"/>
              </w:rPr>
              <w:t>Electricity</w:t>
            </w:r>
          </w:p>
        </w:tc>
        <w:tc>
          <w:tcPr>
            <w:tcW w:w="20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41,937</w:t>
            </w:r>
          </w:p>
        </w:tc>
        <w:tc>
          <w:tcPr>
            <w:tcW w:w="5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17,195</w:t>
            </w:r>
          </w:p>
        </w:tc>
        <w:tc>
          <w:tcPr>
            <w:tcW w:w="5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93,566</w:t>
            </w:r>
          </w:p>
        </w:tc>
        <w:tc>
          <w:tcPr>
            <w:tcW w:w="7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68,287</w:t>
            </w:r>
          </w:p>
        </w:tc>
        <w:tc>
          <w:tcPr>
            <w:tcW w:w="0" w:type="dxa"/>
            <w:vAlign w:val="bottom"/>
          </w:tcPr>
          <w:p>
            <w:pPr>
              <w:spacing w:after="0"/>
              <w:rPr>
                <w:sz w:val="1"/>
                <w:szCs w:val="1"/>
                <w:color w:val="auto"/>
              </w:rPr>
            </w:pPr>
          </w:p>
        </w:tc>
      </w:tr>
      <w:tr>
        <w:trPr>
          <w:trHeight w:val="176"/>
        </w:trPr>
        <w:tc>
          <w:tcPr>
            <w:tcW w:w="3400" w:type="dxa"/>
            <w:vAlign w:val="bottom"/>
          </w:tcPr>
          <w:p>
            <w:pPr>
              <w:ind w:left="140"/>
              <w:spacing w:after="0"/>
              <w:rPr>
                <w:sz w:val="20"/>
                <w:szCs w:val="20"/>
                <w:color w:val="auto"/>
              </w:rPr>
            </w:pPr>
            <w:r>
              <w:rPr>
                <w:rFonts w:ascii="Arial" w:cs="Arial" w:eastAsia="Arial" w:hAnsi="Arial"/>
                <w:sz w:val="14"/>
                <w:szCs w:val="14"/>
                <w:color w:val="auto"/>
              </w:rPr>
              <w:t>Gas</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16,357</w:t>
            </w:r>
          </w:p>
        </w:tc>
        <w:tc>
          <w:tcPr>
            <w:tcW w:w="52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18,002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74,206</w:t>
            </w:r>
          </w:p>
        </w:tc>
        <w:tc>
          <w:tcPr>
            <w:tcW w:w="70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66,813</w:t>
            </w:r>
          </w:p>
        </w:tc>
        <w:tc>
          <w:tcPr>
            <w:tcW w:w="0" w:type="dxa"/>
            <w:vAlign w:val="bottom"/>
          </w:tcPr>
          <w:p>
            <w:pPr>
              <w:spacing w:after="0"/>
              <w:rPr>
                <w:sz w:val="1"/>
                <w:szCs w:val="1"/>
                <w:color w:val="auto"/>
              </w:rPr>
            </w:pPr>
          </w:p>
        </w:tc>
      </w:tr>
      <w:tr>
        <w:trPr>
          <w:trHeight w:val="176"/>
        </w:trPr>
        <w:tc>
          <w:tcPr>
            <w:tcW w:w="3400" w:type="dxa"/>
            <w:vAlign w:val="bottom"/>
          </w:tcPr>
          <w:p>
            <w:pPr>
              <w:ind w:left="140"/>
              <w:spacing w:after="0"/>
              <w:rPr>
                <w:sz w:val="20"/>
                <w:szCs w:val="20"/>
                <w:color w:val="auto"/>
              </w:rPr>
            </w:pPr>
            <w:r>
              <w:rPr>
                <w:rFonts w:ascii="Arial" w:cs="Arial" w:eastAsia="Arial" w:hAnsi="Arial"/>
                <w:sz w:val="14"/>
                <w:szCs w:val="14"/>
                <w:color w:val="auto"/>
              </w:rPr>
              <w:t>Water</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4,236</w:t>
            </w:r>
          </w:p>
        </w:tc>
        <w:tc>
          <w:tcPr>
            <w:tcW w:w="52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8,559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44,494</w:t>
            </w:r>
          </w:p>
        </w:tc>
        <w:tc>
          <w:tcPr>
            <w:tcW w:w="70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37,266</w:t>
            </w:r>
          </w:p>
        </w:tc>
        <w:tc>
          <w:tcPr>
            <w:tcW w:w="0" w:type="dxa"/>
            <w:vAlign w:val="bottom"/>
          </w:tcPr>
          <w:p>
            <w:pPr>
              <w:spacing w:after="0"/>
              <w:rPr>
                <w:sz w:val="1"/>
                <w:szCs w:val="1"/>
                <w:color w:val="auto"/>
              </w:rPr>
            </w:pPr>
          </w:p>
        </w:tc>
      </w:tr>
      <w:tr>
        <w:trPr>
          <w:trHeight w:val="181"/>
        </w:trPr>
        <w:tc>
          <w:tcPr>
            <w:tcW w:w="3400" w:type="dxa"/>
            <w:vAlign w:val="bottom"/>
          </w:tcPr>
          <w:p>
            <w:pPr>
              <w:ind w:left="140"/>
              <w:spacing w:after="0"/>
              <w:rPr>
                <w:sz w:val="20"/>
                <w:szCs w:val="20"/>
                <w:color w:val="auto"/>
              </w:rPr>
            </w:pPr>
            <w:r>
              <w:rPr>
                <w:rFonts w:ascii="Arial" w:cs="Arial" w:eastAsia="Arial" w:hAnsi="Arial"/>
                <w:sz w:val="14"/>
                <w:szCs w:val="14"/>
                <w:color w:val="auto"/>
              </w:rPr>
              <w:t>Corporate unallocated</w:t>
            </w:r>
          </w:p>
        </w:tc>
        <w:tc>
          <w:tcPr>
            <w:tcW w:w="1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(15,332)</w:t>
            </w: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(13,002)</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(60,840)</w:t>
            </w: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(76,155)</w:t>
            </w:r>
          </w:p>
        </w:tc>
        <w:tc>
          <w:tcPr>
            <w:tcW w:w="0" w:type="dxa"/>
            <w:vAlign w:val="bottom"/>
          </w:tcPr>
          <w:p>
            <w:pPr>
              <w:spacing w:after="0"/>
              <w:rPr>
                <w:sz w:val="1"/>
                <w:szCs w:val="1"/>
                <w:color w:val="auto"/>
              </w:rPr>
            </w:pPr>
          </w:p>
        </w:tc>
      </w:tr>
      <w:tr>
        <w:trPr>
          <w:trHeight w:val="169"/>
        </w:trPr>
        <w:tc>
          <w:tcPr>
            <w:tcW w:w="3400" w:type="dxa"/>
            <w:vAlign w:val="bottom"/>
          </w:tcPr>
          <w:p>
            <w:pPr>
              <w:ind w:left="280"/>
              <w:spacing w:after="0"/>
              <w:rPr>
                <w:sz w:val="20"/>
                <w:szCs w:val="20"/>
                <w:color w:val="auto"/>
              </w:rPr>
            </w:pPr>
            <w:r>
              <w:rPr>
                <w:rFonts w:ascii="Arial" w:cs="Arial" w:eastAsia="Arial" w:hAnsi="Arial"/>
                <w:sz w:val="14"/>
                <w:szCs w:val="14"/>
                <w:color w:val="auto"/>
              </w:rPr>
              <w:t>Total Company</w:t>
            </w:r>
          </w:p>
        </w:tc>
        <w:tc>
          <w:tcPr>
            <w:tcW w:w="1700" w:type="dxa"/>
            <w:vAlign w:val="bottom"/>
          </w:tcPr>
          <w:p>
            <w:pPr>
              <w:spacing w:after="0"/>
              <w:rPr>
                <w:sz w:val="14"/>
                <w:szCs w:val="14"/>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47,198</w:t>
            </w:r>
          </w:p>
        </w:tc>
        <w:tc>
          <w:tcPr>
            <w:tcW w:w="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30,754</w:t>
            </w:r>
          </w:p>
        </w:tc>
        <w:tc>
          <w:tcPr>
            <w:tcW w:w="140" w:type="dxa"/>
            <w:vAlign w:val="bottom"/>
          </w:tcPr>
          <w:p>
            <w:pPr>
              <w:spacing w:after="0"/>
              <w:rPr>
                <w:sz w:val="14"/>
                <w:szCs w:val="14"/>
                <w:color w:val="auto"/>
              </w:rPr>
            </w:pP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151,426</w:t>
            </w:r>
          </w:p>
        </w:tc>
        <w:tc>
          <w:tcPr>
            <w:tcW w:w="7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96,211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3400" w:type="dxa"/>
            <w:vAlign w:val="bottom"/>
          </w:tcPr>
          <w:p>
            <w:pPr>
              <w:spacing w:after="0"/>
              <w:rPr>
                <w:sz w:val="24"/>
                <w:szCs w:val="24"/>
                <w:color w:val="auto"/>
              </w:rPr>
            </w:pPr>
          </w:p>
        </w:tc>
        <w:tc>
          <w:tcPr>
            <w:tcW w:w="362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METER AND MODULE SUMMARY</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400" w:type="dxa"/>
            <w:vAlign w:val="bottom"/>
          </w:tcPr>
          <w:p>
            <w:pPr>
              <w:spacing w:after="0"/>
              <w:rPr>
                <w:sz w:val="20"/>
                <w:szCs w:val="20"/>
                <w:color w:val="auto"/>
              </w:rPr>
            </w:pPr>
            <w:r>
              <w:rPr>
                <w:rFonts w:ascii="Arial" w:cs="Arial" w:eastAsia="Arial" w:hAnsi="Arial"/>
                <w:sz w:val="14"/>
                <w:szCs w:val="14"/>
                <w:color w:val="auto"/>
              </w:rPr>
              <w:t>(Units in thousands)</w:t>
            </w: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gridSpan w:val="3"/>
            <w:vMerge w:val="restart"/>
          </w:tcPr>
          <w:p>
            <w:pPr>
              <w:jc w:val="center"/>
              <w:ind w:right="288"/>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gridSpan w:val="2"/>
            <w:vMerge w:val="restart"/>
          </w:tcPr>
          <w:p>
            <w:pPr>
              <w:jc w:val="center"/>
              <w:ind w:left="488"/>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left="508"/>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64"/>
        </w:trPr>
        <w:tc>
          <w:tcPr>
            <w:tcW w:w="3400" w:type="dxa"/>
            <w:vAlign w:val="bottom"/>
          </w:tcPr>
          <w:p>
            <w:pPr>
              <w:spacing w:after="0"/>
              <w:rPr>
                <w:sz w:val="20"/>
                <w:szCs w:val="20"/>
                <w:color w:val="auto"/>
              </w:rPr>
            </w:pPr>
            <w:r>
              <w:rPr>
                <w:rFonts w:ascii="Arial" w:cs="Arial" w:eastAsia="Arial" w:hAnsi="Arial"/>
                <w:sz w:val="14"/>
                <w:szCs w:val="14"/>
                <w:b w:val="1"/>
                <w:bCs w:val="1"/>
                <w:color w:val="auto"/>
              </w:rPr>
              <w:t>Meters</w:t>
            </w: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140"/>
              <w:spacing w:after="0"/>
              <w:rPr>
                <w:sz w:val="20"/>
                <w:szCs w:val="20"/>
                <w:color w:val="auto"/>
              </w:rPr>
            </w:pPr>
            <w:r>
              <w:rPr>
                <w:rFonts w:ascii="Arial" w:cs="Arial" w:eastAsia="Arial" w:hAnsi="Arial"/>
                <w:sz w:val="14"/>
                <w:szCs w:val="14"/>
                <w:color w:val="auto"/>
              </w:rPr>
              <w:t>Standard</w:t>
            </w: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3,740</w:t>
            </w:r>
          </w:p>
        </w:tc>
        <w:tc>
          <w:tcPr>
            <w:tcW w:w="520" w:type="dxa"/>
            <w:vAlign w:val="bottom"/>
          </w:tcPr>
          <w:p>
            <w:pPr>
              <w:spacing w:after="0"/>
              <w:rPr>
                <w:sz w:val="15"/>
                <w:szCs w:val="15"/>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3,520</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15,740</w:t>
            </w:r>
          </w:p>
        </w:tc>
        <w:tc>
          <w:tcPr>
            <w:tcW w:w="70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15,540</w:t>
            </w:r>
          </w:p>
        </w:tc>
        <w:tc>
          <w:tcPr>
            <w:tcW w:w="0" w:type="dxa"/>
            <w:vAlign w:val="bottom"/>
          </w:tcPr>
          <w:p>
            <w:pPr>
              <w:spacing w:after="0"/>
              <w:rPr>
                <w:sz w:val="1"/>
                <w:szCs w:val="1"/>
                <w:color w:val="auto"/>
              </w:rPr>
            </w:pPr>
          </w:p>
        </w:tc>
      </w:tr>
      <w:tr>
        <w:trPr>
          <w:trHeight w:val="181"/>
        </w:trPr>
        <w:tc>
          <w:tcPr>
            <w:tcW w:w="3400" w:type="dxa"/>
            <w:vAlign w:val="bottom"/>
          </w:tcPr>
          <w:p>
            <w:pPr>
              <w:ind w:left="140"/>
              <w:spacing w:after="0"/>
              <w:rPr>
                <w:sz w:val="20"/>
                <w:szCs w:val="20"/>
                <w:color w:val="auto"/>
              </w:rPr>
            </w:pPr>
            <w:r>
              <w:rPr>
                <w:rFonts w:ascii="Arial" w:cs="Arial" w:eastAsia="Arial" w:hAnsi="Arial"/>
                <w:sz w:val="14"/>
                <w:szCs w:val="14"/>
                <w:color w:val="auto"/>
              </w:rPr>
              <w:t>Smart</w:t>
            </w:r>
          </w:p>
        </w:tc>
        <w:tc>
          <w:tcPr>
            <w:tcW w:w="1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2,790</w:t>
            </w: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2,440</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10,390</w:t>
            </w: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9,340</w:t>
            </w:r>
          </w:p>
        </w:tc>
        <w:tc>
          <w:tcPr>
            <w:tcW w:w="0" w:type="dxa"/>
            <w:vAlign w:val="bottom"/>
          </w:tcPr>
          <w:p>
            <w:pPr>
              <w:spacing w:after="0"/>
              <w:rPr>
                <w:sz w:val="1"/>
                <w:szCs w:val="1"/>
                <w:color w:val="auto"/>
              </w:rPr>
            </w:pPr>
          </w:p>
        </w:tc>
      </w:tr>
      <w:tr>
        <w:trPr>
          <w:trHeight w:val="169"/>
        </w:trPr>
        <w:tc>
          <w:tcPr>
            <w:tcW w:w="3400" w:type="dxa"/>
            <w:vAlign w:val="bottom"/>
          </w:tcPr>
          <w:p>
            <w:pPr>
              <w:ind w:left="280"/>
              <w:spacing w:after="0"/>
              <w:rPr>
                <w:sz w:val="20"/>
                <w:szCs w:val="20"/>
                <w:color w:val="auto"/>
              </w:rPr>
            </w:pPr>
            <w:r>
              <w:rPr>
                <w:rFonts w:ascii="Arial" w:cs="Arial" w:eastAsia="Arial" w:hAnsi="Arial"/>
                <w:sz w:val="14"/>
                <w:szCs w:val="14"/>
                <w:color w:val="auto"/>
              </w:rPr>
              <w:t>Total meters</w:t>
            </w:r>
          </w:p>
        </w:tc>
        <w:tc>
          <w:tcPr>
            <w:tcW w:w="17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6,530</w:t>
            </w: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5,960</w:t>
            </w: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26,130</w:t>
            </w: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24,880</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Stand-alone communication modules</w:t>
            </w:r>
          </w:p>
        </w:tc>
        <w:tc>
          <w:tcPr>
            <w:tcW w:w="1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4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400" w:type="dxa"/>
            <w:vAlign w:val="bottom"/>
          </w:tcPr>
          <w:p>
            <w:pPr>
              <w:ind w:left="140"/>
              <w:spacing w:after="0"/>
              <w:rPr>
                <w:sz w:val="20"/>
                <w:szCs w:val="20"/>
                <w:color w:val="auto"/>
              </w:rPr>
            </w:pPr>
            <w:r>
              <w:rPr>
                <w:rFonts w:ascii="Arial" w:cs="Arial" w:eastAsia="Arial" w:hAnsi="Arial"/>
                <w:sz w:val="14"/>
                <w:szCs w:val="14"/>
                <w:color w:val="auto"/>
              </w:rPr>
              <w:t>Smart</w:t>
            </w:r>
          </w:p>
        </w:tc>
        <w:tc>
          <w:tcPr>
            <w:tcW w:w="1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1,840</w:t>
            </w: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1,510</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6,250</w:t>
            </w: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5,980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40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60" w:type="dxa"/>
            <w:vAlign w:val="bottom"/>
          </w:tcPr>
          <w:p>
            <w:pPr>
              <w:spacing w:after="0"/>
              <w:rPr>
                <w:sz w:val="20"/>
                <w:szCs w:val="20"/>
                <w:color w:val="auto"/>
              </w:rPr>
            </w:pPr>
            <w:r>
              <w:rPr>
                <w:rFonts w:ascii="Arial" w:cs="Arial" w:eastAsia="Arial" w:hAnsi="Arial"/>
                <w:sz w:val="14"/>
                <w:szCs w:val="14"/>
                <w:color w:val="auto"/>
              </w:rPr>
              <w:t>(Unaudited, in thousands)</w:t>
            </w:r>
          </w:p>
        </w:tc>
        <w:tc>
          <w:tcPr>
            <w:tcW w:w="480" w:type="dxa"/>
            <w:vAlign w:val="bottom"/>
          </w:tcPr>
          <w:p>
            <w:pPr>
              <w:spacing w:after="0"/>
              <w:rPr>
                <w:sz w:val="15"/>
                <w:szCs w:val="15"/>
                <w:color w:val="auto"/>
              </w:rPr>
            </w:pPr>
          </w:p>
        </w:tc>
        <w:tc>
          <w:tcPr>
            <w:tcW w:w="2180" w:type="dxa"/>
            <w:vAlign w:val="bottom"/>
            <w:vMerge w:val="restart"/>
          </w:tcPr>
          <w:p>
            <w:pPr>
              <w:jc w:val="right"/>
              <w:ind w:right="708"/>
              <w:spacing w:after="0"/>
              <w:rPr>
                <w:sz w:val="20"/>
                <w:szCs w:val="20"/>
                <w:color w:val="auto"/>
              </w:rPr>
            </w:pPr>
            <w:r>
              <w:rPr>
                <w:rFonts w:ascii="Arial" w:cs="Arial" w:eastAsia="Arial" w:hAnsi="Arial"/>
                <w:sz w:val="14"/>
                <w:szCs w:val="14"/>
                <w:b w:val="1"/>
                <w:bCs w:val="1"/>
                <w:color w:val="auto"/>
              </w:rPr>
              <w:t>December 31, 2017</w:t>
            </w:r>
          </w:p>
        </w:tc>
        <w:tc>
          <w:tcPr>
            <w:tcW w:w="580" w:type="dxa"/>
            <w:vAlign w:val="bottom"/>
          </w:tcPr>
          <w:p>
            <w:pPr>
              <w:spacing w:after="0"/>
              <w:rPr>
                <w:sz w:val="15"/>
                <w:szCs w:val="15"/>
                <w:color w:val="auto"/>
              </w:rPr>
            </w:pPr>
          </w:p>
        </w:tc>
        <w:tc>
          <w:tcPr>
            <w:tcW w:w="2120" w:type="dxa"/>
            <w:vAlign w:val="bottom"/>
            <w:vMerge w:val="restart"/>
          </w:tcPr>
          <w:p>
            <w:pPr>
              <w:jc w:val="right"/>
              <w:ind w:right="648"/>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74"/>
        </w:trPr>
        <w:tc>
          <w:tcPr>
            <w:tcW w:w="60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6060" w:type="dxa"/>
            <w:vAlign w:val="bottom"/>
          </w:tcPr>
          <w:p>
            <w:pPr>
              <w:ind w:left="2680"/>
              <w:spacing w:after="0"/>
              <w:rPr>
                <w:sz w:val="20"/>
                <w:szCs w:val="20"/>
                <w:color w:val="auto"/>
              </w:rPr>
            </w:pPr>
            <w:r>
              <w:rPr>
                <w:rFonts w:ascii="Arial" w:cs="Arial" w:eastAsia="Arial" w:hAnsi="Arial"/>
                <w:sz w:val="14"/>
                <w:szCs w:val="14"/>
                <w:b w:val="1"/>
                <w:bCs w:val="1"/>
                <w:color w:val="auto"/>
              </w:rPr>
              <w:t>ASSETS</w:t>
            </w:r>
          </w:p>
        </w:tc>
        <w:tc>
          <w:tcPr>
            <w:tcW w:w="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60" w:type="dxa"/>
            <w:vAlign w:val="bottom"/>
          </w:tcPr>
          <w:p>
            <w:pPr>
              <w:spacing w:after="0"/>
              <w:rPr>
                <w:sz w:val="20"/>
                <w:szCs w:val="20"/>
                <w:color w:val="auto"/>
              </w:rPr>
            </w:pPr>
            <w:r>
              <w:rPr>
                <w:rFonts w:ascii="Arial" w:cs="Arial" w:eastAsia="Arial" w:hAnsi="Arial"/>
                <w:sz w:val="14"/>
                <w:szCs w:val="14"/>
                <w:color w:val="auto"/>
              </w:rPr>
              <w:t>Current assets</w:t>
            </w:r>
          </w:p>
        </w:tc>
        <w:tc>
          <w:tcPr>
            <w:tcW w:w="4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176,274</w:t>
            </w:r>
          </w:p>
        </w:tc>
        <w:tc>
          <w:tcPr>
            <w:tcW w:w="5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133,565</w:t>
            </w: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398,029</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351,506</w:t>
            </w: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193,835</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163,049</w:t>
            </w:r>
          </w:p>
        </w:tc>
        <w:tc>
          <w:tcPr>
            <w:tcW w:w="0" w:type="dxa"/>
            <w:vAlign w:val="bottom"/>
          </w:tcPr>
          <w:p>
            <w:pPr>
              <w:spacing w:after="0"/>
              <w:rPr>
                <w:sz w:val="1"/>
                <w:szCs w:val="1"/>
                <w:color w:val="auto"/>
              </w:rPr>
            </w:pPr>
          </w:p>
        </w:tc>
      </w:tr>
      <w:tr>
        <w:trPr>
          <w:trHeight w:val="181"/>
        </w:trPr>
        <w:tc>
          <w:tcPr>
            <w:tcW w:w="6060" w:type="dxa"/>
            <w:vAlign w:val="bottom"/>
          </w:tcPr>
          <w:p>
            <w:pPr>
              <w:ind w:left="140"/>
              <w:spacing w:after="0"/>
              <w:rPr>
                <w:sz w:val="20"/>
                <w:szCs w:val="20"/>
                <w:color w:val="auto"/>
              </w:rPr>
            </w:pPr>
            <w:r>
              <w:rPr>
                <w:rFonts w:ascii="Arial" w:cs="Arial" w:eastAsia="Arial" w:hAnsi="Arial"/>
                <w:sz w:val="14"/>
                <w:szCs w:val="14"/>
                <w:color w:val="auto"/>
              </w:rPr>
              <w:t>Other current assets</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81,604</w:t>
            </w:r>
          </w:p>
        </w:tc>
        <w:tc>
          <w:tcPr>
            <w:tcW w:w="5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84,346</w:t>
            </w:r>
          </w:p>
        </w:tc>
        <w:tc>
          <w:tcPr>
            <w:tcW w:w="0" w:type="dxa"/>
            <w:vAlign w:val="bottom"/>
          </w:tcPr>
          <w:p>
            <w:pPr>
              <w:spacing w:after="0"/>
              <w:rPr>
                <w:sz w:val="1"/>
                <w:szCs w:val="1"/>
                <w:color w:val="auto"/>
              </w:rPr>
            </w:pPr>
          </w:p>
        </w:tc>
      </w:tr>
      <w:tr>
        <w:trPr>
          <w:trHeight w:val="176"/>
        </w:trPr>
        <w:tc>
          <w:tcPr>
            <w:tcW w:w="6060" w:type="dxa"/>
            <w:vAlign w:val="bottom"/>
          </w:tcPr>
          <w:p>
            <w:pPr>
              <w:ind w:left="280"/>
              <w:spacing w:after="0"/>
              <w:rPr>
                <w:sz w:val="20"/>
                <w:szCs w:val="20"/>
                <w:color w:val="auto"/>
              </w:rPr>
            </w:pPr>
            <w:r>
              <w:rPr>
                <w:rFonts w:ascii="Arial" w:cs="Arial" w:eastAsia="Arial" w:hAnsi="Arial"/>
                <w:sz w:val="14"/>
                <w:szCs w:val="14"/>
                <w:color w:val="auto"/>
              </w:rPr>
              <w:t>Total current assets</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849,742</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732,466</w:t>
            </w:r>
          </w:p>
        </w:tc>
        <w:tc>
          <w:tcPr>
            <w:tcW w:w="0" w:type="dxa"/>
            <w:vAlign w:val="bottom"/>
          </w:tcPr>
          <w:p>
            <w:pPr>
              <w:spacing w:after="0"/>
              <w:rPr>
                <w:sz w:val="1"/>
                <w:szCs w:val="1"/>
                <w:color w:val="auto"/>
              </w:rPr>
            </w:pPr>
          </w:p>
        </w:tc>
      </w:tr>
      <w:tr>
        <w:trPr>
          <w:trHeight w:val="339"/>
        </w:trPr>
        <w:tc>
          <w:tcPr>
            <w:tcW w:w="606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480" w:type="dxa"/>
            <w:vAlign w:val="bottom"/>
          </w:tcPr>
          <w:p>
            <w:pPr>
              <w:spacing w:after="0"/>
              <w:rPr>
                <w:sz w:val="24"/>
                <w:szCs w:val="24"/>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200,768</w:t>
            </w:r>
          </w:p>
        </w:tc>
        <w:tc>
          <w:tcPr>
            <w:tcW w:w="580" w:type="dxa"/>
            <w:vAlign w:val="bottom"/>
          </w:tcPr>
          <w:p>
            <w:pPr>
              <w:spacing w:after="0"/>
              <w:rPr>
                <w:sz w:val="24"/>
                <w:szCs w:val="24"/>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176,458</w:t>
            </w:r>
          </w:p>
        </w:tc>
        <w:tc>
          <w:tcPr>
            <w:tcW w:w="0" w:type="dxa"/>
            <w:vAlign w:val="bottom"/>
          </w:tcPr>
          <w:p>
            <w:pPr>
              <w:spacing w:after="0"/>
              <w:rPr>
                <w:sz w:val="1"/>
                <w:szCs w:val="1"/>
                <w:color w:val="auto"/>
              </w:rPr>
            </w:pPr>
          </w:p>
        </w:tc>
      </w:tr>
      <w:tr>
        <w:trPr>
          <w:trHeight w:val="176"/>
        </w:trPr>
        <w:tc>
          <w:tcPr>
            <w:tcW w:w="6060" w:type="dxa"/>
            <w:vAlign w:val="bottom"/>
          </w:tcPr>
          <w:p>
            <w:pPr>
              <w:spacing w:after="0"/>
              <w:rPr>
                <w:sz w:val="20"/>
                <w:szCs w:val="20"/>
                <w:color w:val="auto"/>
              </w:rPr>
            </w:pPr>
            <w:r>
              <w:rPr>
                <w:rFonts w:ascii="Arial" w:cs="Arial" w:eastAsia="Arial" w:hAnsi="Arial"/>
                <w:sz w:val="14"/>
                <w:szCs w:val="14"/>
                <w:color w:val="auto"/>
              </w:rPr>
              <w:t>Deferred tax assets, net</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49,971</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94,113</w:t>
            </w:r>
          </w:p>
        </w:tc>
        <w:tc>
          <w:tcPr>
            <w:tcW w:w="0" w:type="dxa"/>
            <w:vAlign w:val="bottom"/>
          </w:tcPr>
          <w:p>
            <w:pPr>
              <w:spacing w:after="0"/>
              <w:rPr>
                <w:sz w:val="1"/>
                <w:szCs w:val="1"/>
                <w:color w:val="auto"/>
              </w:rPr>
            </w:pPr>
          </w:p>
        </w:tc>
      </w:tr>
      <w:tr>
        <w:trPr>
          <w:trHeight w:val="176"/>
        </w:trPr>
        <w:tc>
          <w:tcPr>
            <w:tcW w:w="6060" w:type="dxa"/>
            <w:vAlign w:val="bottom"/>
          </w:tcPr>
          <w:p>
            <w:pPr>
              <w:spacing w:after="0"/>
              <w:rPr>
                <w:sz w:val="20"/>
                <w:szCs w:val="20"/>
                <w:color w:val="auto"/>
              </w:rPr>
            </w:pPr>
            <w:r>
              <w:rPr>
                <w:rFonts w:ascii="Arial" w:cs="Arial" w:eastAsia="Arial" w:hAnsi="Arial"/>
                <w:sz w:val="14"/>
                <w:szCs w:val="14"/>
                <w:color w:val="auto"/>
              </w:rPr>
              <w:t>Restricted cash</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311,010</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060" w:type="dxa"/>
            <w:vAlign w:val="bottom"/>
          </w:tcPr>
          <w:p>
            <w:pPr>
              <w:spacing w:after="0"/>
              <w:rPr>
                <w:sz w:val="20"/>
                <w:szCs w:val="20"/>
                <w:color w:val="auto"/>
              </w:rPr>
            </w:pPr>
            <w:r>
              <w:rPr>
                <w:rFonts w:ascii="Arial" w:cs="Arial" w:eastAsia="Arial" w:hAnsi="Arial"/>
                <w:sz w:val="14"/>
                <w:szCs w:val="14"/>
                <w:color w:val="auto"/>
              </w:rPr>
              <w:t>Other long-term assets</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43,666</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50,129</w:t>
            </w:r>
          </w:p>
        </w:tc>
        <w:tc>
          <w:tcPr>
            <w:tcW w:w="0" w:type="dxa"/>
            <w:vAlign w:val="bottom"/>
          </w:tcPr>
          <w:p>
            <w:pPr>
              <w:spacing w:after="0"/>
              <w:rPr>
                <w:sz w:val="1"/>
                <w:szCs w:val="1"/>
                <w:color w:val="auto"/>
              </w:rPr>
            </w:pPr>
          </w:p>
        </w:tc>
      </w:tr>
      <w:tr>
        <w:trPr>
          <w:trHeight w:val="176"/>
        </w:trPr>
        <w:tc>
          <w:tcPr>
            <w:tcW w:w="6060" w:type="dxa"/>
            <w:vAlign w:val="bottom"/>
          </w:tcPr>
          <w:p>
            <w:pPr>
              <w:spacing w:after="0"/>
              <w:rPr>
                <w:sz w:val="20"/>
                <w:szCs w:val="20"/>
                <w:color w:val="auto"/>
              </w:rPr>
            </w:pPr>
            <w:r>
              <w:rPr>
                <w:rFonts w:ascii="Arial" w:cs="Arial" w:eastAsia="Arial" w:hAnsi="Arial"/>
                <w:sz w:val="14"/>
                <w:szCs w:val="14"/>
                <w:color w:val="auto"/>
              </w:rPr>
              <w:t>Intangible assets, net</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95,228</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72,151</w:t>
            </w:r>
          </w:p>
        </w:tc>
        <w:tc>
          <w:tcPr>
            <w:tcW w:w="0" w:type="dxa"/>
            <w:vAlign w:val="bottom"/>
          </w:tcPr>
          <w:p>
            <w:pPr>
              <w:spacing w:after="0"/>
              <w:rPr>
                <w:sz w:val="1"/>
                <w:szCs w:val="1"/>
                <w:color w:val="auto"/>
              </w:rPr>
            </w:pPr>
          </w:p>
        </w:tc>
      </w:tr>
      <w:tr>
        <w:trPr>
          <w:trHeight w:val="181"/>
        </w:trPr>
        <w:tc>
          <w:tcPr>
            <w:tcW w:w="6060" w:type="dxa"/>
            <w:vAlign w:val="bottom"/>
          </w:tcPr>
          <w:p>
            <w:pPr>
              <w:spacing w:after="0"/>
              <w:rPr>
                <w:sz w:val="20"/>
                <w:szCs w:val="20"/>
                <w:color w:val="auto"/>
              </w:rPr>
            </w:pPr>
            <w:r>
              <w:rPr>
                <w:rFonts w:ascii="Arial" w:cs="Arial" w:eastAsia="Arial" w:hAnsi="Arial"/>
                <w:sz w:val="14"/>
                <w:szCs w:val="14"/>
                <w:color w:val="auto"/>
              </w:rPr>
              <w:t>Goodwill</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555,762</w:t>
            </w:r>
          </w:p>
        </w:tc>
        <w:tc>
          <w:tcPr>
            <w:tcW w:w="5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452,494</w:t>
            </w:r>
          </w:p>
        </w:tc>
        <w:tc>
          <w:tcPr>
            <w:tcW w:w="0" w:type="dxa"/>
            <w:vAlign w:val="bottom"/>
          </w:tcPr>
          <w:p>
            <w:pPr>
              <w:spacing w:after="0"/>
              <w:rPr>
                <w:sz w:val="1"/>
                <w:szCs w:val="1"/>
                <w:color w:val="auto"/>
              </w:rPr>
            </w:pPr>
          </w:p>
        </w:tc>
      </w:tr>
      <w:tr>
        <w:trPr>
          <w:trHeight w:val="169"/>
        </w:trPr>
        <w:tc>
          <w:tcPr>
            <w:tcW w:w="606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2,106,147</w:t>
            </w: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1,577,811</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LIABILITIES AND EQUITY</w:t>
            </w:r>
          </w:p>
        </w:tc>
        <w:tc>
          <w:tcPr>
            <w:tcW w:w="4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60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60" w:type="dxa"/>
            <w:vAlign w:val="bottom"/>
          </w:tcPr>
          <w:p>
            <w:pPr>
              <w:spacing w:after="0"/>
              <w:rPr>
                <w:sz w:val="20"/>
                <w:szCs w:val="20"/>
                <w:color w:val="auto"/>
              </w:rPr>
            </w:pPr>
            <w:r>
              <w:rPr>
                <w:rFonts w:ascii="Arial" w:cs="Arial" w:eastAsia="Arial" w:hAnsi="Arial"/>
                <w:sz w:val="14"/>
                <w:szCs w:val="14"/>
                <w:color w:val="auto"/>
              </w:rPr>
              <w:t>Current liabilities</w:t>
            </w:r>
          </w:p>
        </w:tc>
        <w:tc>
          <w:tcPr>
            <w:tcW w:w="4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262,166</w:t>
            </w:r>
          </w:p>
        </w:tc>
        <w:tc>
          <w:tcPr>
            <w:tcW w:w="5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172,711</w:t>
            </w: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Other current liabilities</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56,736</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43,625</w:t>
            </w: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Wages and benefits payable</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90,505</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82,346</w:t>
            </w: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Taxes payable</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16,100</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10,451</w:t>
            </w: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Current portion of debt</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19,688</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14,063</w:t>
            </w: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Current portion of warranty</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21,150</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24,874</w:t>
            </w:r>
          </w:p>
        </w:tc>
        <w:tc>
          <w:tcPr>
            <w:tcW w:w="0" w:type="dxa"/>
            <w:vAlign w:val="bottom"/>
          </w:tcPr>
          <w:p>
            <w:pPr>
              <w:spacing w:after="0"/>
              <w:rPr>
                <w:sz w:val="1"/>
                <w:szCs w:val="1"/>
                <w:color w:val="auto"/>
              </w:rPr>
            </w:pPr>
          </w:p>
        </w:tc>
      </w:tr>
      <w:tr>
        <w:trPr>
          <w:trHeight w:val="181"/>
        </w:trPr>
        <w:tc>
          <w:tcPr>
            <w:tcW w:w="6060" w:type="dxa"/>
            <w:vAlign w:val="bottom"/>
          </w:tcPr>
          <w:p>
            <w:pPr>
              <w:ind w:left="140"/>
              <w:spacing w:after="0"/>
              <w:rPr>
                <w:sz w:val="20"/>
                <w:szCs w:val="20"/>
                <w:color w:val="auto"/>
              </w:rPr>
            </w:pPr>
            <w:r>
              <w:rPr>
                <w:rFonts w:ascii="Arial" w:cs="Arial" w:eastAsia="Arial" w:hAnsi="Arial"/>
                <w:sz w:val="14"/>
                <w:szCs w:val="14"/>
                <w:color w:val="auto"/>
              </w:rPr>
              <w:t>Unearned revenue</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41,438</w:t>
            </w:r>
          </w:p>
        </w:tc>
        <w:tc>
          <w:tcPr>
            <w:tcW w:w="5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64,976</w:t>
            </w:r>
          </w:p>
        </w:tc>
        <w:tc>
          <w:tcPr>
            <w:tcW w:w="0" w:type="dxa"/>
            <w:vAlign w:val="bottom"/>
          </w:tcPr>
          <w:p>
            <w:pPr>
              <w:spacing w:after="0"/>
              <w:rPr>
                <w:sz w:val="1"/>
                <w:szCs w:val="1"/>
                <w:color w:val="auto"/>
              </w:rPr>
            </w:pPr>
          </w:p>
        </w:tc>
      </w:tr>
      <w:tr>
        <w:trPr>
          <w:trHeight w:val="176"/>
        </w:trPr>
        <w:tc>
          <w:tcPr>
            <w:tcW w:w="606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507,783</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413,046</w:t>
            </w:r>
          </w:p>
        </w:tc>
        <w:tc>
          <w:tcPr>
            <w:tcW w:w="0" w:type="dxa"/>
            <w:vAlign w:val="bottom"/>
          </w:tcPr>
          <w:p>
            <w:pPr>
              <w:spacing w:after="0"/>
              <w:rPr>
                <w:sz w:val="1"/>
                <w:szCs w:val="1"/>
                <w:color w:val="auto"/>
              </w:rPr>
            </w:pPr>
          </w:p>
        </w:tc>
      </w:tr>
      <w:tr>
        <w:trPr>
          <w:trHeight w:val="339"/>
        </w:trPr>
        <w:tc>
          <w:tcPr>
            <w:tcW w:w="6060" w:type="dxa"/>
            <w:vAlign w:val="bottom"/>
          </w:tcPr>
          <w:p>
            <w:pPr>
              <w:spacing w:after="0"/>
              <w:rPr>
                <w:sz w:val="20"/>
                <w:szCs w:val="20"/>
                <w:color w:val="auto"/>
              </w:rPr>
            </w:pPr>
            <w:r>
              <w:rPr>
                <w:rFonts w:ascii="Arial" w:cs="Arial" w:eastAsia="Arial" w:hAnsi="Arial"/>
                <w:sz w:val="14"/>
                <w:szCs w:val="14"/>
                <w:color w:val="auto"/>
              </w:rPr>
              <w:t>Long-term debt</w:t>
            </w:r>
          </w:p>
        </w:tc>
        <w:tc>
          <w:tcPr>
            <w:tcW w:w="480" w:type="dxa"/>
            <w:vAlign w:val="bottom"/>
          </w:tcPr>
          <w:p>
            <w:pPr>
              <w:spacing w:after="0"/>
              <w:rPr>
                <w:sz w:val="24"/>
                <w:szCs w:val="24"/>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593,572</w:t>
            </w:r>
          </w:p>
        </w:tc>
        <w:tc>
          <w:tcPr>
            <w:tcW w:w="580" w:type="dxa"/>
            <w:vAlign w:val="bottom"/>
          </w:tcPr>
          <w:p>
            <w:pPr>
              <w:spacing w:after="0"/>
              <w:rPr>
                <w:sz w:val="24"/>
                <w:szCs w:val="24"/>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290,460</w:t>
            </w:r>
          </w:p>
        </w:tc>
        <w:tc>
          <w:tcPr>
            <w:tcW w:w="0" w:type="dxa"/>
            <w:vAlign w:val="bottom"/>
          </w:tcPr>
          <w:p>
            <w:pPr>
              <w:spacing w:after="0"/>
              <w:rPr>
                <w:sz w:val="1"/>
                <w:szCs w:val="1"/>
                <w:color w:val="auto"/>
              </w:rPr>
            </w:pPr>
          </w:p>
        </w:tc>
      </w:tr>
      <w:tr>
        <w:trPr>
          <w:trHeight w:val="176"/>
        </w:trPr>
        <w:tc>
          <w:tcPr>
            <w:tcW w:w="6060" w:type="dxa"/>
            <w:vAlign w:val="bottom"/>
          </w:tcPr>
          <w:p>
            <w:pPr>
              <w:spacing w:after="0"/>
              <w:rPr>
                <w:sz w:val="20"/>
                <w:szCs w:val="20"/>
                <w:color w:val="auto"/>
              </w:rPr>
            </w:pPr>
            <w:r>
              <w:rPr>
                <w:rFonts w:ascii="Arial" w:cs="Arial" w:eastAsia="Arial" w:hAnsi="Arial"/>
                <w:sz w:val="14"/>
                <w:szCs w:val="14"/>
                <w:color w:val="auto"/>
              </w:rPr>
              <w:t>Long-term warranty</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13,712</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18,428</w:t>
            </w:r>
          </w:p>
        </w:tc>
        <w:tc>
          <w:tcPr>
            <w:tcW w:w="0" w:type="dxa"/>
            <w:vAlign w:val="bottom"/>
          </w:tcPr>
          <w:p>
            <w:pPr>
              <w:spacing w:after="0"/>
              <w:rPr>
                <w:sz w:val="1"/>
                <w:szCs w:val="1"/>
                <w:color w:val="auto"/>
              </w:rPr>
            </w:pPr>
          </w:p>
        </w:tc>
      </w:tr>
      <w:tr>
        <w:trPr>
          <w:trHeight w:val="176"/>
        </w:trPr>
        <w:tc>
          <w:tcPr>
            <w:tcW w:w="6060" w:type="dxa"/>
            <w:vAlign w:val="bottom"/>
          </w:tcPr>
          <w:p>
            <w:pPr>
              <w:spacing w:after="0"/>
              <w:rPr>
                <w:sz w:val="20"/>
                <w:szCs w:val="20"/>
                <w:color w:val="auto"/>
              </w:rPr>
            </w:pPr>
            <w:r>
              <w:rPr>
                <w:rFonts w:ascii="Arial" w:cs="Arial" w:eastAsia="Arial" w:hAnsi="Arial"/>
                <w:sz w:val="14"/>
                <w:szCs w:val="14"/>
                <w:color w:val="auto"/>
              </w:rPr>
              <w:t>Pension benefit obligation</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95,717</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84,498</w:t>
            </w:r>
          </w:p>
        </w:tc>
        <w:tc>
          <w:tcPr>
            <w:tcW w:w="0" w:type="dxa"/>
            <w:vAlign w:val="bottom"/>
          </w:tcPr>
          <w:p>
            <w:pPr>
              <w:spacing w:after="0"/>
              <w:rPr>
                <w:sz w:val="1"/>
                <w:szCs w:val="1"/>
                <w:color w:val="auto"/>
              </w:rPr>
            </w:pPr>
          </w:p>
        </w:tc>
      </w:tr>
      <w:tr>
        <w:trPr>
          <w:trHeight w:val="176"/>
        </w:trPr>
        <w:tc>
          <w:tcPr>
            <w:tcW w:w="6060" w:type="dxa"/>
            <w:vAlign w:val="bottom"/>
          </w:tcPr>
          <w:p>
            <w:pPr>
              <w:spacing w:after="0"/>
              <w:rPr>
                <w:sz w:val="20"/>
                <w:szCs w:val="20"/>
                <w:color w:val="auto"/>
              </w:rPr>
            </w:pPr>
            <w:r>
              <w:rPr>
                <w:rFonts w:ascii="Arial" w:cs="Arial" w:eastAsia="Arial" w:hAnsi="Arial"/>
                <w:sz w:val="14"/>
                <w:szCs w:val="14"/>
                <w:color w:val="auto"/>
              </w:rPr>
              <w:t>Deferred tax liabilities, net</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1,525</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3,073</w:t>
            </w:r>
          </w:p>
        </w:tc>
        <w:tc>
          <w:tcPr>
            <w:tcW w:w="0" w:type="dxa"/>
            <w:vAlign w:val="bottom"/>
          </w:tcPr>
          <w:p>
            <w:pPr>
              <w:spacing w:after="0"/>
              <w:rPr>
                <w:sz w:val="1"/>
                <w:szCs w:val="1"/>
                <w:color w:val="auto"/>
              </w:rPr>
            </w:pPr>
          </w:p>
        </w:tc>
      </w:tr>
      <w:tr>
        <w:trPr>
          <w:trHeight w:val="181"/>
        </w:trPr>
        <w:tc>
          <w:tcPr>
            <w:tcW w:w="6060" w:type="dxa"/>
            <w:vAlign w:val="bottom"/>
          </w:tcPr>
          <w:p>
            <w:pPr>
              <w:spacing w:after="0"/>
              <w:rPr>
                <w:sz w:val="20"/>
                <w:szCs w:val="20"/>
                <w:color w:val="auto"/>
              </w:rPr>
            </w:pPr>
            <w:r>
              <w:rPr>
                <w:rFonts w:ascii="Arial" w:cs="Arial" w:eastAsia="Arial" w:hAnsi="Arial"/>
                <w:sz w:val="14"/>
                <w:szCs w:val="14"/>
                <w:color w:val="auto"/>
              </w:rPr>
              <w:t>Other long-term obligations</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88,206</w:t>
            </w:r>
          </w:p>
        </w:tc>
        <w:tc>
          <w:tcPr>
            <w:tcW w:w="5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117,953</w:t>
            </w:r>
          </w:p>
        </w:tc>
        <w:tc>
          <w:tcPr>
            <w:tcW w:w="0" w:type="dxa"/>
            <w:vAlign w:val="bottom"/>
          </w:tcPr>
          <w:p>
            <w:pPr>
              <w:spacing w:after="0"/>
              <w:rPr>
                <w:sz w:val="1"/>
                <w:szCs w:val="1"/>
                <w:color w:val="auto"/>
              </w:rPr>
            </w:pPr>
          </w:p>
        </w:tc>
      </w:tr>
      <w:tr>
        <w:trPr>
          <w:trHeight w:val="176"/>
        </w:trPr>
        <w:tc>
          <w:tcPr>
            <w:tcW w:w="6060" w:type="dxa"/>
            <w:vAlign w:val="bottom"/>
          </w:tcPr>
          <w:p>
            <w:pPr>
              <w:ind w:left="280"/>
              <w:spacing w:after="0"/>
              <w:rPr>
                <w:sz w:val="20"/>
                <w:szCs w:val="20"/>
                <w:color w:val="auto"/>
              </w:rPr>
            </w:pPr>
            <w:r>
              <w:rPr>
                <w:rFonts w:ascii="Arial" w:cs="Arial" w:eastAsia="Arial" w:hAnsi="Arial"/>
                <w:sz w:val="14"/>
                <w:szCs w:val="14"/>
                <w:color w:val="auto"/>
              </w:rPr>
              <w:t>Total liabilities</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1,300,515</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927,458</w:t>
            </w:r>
          </w:p>
        </w:tc>
        <w:tc>
          <w:tcPr>
            <w:tcW w:w="0" w:type="dxa"/>
            <w:vAlign w:val="bottom"/>
          </w:tcPr>
          <w:p>
            <w:pPr>
              <w:spacing w:after="0"/>
              <w:rPr>
                <w:sz w:val="1"/>
                <w:szCs w:val="1"/>
                <w:color w:val="auto"/>
              </w:rPr>
            </w:pPr>
          </w:p>
        </w:tc>
      </w:tr>
      <w:tr>
        <w:trPr>
          <w:trHeight w:val="339"/>
        </w:trPr>
        <w:tc>
          <w:tcPr>
            <w:tcW w:w="6060" w:type="dxa"/>
            <w:vAlign w:val="bottom"/>
          </w:tcPr>
          <w:p>
            <w:pPr>
              <w:spacing w:after="0"/>
              <w:rPr>
                <w:sz w:val="20"/>
                <w:szCs w:val="20"/>
                <w:color w:val="auto"/>
              </w:rPr>
            </w:pPr>
            <w:r>
              <w:rPr>
                <w:rFonts w:ascii="Arial" w:cs="Arial" w:eastAsia="Arial" w:hAnsi="Arial"/>
                <w:sz w:val="14"/>
                <w:szCs w:val="14"/>
                <w:color w:val="auto"/>
              </w:rPr>
              <w:t>Equity</w:t>
            </w: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Common stock</w:t>
            </w:r>
          </w:p>
        </w:tc>
        <w:tc>
          <w:tcPr>
            <w:tcW w:w="480" w:type="dxa"/>
            <w:vAlign w:val="bottom"/>
          </w:tcPr>
          <w:p>
            <w:pPr>
              <w:spacing w:after="0"/>
              <w:rPr>
                <w:sz w:val="15"/>
                <w:szCs w:val="15"/>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1,294,767</w:t>
            </w:r>
          </w:p>
        </w:tc>
        <w:tc>
          <w:tcPr>
            <w:tcW w:w="580" w:type="dxa"/>
            <w:vAlign w:val="bottom"/>
          </w:tcPr>
          <w:p>
            <w:pPr>
              <w:spacing w:after="0"/>
              <w:rPr>
                <w:sz w:val="15"/>
                <w:szCs w:val="15"/>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1,270,467</w:t>
            </w:r>
          </w:p>
        </w:tc>
        <w:tc>
          <w:tcPr>
            <w:tcW w:w="0" w:type="dxa"/>
            <w:vAlign w:val="bottom"/>
          </w:tcPr>
          <w:p>
            <w:pPr>
              <w:spacing w:after="0"/>
              <w:rPr>
                <w:sz w:val="1"/>
                <w:szCs w:val="1"/>
                <w:color w:val="auto"/>
              </w:rPr>
            </w:pPr>
          </w:p>
        </w:tc>
      </w:tr>
      <w:tr>
        <w:trPr>
          <w:trHeight w:val="176"/>
        </w:trPr>
        <w:tc>
          <w:tcPr>
            <w:tcW w:w="6060" w:type="dxa"/>
            <w:vAlign w:val="bottom"/>
          </w:tcPr>
          <w:p>
            <w:pPr>
              <w:ind w:left="140"/>
              <w:spacing w:after="0"/>
              <w:rPr>
                <w:sz w:val="20"/>
                <w:szCs w:val="20"/>
                <w:color w:val="auto"/>
              </w:rPr>
            </w:pPr>
            <w:r>
              <w:rPr>
                <w:rFonts w:ascii="Arial" w:cs="Arial" w:eastAsia="Arial" w:hAnsi="Arial"/>
                <w:sz w:val="14"/>
                <w:szCs w:val="14"/>
                <w:color w:val="auto"/>
              </w:rPr>
              <w:t>Accumulated other comprehensive loss, net</w:t>
            </w:r>
          </w:p>
        </w:tc>
        <w:tc>
          <w:tcPr>
            <w:tcW w:w="480" w:type="dxa"/>
            <w:vAlign w:val="bottom"/>
          </w:tcPr>
          <w:p>
            <w:pPr>
              <w:spacing w:after="0"/>
              <w:rPr>
                <w:sz w:val="15"/>
                <w:szCs w:val="15"/>
                <w:color w:val="auto"/>
              </w:rPr>
            </w:pPr>
          </w:p>
        </w:tc>
        <w:tc>
          <w:tcPr>
            <w:tcW w:w="2180" w:type="dxa"/>
            <w:vAlign w:val="bottom"/>
          </w:tcPr>
          <w:p>
            <w:pPr>
              <w:jc w:val="right"/>
              <w:ind w:right="228"/>
              <w:spacing w:after="0"/>
              <w:rPr>
                <w:sz w:val="20"/>
                <w:szCs w:val="20"/>
                <w:color w:val="auto"/>
              </w:rPr>
            </w:pPr>
            <w:r>
              <w:rPr>
                <w:rFonts w:ascii="Arial" w:cs="Arial" w:eastAsia="Arial" w:hAnsi="Arial"/>
                <w:sz w:val="14"/>
                <w:szCs w:val="14"/>
                <w:color w:val="auto"/>
              </w:rPr>
              <w:t>(170,478)</w:t>
            </w:r>
          </w:p>
        </w:tc>
        <w:tc>
          <w:tcPr>
            <w:tcW w:w="580" w:type="dxa"/>
            <w:vAlign w:val="bottom"/>
          </w:tcPr>
          <w:p>
            <w:pPr>
              <w:spacing w:after="0"/>
              <w:rPr>
                <w:sz w:val="15"/>
                <w:szCs w:val="15"/>
                <w:color w:val="auto"/>
              </w:rPr>
            </w:pPr>
          </w:p>
        </w:tc>
        <w:tc>
          <w:tcPr>
            <w:tcW w:w="2120" w:type="dxa"/>
            <w:vAlign w:val="bottom"/>
          </w:tcPr>
          <w:p>
            <w:pPr>
              <w:jc w:val="right"/>
              <w:ind w:right="168"/>
              <w:spacing w:after="0"/>
              <w:rPr>
                <w:sz w:val="20"/>
                <w:szCs w:val="20"/>
                <w:color w:val="auto"/>
              </w:rPr>
            </w:pPr>
            <w:r>
              <w:rPr>
                <w:rFonts w:ascii="Arial" w:cs="Arial" w:eastAsia="Arial" w:hAnsi="Arial"/>
                <w:sz w:val="14"/>
                <w:szCs w:val="14"/>
                <w:color w:val="auto"/>
              </w:rPr>
              <w:t>(229,327)</w:t>
            </w:r>
          </w:p>
        </w:tc>
        <w:tc>
          <w:tcPr>
            <w:tcW w:w="0" w:type="dxa"/>
            <w:vAlign w:val="bottom"/>
          </w:tcPr>
          <w:p>
            <w:pPr>
              <w:spacing w:after="0"/>
              <w:rPr>
                <w:sz w:val="1"/>
                <w:szCs w:val="1"/>
                <w:color w:val="auto"/>
              </w:rPr>
            </w:pPr>
          </w:p>
        </w:tc>
      </w:tr>
      <w:tr>
        <w:trPr>
          <w:trHeight w:val="181"/>
        </w:trPr>
        <w:tc>
          <w:tcPr>
            <w:tcW w:w="6060" w:type="dxa"/>
            <w:vAlign w:val="bottom"/>
          </w:tcPr>
          <w:p>
            <w:pPr>
              <w:ind w:left="140"/>
              <w:spacing w:after="0"/>
              <w:rPr>
                <w:sz w:val="20"/>
                <w:szCs w:val="20"/>
                <w:color w:val="auto"/>
              </w:rPr>
            </w:pPr>
            <w:r>
              <w:rPr>
                <w:rFonts w:ascii="Arial" w:cs="Arial" w:eastAsia="Arial" w:hAnsi="Arial"/>
                <w:sz w:val="14"/>
                <w:szCs w:val="14"/>
                <w:color w:val="auto"/>
              </w:rPr>
              <w:t>Accumulated deficit</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(337,873)</w:t>
            </w:r>
          </w:p>
        </w:tc>
        <w:tc>
          <w:tcPr>
            <w:tcW w:w="5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(409,536)</w:t>
            </w:r>
          </w:p>
        </w:tc>
        <w:tc>
          <w:tcPr>
            <w:tcW w:w="0" w:type="dxa"/>
            <w:vAlign w:val="bottom"/>
          </w:tcPr>
          <w:p>
            <w:pPr>
              <w:spacing w:after="0"/>
              <w:rPr>
                <w:sz w:val="1"/>
                <w:szCs w:val="1"/>
                <w:color w:val="auto"/>
              </w:rPr>
            </w:pPr>
          </w:p>
        </w:tc>
      </w:tr>
      <w:tr>
        <w:trPr>
          <w:trHeight w:val="164"/>
        </w:trPr>
        <w:tc>
          <w:tcPr>
            <w:tcW w:w="6060" w:type="dxa"/>
            <w:vAlign w:val="bottom"/>
          </w:tcPr>
          <w:p>
            <w:pPr>
              <w:ind w:left="280"/>
              <w:spacing w:after="0"/>
              <w:rPr>
                <w:sz w:val="20"/>
                <w:szCs w:val="20"/>
                <w:color w:val="auto"/>
              </w:rPr>
            </w:pPr>
            <w:r>
              <w:rPr>
                <w:rFonts w:ascii="Arial" w:cs="Arial" w:eastAsia="Arial" w:hAnsi="Arial"/>
                <w:sz w:val="14"/>
                <w:szCs w:val="14"/>
                <w:color w:val="auto"/>
              </w:rPr>
              <w:t>Total Itron, Inc. shareholders' equity</w:t>
            </w:r>
          </w:p>
        </w:tc>
        <w:tc>
          <w:tcPr>
            <w:tcW w:w="480" w:type="dxa"/>
            <w:vAlign w:val="bottom"/>
          </w:tcPr>
          <w:p>
            <w:pPr>
              <w:spacing w:after="0"/>
              <w:rPr>
                <w:sz w:val="14"/>
                <w:szCs w:val="14"/>
                <w:color w:val="auto"/>
              </w:rPr>
            </w:pP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786,416</w:t>
            </w:r>
          </w:p>
        </w:tc>
        <w:tc>
          <w:tcPr>
            <w:tcW w:w="580" w:type="dxa"/>
            <w:vAlign w:val="bottom"/>
          </w:tcPr>
          <w:p>
            <w:pPr>
              <w:spacing w:after="0"/>
              <w:rPr>
                <w:sz w:val="14"/>
                <w:szCs w:val="14"/>
                <w:color w:val="auto"/>
              </w:rPr>
            </w:pPr>
          </w:p>
        </w:tc>
        <w:tc>
          <w:tcPr>
            <w:tcW w:w="2120" w:type="dxa"/>
            <w:vAlign w:val="bottom"/>
          </w:tcPr>
          <w:p>
            <w:pPr>
              <w:jc w:val="right"/>
              <w:ind w:right="208"/>
              <w:spacing w:after="0"/>
              <w:rPr>
                <w:sz w:val="20"/>
                <w:szCs w:val="20"/>
                <w:color w:val="auto"/>
              </w:rPr>
            </w:pPr>
            <w:r>
              <w:rPr>
                <w:rFonts w:ascii="Arial" w:cs="Arial" w:eastAsia="Arial" w:hAnsi="Arial"/>
                <w:sz w:val="14"/>
                <w:szCs w:val="14"/>
                <w:color w:val="auto"/>
              </w:rPr>
              <w:t>631,604</w:t>
            </w:r>
          </w:p>
        </w:tc>
        <w:tc>
          <w:tcPr>
            <w:tcW w:w="0" w:type="dxa"/>
            <w:vAlign w:val="bottom"/>
          </w:tcPr>
          <w:p>
            <w:pPr>
              <w:spacing w:after="0"/>
              <w:rPr>
                <w:sz w:val="1"/>
                <w:szCs w:val="1"/>
                <w:color w:val="auto"/>
              </w:rPr>
            </w:pPr>
          </w:p>
        </w:tc>
      </w:tr>
      <w:tr>
        <w:trPr>
          <w:trHeight w:val="181"/>
        </w:trPr>
        <w:tc>
          <w:tcPr>
            <w:tcW w:w="6060" w:type="dxa"/>
            <w:vAlign w:val="bottom"/>
          </w:tcPr>
          <w:p>
            <w:pPr>
              <w:ind w:left="140"/>
              <w:spacing w:after="0"/>
              <w:rPr>
                <w:sz w:val="20"/>
                <w:szCs w:val="20"/>
                <w:color w:val="auto"/>
              </w:rPr>
            </w:pPr>
            <w:r>
              <w:rPr>
                <w:rFonts w:ascii="Arial" w:cs="Arial" w:eastAsia="Arial" w:hAnsi="Arial"/>
                <w:sz w:val="14"/>
                <w:szCs w:val="14"/>
                <w:color w:val="auto"/>
              </w:rPr>
              <w:t>Non-controlling interests</w:t>
            </w:r>
          </w:p>
        </w:tc>
        <w:tc>
          <w:tcPr>
            <w:tcW w:w="4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19,216</w:t>
            </w:r>
          </w:p>
        </w:tc>
        <w:tc>
          <w:tcPr>
            <w:tcW w:w="5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18,749</w:t>
            </w:r>
          </w:p>
        </w:tc>
        <w:tc>
          <w:tcPr>
            <w:tcW w:w="0" w:type="dxa"/>
            <w:vAlign w:val="bottom"/>
          </w:tcPr>
          <w:p>
            <w:pPr>
              <w:spacing w:after="0"/>
              <w:rPr>
                <w:sz w:val="1"/>
                <w:szCs w:val="1"/>
                <w:color w:val="auto"/>
              </w:rPr>
            </w:pPr>
          </w:p>
        </w:tc>
      </w:tr>
      <w:tr>
        <w:trPr>
          <w:trHeight w:val="169"/>
        </w:trPr>
        <w:tc>
          <w:tcPr>
            <w:tcW w:w="6060" w:type="dxa"/>
            <w:vAlign w:val="bottom"/>
          </w:tcPr>
          <w:p>
            <w:pPr>
              <w:ind w:left="280"/>
              <w:spacing w:after="0"/>
              <w:rPr>
                <w:sz w:val="20"/>
                <w:szCs w:val="20"/>
                <w:color w:val="auto"/>
              </w:rPr>
            </w:pPr>
            <w:r>
              <w:rPr>
                <w:rFonts w:ascii="Arial" w:cs="Arial" w:eastAsia="Arial" w:hAnsi="Arial"/>
                <w:sz w:val="14"/>
                <w:szCs w:val="14"/>
                <w:color w:val="auto"/>
              </w:rPr>
              <w:t>Total equity</w:t>
            </w:r>
          </w:p>
        </w:tc>
        <w:tc>
          <w:tcPr>
            <w:tcW w:w="4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805,632</w:t>
            </w:r>
          </w:p>
        </w:tc>
        <w:tc>
          <w:tcPr>
            <w:tcW w:w="5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650,353</w:t>
            </w:r>
          </w:p>
        </w:tc>
        <w:tc>
          <w:tcPr>
            <w:tcW w:w="0" w:type="dxa"/>
            <w:vAlign w:val="bottom"/>
          </w:tcPr>
          <w:p>
            <w:pPr>
              <w:spacing w:after="0"/>
              <w:rPr>
                <w:sz w:val="1"/>
                <w:szCs w:val="1"/>
                <w:color w:val="auto"/>
              </w:rPr>
            </w:pPr>
          </w:p>
        </w:tc>
      </w:tr>
      <w:tr>
        <w:trPr>
          <w:trHeight w:val="169"/>
        </w:trPr>
        <w:tc>
          <w:tcPr>
            <w:tcW w:w="6060" w:type="dxa"/>
            <w:vAlign w:val="bottom"/>
          </w:tcPr>
          <w:p>
            <w:pPr>
              <w:ind w:left="280"/>
              <w:spacing w:after="0"/>
              <w:rPr>
                <w:sz w:val="20"/>
                <w:szCs w:val="20"/>
                <w:color w:val="auto"/>
              </w:rPr>
            </w:pPr>
            <w:r>
              <w:rPr>
                <w:rFonts w:ascii="Arial" w:cs="Arial" w:eastAsia="Arial" w:hAnsi="Arial"/>
                <w:sz w:val="14"/>
                <w:szCs w:val="14"/>
                <w:color w:val="auto"/>
              </w:rPr>
              <w:t>Total liabilities and equity</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2,106,147</w:t>
            </w: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1,577,811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06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21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 w:name="page13"/>
    <w:bookmarkEnd w:id="12"/>
    <w:p>
      <w:pPr>
        <w:jc w:val="center"/>
        <w:ind w:left="3100"/>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ind w:left="3100"/>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(Unaudited, in thousands)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Operating activities</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income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Depreciation and amortization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Stock-based compensation</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Amortization of prepaid debt fees</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Deferred taxes, net</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Restructuring, non-cash</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 adjustments, net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Changes in operating assets and liabilities, net of acquisitions: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Accounts receivable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Inventories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current assets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long-term assets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Accounts payable, other current liabilities, and taxes payable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Wages and benefits payable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Unearned revenue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Warranty</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operating, net</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cash provided by operating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Acquisitions of property, plant, and equipment</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Business acquisitions, net of cash equivalents acquired</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investing, net</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cash used in investing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Financing activities</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borrowings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 on debt</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Issuance of common stock</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financing, net</w:t>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cash provided by (used in) financing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Effect of foreign exchange rate changes on cash, cash equivalents, and restricted cash</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Increase in cash, cash equivalents, and restricted cash</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cash equivalents, and restricted cash at beginning of period</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Cash, cash equivalents, and restricted cash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27202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r>
      <w:tr>
        <w:trPr>
          <w:trHeight w:val="346"/>
        </w:trPr>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60,249</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35,053</w:t>
            </w:r>
          </w:p>
        </w:tc>
      </w:tr>
      <w:tr>
        <w:trPr>
          <w:trHeight w:val="344"/>
        </w:trPr>
        <w:tc>
          <w:tcPr>
            <w:tcW w:w="28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63,215</w:t>
            </w:r>
          </w:p>
        </w:tc>
        <w:tc>
          <w:tcPr>
            <w:tcW w:w="340" w:type="dxa"/>
            <w:vAlign w:val="bottom"/>
          </w:tcPr>
          <w:p>
            <w:pPr>
              <w:spacing w:after="0"/>
              <w:rPr>
                <w:sz w:val="24"/>
                <w:szCs w:val="2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68,318</w:t>
            </w:r>
          </w:p>
        </w:tc>
      </w:tr>
      <w:tr>
        <w:trPr>
          <w:trHeight w:val="176"/>
        </w:trPr>
        <w:tc>
          <w:tcPr>
            <w:tcW w:w="28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21,407</w:t>
            </w:r>
          </w:p>
        </w:tc>
        <w:tc>
          <w:tcPr>
            <w:tcW w:w="34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18,035</w:t>
            </w:r>
          </w:p>
        </w:tc>
      </w:tr>
      <w:tr>
        <w:trPr>
          <w:trHeight w:val="176"/>
        </w:trPr>
        <w:tc>
          <w:tcPr>
            <w:tcW w:w="28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1,067</w:t>
            </w:r>
          </w:p>
        </w:tc>
        <w:tc>
          <w:tcPr>
            <w:tcW w:w="34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1,076</w:t>
            </w:r>
          </w:p>
        </w:tc>
      </w:tr>
      <w:tr>
        <w:trPr>
          <w:trHeight w:val="176"/>
        </w:trPr>
        <w:tc>
          <w:tcPr>
            <w:tcW w:w="28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50,667</w:t>
            </w:r>
          </w:p>
        </w:tc>
        <w:tc>
          <w:tcPr>
            <w:tcW w:w="34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13,790</w:t>
            </w:r>
          </w:p>
        </w:tc>
      </w:tr>
      <w:tr>
        <w:trPr>
          <w:trHeight w:val="176"/>
        </w:trPr>
        <w:tc>
          <w:tcPr>
            <w:tcW w:w="28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(2,297)</w:t>
            </w:r>
          </w:p>
        </w:tc>
        <w:tc>
          <w:tcPr>
            <w:tcW w:w="34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7,188</w:t>
            </w:r>
          </w:p>
        </w:tc>
      </w:tr>
      <w:tr>
        <w:trPr>
          <w:trHeight w:val="182"/>
        </w:trPr>
        <w:tc>
          <w:tcPr>
            <w:tcW w:w="28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3,673</w:t>
            </w:r>
          </w:p>
        </w:tc>
        <w:tc>
          <w:tcPr>
            <w:tcW w:w="34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4,309</w:t>
            </w:r>
          </w:p>
        </w:tc>
      </w:tr>
      <w:tr>
        <w:trPr>
          <w:trHeight w:val="344"/>
        </w:trPr>
        <w:tc>
          <w:tcPr>
            <w:tcW w:w="28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(17,573)</w:t>
            </w:r>
          </w:p>
        </w:tc>
        <w:tc>
          <w:tcPr>
            <w:tcW w:w="3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(27,162)</w:t>
            </w:r>
          </w:p>
        </w:tc>
      </w:tr>
      <w:tr>
        <w:trPr>
          <w:trHeight w:val="176"/>
        </w:trPr>
        <w:tc>
          <w:tcPr>
            <w:tcW w:w="28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(16,242)</w:t>
            </w:r>
          </w:p>
        </w:tc>
        <w:tc>
          <w:tcPr>
            <w:tcW w:w="34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22,343</w:t>
            </w:r>
          </w:p>
        </w:tc>
      </w:tr>
      <w:tr>
        <w:trPr>
          <w:trHeight w:val="176"/>
        </w:trPr>
        <w:tc>
          <w:tcPr>
            <w:tcW w:w="28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8,112</w:t>
            </w:r>
          </w:p>
        </w:tc>
        <w:tc>
          <w:tcPr>
            <w:tcW w:w="34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20,705</w:t>
            </w:r>
          </w:p>
        </w:tc>
      </w:tr>
      <w:tr>
        <w:trPr>
          <w:trHeight w:val="176"/>
        </w:trPr>
        <w:tc>
          <w:tcPr>
            <w:tcW w:w="28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11,230</w:t>
            </w:r>
          </w:p>
        </w:tc>
        <w:tc>
          <w:tcPr>
            <w:tcW w:w="3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(339)</w:t>
            </w:r>
          </w:p>
        </w:tc>
      </w:tr>
      <w:tr>
        <w:trPr>
          <w:trHeight w:val="176"/>
        </w:trPr>
        <w:tc>
          <w:tcPr>
            <w:tcW w:w="28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78,463</w:t>
            </w:r>
          </w:p>
        </w:tc>
        <w:tc>
          <w:tcPr>
            <w:tcW w:w="3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(37,312)</w:t>
            </w:r>
          </w:p>
        </w:tc>
      </w:tr>
      <w:tr>
        <w:trPr>
          <w:trHeight w:val="176"/>
        </w:trPr>
        <w:tc>
          <w:tcPr>
            <w:tcW w:w="28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1,926</w:t>
            </w:r>
          </w:p>
        </w:tc>
        <w:tc>
          <w:tcPr>
            <w:tcW w:w="34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7,808</w:t>
            </w:r>
          </w:p>
        </w:tc>
      </w:tr>
      <w:tr>
        <w:trPr>
          <w:trHeight w:val="176"/>
        </w:trPr>
        <w:tc>
          <w:tcPr>
            <w:tcW w:w="28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(41,309)</w:t>
            </w:r>
          </w:p>
        </w:tc>
        <w:tc>
          <w:tcPr>
            <w:tcW w:w="3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(25,810)</w:t>
            </w:r>
          </w:p>
        </w:tc>
      </w:tr>
      <w:tr>
        <w:trPr>
          <w:trHeight w:val="176"/>
        </w:trPr>
        <w:tc>
          <w:tcPr>
            <w:tcW w:w="28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(10,554)</w:t>
            </w:r>
          </w:p>
        </w:tc>
        <w:tc>
          <w:tcPr>
            <w:tcW w:w="3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(10,246)</w:t>
            </w:r>
          </w:p>
        </w:tc>
      </w:tr>
      <w:tr>
        <w:trPr>
          <w:trHeight w:val="181"/>
        </w:trPr>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(20,680)</w:t>
            </w: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18,086</w:t>
            </w:r>
          </w:p>
        </w:tc>
      </w:tr>
      <w:tr>
        <w:trPr>
          <w:trHeight w:val="176"/>
        </w:trPr>
        <w:tc>
          <w:tcPr>
            <w:tcW w:w="280" w:type="dxa"/>
            <w:vAlign w:val="bottom"/>
          </w:tcPr>
          <w:p>
            <w:pPr>
              <w:spacing w:after="0"/>
              <w:rPr>
                <w:sz w:val="15"/>
                <w:szCs w:val="15"/>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191,354</w:t>
            </w:r>
          </w:p>
        </w:tc>
        <w:tc>
          <w:tcPr>
            <w:tcW w:w="34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115,842</w:t>
            </w:r>
          </w:p>
        </w:tc>
      </w:tr>
      <w:tr>
        <w:trPr>
          <w:trHeight w:val="515"/>
        </w:trPr>
        <w:tc>
          <w:tcPr>
            <w:tcW w:w="28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(49,495)</w:t>
            </w:r>
          </w:p>
        </w:tc>
        <w:tc>
          <w:tcPr>
            <w:tcW w:w="34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(43,543)</w:t>
            </w:r>
          </w:p>
        </w:tc>
      </w:tr>
      <w:tr>
        <w:trPr>
          <w:trHeight w:val="182"/>
        </w:trPr>
        <w:tc>
          <w:tcPr>
            <w:tcW w:w="28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(99,386)</w:t>
            </w:r>
          </w:p>
        </w:tc>
        <w:tc>
          <w:tcPr>
            <w:tcW w:w="34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(951)</w:t>
            </w:r>
          </w:p>
        </w:tc>
      </w:tr>
    </w:tbl>
    <w:p>
      <w:pPr>
        <w:ind w:left="1880" w:hanging="1107"/>
        <w:spacing w:after="0"/>
        <w:tabs>
          <w:tab w:leader="none" w:pos="1880" w:val="left"/>
        </w:tabs>
        <w:numPr>
          <w:ilvl w:val="0"/>
          <w:numId w:val="1"/>
        </w:numPr>
        <w:rPr>
          <w:rFonts w:ascii="Arial" w:cs="Arial" w:eastAsia="Arial" w:hAnsi="Arial"/>
          <w:sz w:val="14"/>
          <w:szCs w:val="14"/>
          <w:color w:val="auto"/>
        </w:rPr>
      </w:pPr>
      <w:r>
        <w:rPr>
          <w:rFonts w:ascii="Arial" w:cs="Arial" w:eastAsia="Arial" w:hAnsi="Arial"/>
          <w:sz w:val="14"/>
          <w:szCs w:val="14"/>
          <w:color w:val="auto"/>
        </w:rPr>
        <w:t>(3,034)</w:t>
      </w:r>
    </w:p>
    <w:p>
      <w:pPr>
        <w:spacing w:after="0" w:line="21" w:lineRule="exact"/>
        <w:rPr>
          <w:rFonts w:ascii="Arial" w:cs="Arial" w:eastAsia="Arial" w:hAnsi="Arial"/>
          <w:sz w:val="14"/>
          <w:szCs w:val="14"/>
          <w:color w:val="auto"/>
        </w:rPr>
      </w:pPr>
    </w:p>
    <w:p>
      <w:pPr>
        <w:ind w:left="480"/>
        <w:spacing w:after="0"/>
        <w:rPr>
          <w:rFonts w:ascii="Arial" w:cs="Arial" w:eastAsia="Arial" w:hAnsi="Arial"/>
          <w:sz w:val="14"/>
          <w:szCs w:val="14"/>
          <w:color w:val="auto"/>
        </w:rPr>
      </w:pPr>
      <w:r>
        <w:rPr>
          <w:rFonts w:ascii="Arial" w:cs="Arial" w:eastAsia="Arial" w:hAnsi="Arial"/>
          <w:sz w:val="14"/>
          <w:szCs w:val="14"/>
          <w:color w:val="auto"/>
        </w:rPr>
        <w:t>(148,179)</w:t>
      </w:r>
      <w:r>
        <w:rPr>
          <w:rFonts w:ascii="Arial" w:cs="Arial" w:eastAsia="Arial" w:hAnsi="Arial"/>
          <w:sz w:val="13"/>
          <w:szCs w:val="13"/>
          <w:color w:val="auto"/>
        </w:rPr>
        <w:t>(47,528)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15093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 w:type="dxa"/>
            <w:vAlign w:val="bottom"/>
          </w:tcPr>
          <w:p>
            <w:pPr>
              <w:spacing w:after="0"/>
              <w:rPr>
                <w:sz w:val="15"/>
                <w:szCs w:val="15"/>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335,000</w:t>
            </w:r>
          </w:p>
        </w:tc>
        <w:tc>
          <w:tcPr>
            <w:tcW w:w="40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15,877</w:t>
            </w:r>
          </w:p>
        </w:tc>
      </w:tr>
      <w:tr>
        <w:trPr>
          <w:trHeight w:val="176"/>
        </w:trPr>
        <w:tc>
          <w:tcPr>
            <w:tcW w:w="320" w:type="dxa"/>
            <w:vAlign w:val="bottom"/>
          </w:tcPr>
          <w:p>
            <w:pPr>
              <w:spacing w:after="0"/>
              <w:rPr>
                <w:sz w:val="15"/>
                <w:szCs w:val="15"/>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(29,063)</w:t>
            </w:r>
          </w:p>
        </w:tc>
        <w:tc>
          <w:tcPr>
            <w:tcW w:w="4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(79,119)</w:t>
            </w:r>
          </w:p>
        </w:tc>
      </w:tr>
      <w:tr>
        <w:trPr>
          <w:trHeight w:val="176"/>
        </w:trPr>
        <w:tc>
          <w:tcPr>
            <w:tcW w:w="320" w:type="dxa"/>
            <w:vAlign w:val="bottom"/>
          </w:tcPr>
          <w:p>
            <w:pPr>
              <w:spacing w:after="0"/>
              <w:rPr>
                <w:sz w:val="15"/>
                <w:szCs w:val="15"/>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3,609</w:t>
            </w:r>
          </w:p>
        </w:tc>
        <w:tc>
          <w:tcPr>
            <w:tcW w:w="40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2,891</w:t>
            </w:r>
          </w:p>
        </w:tc>
      </w:tr>
      <w:tr>
        <w:trPr>
          <w:trHeight w:val="181"/>
        </w:trPr>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(7,587)</w:t>
            </w: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(2,672)</w:t>
            </w:r>
          </w:p>
        </w:tc>
      </w:tr>
      <w:tr>
        <w:trPr>
          <w:trHeight w:val="176"/>
        </w:trPr>
        <w:tc>
          <w:tcPr>
            <w:tcW w:w="320" w:type="dxa"/>
            <w:vAlign w:val="bottom"/>
          </w:tcPr>
          <w:p>
            <w:pPr>
              <w:spacing w:after="0"/>
              <w:rPr>
                <w:sz w:val="15"/>
                <w:szCs w:val="15"/>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301,959</w:t>
            </w:r>
          </w:p>
        </w:tc>
        <w:tc>
          <w:tcPr>
            <w:tcW w:w="4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(63,023)</w:t>
            </w:r>
          </w:p>
        </w:tc>
      </w:tr>
      <w:tr>
        <w:trPr>
          <w:trHeight w:val="344"/>
        </w:trPr>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8,636</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(2,744)</w:t>
            </w:r>
          </w:p>
        </w:tc>
      </w:tr>
      <w:tr>
        <w:trPr>
          <w:trHeight w:val="164"/>
        </w:trPr>
        <w:tc>
          <w:tcPr>
            <w:tcW w:w="3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353,770</w:t>
            </w:r>
          </w:p>
        </w:tc>
        <w:tc>
          <w:tcPr>
            <w:tcW w:w="40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2,547</w:t>
            </w:r>
          </w:p>
        </w:tc>
      </w:tr>
      <w:tr>
        <w:trPr>
          <w:trHeight w:val="181"/>
        </w:trPr>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133,565</w:t>
            </w: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131,018</w:t>
            </w:r>
          </w:p>
        </w:tc>
      </w:tr>
      <w:tr>
        <w:trPr>
          <w:trHeight w:val="169"/>
        </w:trPr>
        <w:tc>
          <w:tcPr>
            <w:tcW w:w="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487,335</w:t>
            </w:r>
          </w:p>
        </w:tc>
        <w:tc>
          <w:tcPr>
            <w:tcW w:w="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133,565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8320" w:space="720"/>
            <w:col w:w="2380"/>
          </w:cols>
          <w:pgMar w:left="240" w:top="130"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22"/>
          <w:szCs w:val="22"/>
          <w:b w:val="1"/>
          <w:bCs w:val="1"/>
          <w:color w:val="auto"/>
        </w:rPr>
        <w:t>About Non-GAAP Financial Measures</w:t>
      </w:r>
    </w:p>
    <w:p>
      <w:pPr>
        <w:spacing w:after="0" w:line="213"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The accompanying press release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constant currency and free cash flow. The presentation of this financial information is not intended to be considered in isolation or as a substitute for, or superior to, the financial information prepared and presented in accordance with GAAP, and other companies may define such measures differently. For more information on these non-GAAP financial measures please see the table captioned “Reconciliations of Non-GAAP Financial Measures to Most Directly Comparable GAAP Financial Measures.”</w:t>
      </w:r>
    </w:p>
    <w:p>
      <w:pPr>
        <w:spacing w:after="0" w:line="153" w:lineRule="exact"/>
        <w:rPr>
          <w:sz w:val="20"/>
          <w:szCs w:val="20"/>
          <w:color w:val="auto"/>
        </w:rPr>
      </w:pPr>
    </w:p>
    <w:p>
      <w:pPr>
        <w:ind w:right="60"/>
        <w:spacing w:after="0" w:line="244" w:lineRule="auto"/>
        <w:rPr>
          <w:sz w:val="20"/>
          <w:szCs w:val="20"/>
          <w:color w:val="auto"/>
        </w:rPr>
      </w:pPr>
      <w:r>
        <w:rPr>
          <w:rFonts w:ascii="Arial" w:cs="Arial" w:eastAsia="Arial" w:hAnsi="Arial"/>
          <w:sz w:val="21"/>
          <w:szCs w:val="21"/>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purchase accounting adjustments, restructuring charges or goodwill impairment charges, and the impact of the Tax Cuts and Jobs Act ("Tax Act").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9"/>
          <w:szCs w:val="19"/>
          <w:u w:val="single" w:color="auto"/>
          <w:color w:val="auto"/>
        </w:rPr>
        <w:t>Non-GAAP operating expenses and non-GAAP operating income</w:t>
      </w:r>
      <w:r>
        <w:rPr>
          <w:rFonts w:ascii="Arial" w:cs="Arial" w:eastAsia="Arial" w:hAnsi="Arial"/>
          <w:sz w:val="19"/>
          <w:szCs w:val="19"/>
          <w:color w:val="auto"/>
        </w:rPr>
        <w:t xml:space="preserve"> - We define non-GAAP operating expenses as operating expenses excluding certain expenses related to the amortization of intangible assets, restructuring, acquisition and integration, and goodwill impairment. We define non-GAAP operating income as operating income excluding the expenses related to the amortization of intangible assets, restructuring, acquisition and integration, and goodwill impairment.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27202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4" w:name="page15"/>
    <w:bookmarkEnd w:id="14"/>
    <w:p>
      <w:pPr>
        <w:ind w:right="60"/>
        <w:spacing w:after="0" w:line="274" w:lineRule="auto"/>
        <w:rPr>
          <w:sz w:val="20"/>
          <w:szCs w:val="20"/>
          <w:color w:val="auto"/>
        </w:rPr>
      </w:pPr>
      <w:r>
        <w:rPr>
          <w:rFonts w:ascii="Arial" w:cs="Arial" w:eastAsia="Arial" w:hAnsi="Arial"/>
          <w:sz w:val="19"/>
          <w:szCs w:val="19"/>
          <w:u w:val="single" w:color="auto"/>
          <w:color w:val="auto"/>
        </w:rPr>
        <w:t>Non-GAAP net income and non-GAAP diluted EPS</w:t>
      </w:r>
      <w:r>
        <w:rPr>
          <w:rFonts w:ascii="Arial" w:cs="Arial" w:eastAsia="Arial" w:hAnsi="Arial"/>
          <w:sz w:val="19"/>
          <w:szCs w:val="19"/>
          <w:color w:val="auto"/>
        </w:rPr>
        <w:t xml:space="preserve"> - We define non-GAAP net income as net income attributable to Itron, Inc. excluding the expenses associated with amortization of intangible assets, restructuring, acquisition and integration, goodwill impairment, amortization of debt placement fees, impact from the Tax Act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60" w:lineRule="exact"/>
        <w:rPr>
          <w:sz w:val="20"/>
          <w:szCs w:val="20"/>
          <w:color w:val="auto"/>
        </w:rPr>
      </w:pPr>
    </w:p>
    <w:p>
      <w:pPr>
        <w:spacing w:after="0" w:line="277" w:lineRule="auto"/>
        <w:rPr>
          <w:sz w:val="20"/>
          <w:szCs w:val="20"/>
          <w:color w:val="auto"/>
        </w:rPr>
      </w:pPr>
      <w:r>
        <w:rPr>
          <w:rFonts w:ascii="Arial" w:cs="Arial" w:eastAsia="Arial" w:hAnsi="Arial"/>
          <w:sz w:val="19"/>
          <w:szCs w:val="19"/>
          <w:u w:val="single" w:color="auto"/>
          <w:color w:val="auto"/>
        </w:rPr>
        <w:t>Adjusted EBITDA</w:t>
      </w:r>
      <w:r>
        <w:rPr>
          <w:rFonts w:ascii="Arial" w:cs="Arial" w:eastAsia="Arial" w:hAnsi="Arial"/>
          <w:sz w:val="19"/>
          <w:szCs w:val="19"/>
          <w:color w:val="auto"/>
        </w:rPr>
        <w:t xml:space="preserve"> - We define adjusted EBITDA as net income (a) minus interest income, (b) plus interest expense, depreciation and amortization, restructuring, acquisition and integration related expense, goodwill impairment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53"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u w:val="single" w:color="auto"/>
          <w:color w:val="auto"/>
        </w:rPr>
        <w:t>Free cash flow</w:t>
      </w:r>
      <w:r>
        <w:rPr>
          <w:rFonts w:ascii="Arial" w:cs="Arial" w:eastAsia="Arial" w:hAnsi="Arial"/>
          <w:sz w:val="21"/>
          <w:szCs w:val="21"/>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79" w:lineRule="exact"/>
        <w:rPr>
          <w:sz w:val="20"/>
          <w:szCs w:val="20"/>
          <w:color w:val="auto"/>
        </w:rPr>
      </w:pPr>
    </w:p>
    <w:p>
      <w:pPr>
        <w:ind w:right="200"/>
        <w:spacing w:after="0" w:line="279" w:lineRule="auto"/>
        <w:rPr>
          <w:sz w:val="20"/>
          <w:szCs w:val="20"/>
          <w:color w:val="auto"/>
        </w:rPr>
      </w:pPr>
      <w:r>
        <w:rPr>
          <w:rFonts w:ascii="Arial" w:cs="Arial" w:eastAsia="Arial" w:hAnsi="Arial"/>
          <w:sz w:val="19"/>
          <w:szCs w:val="19"/>
          <w:u w:val="single" w:color="auto"/>
          <w:color w:val="auto"/>
        </w:rPr>
        <w:t>Constant currency</w:t>
      </w:r>
      <w:r>
        <w:rPr>
          <w:rFonts w:ascii="Arial" w:cs="Arial" w:eastAsia="Arial" w:hAnsi="Arial"/>
          <w:sz w:val="19"/>
          <w:szCs w:val="19"/>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51"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The accompanying tables have more detail on the GAAP financial measures that are most directly comparable to the non-GAAP financial measures and the related reconciliations between these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15" w:name="page16"/>
    <w:bookmarkEnd w:id="15"/>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spacing w:after="0"/>
              <w:rPr>
                <w:sz w:val="20"/>
                <w:szCs w:val="20"/>
                <w:color w:val="auto"/>
              </w:rPr>
            </w:pPr>
            <w:r>
              <w:rPr>
                <w:rFonts w:ascii="Arial" w:cs="Arial" w:eastAsia="Arial" w:hAnsi="Arial"/>
                <w:sz w:val="14"/>
                <w:szCs w:val="14"/>
                <w:color w:val="auto"/>
              </w:rPr>
              <w:t>(Unaudited, in thousands, except per share data)</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COMPANY RECONCILIATIONS</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w w:val="97"/>
              </w:rPr>
              <w:t>Three Months Ended December 31,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w w:val="98"/>
              </w:rPr>
              <w:t>Twelve Months Ended December 31,</w:t>
            </w: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4"/>
        </w:trPr>
        <w:tc>
          <w:tcPr>
            <w:tcW w:w="5000" w:type="dxa"/>
            <w:vAlign w:val="bottom"/>
          </w:tcPr>
          <w:p>
            <w:pPr>
              <w:ind w:left="140"/>
              <w:spacing w:after="0"/>
              <w:rPr>
                <w:sz w:val="20"/>
                <w:szCs w:val="20"/>
                <w:color w:val="auto"/>
              </w:rPr>
            </w:pPr>
            <w:r>
              <w:rPr>
                <w:rFonts w:ascii="Arial" w:cs="Arial" w:eastAsia="Arial" w:hAnsi="Arial"/>
                <w:sz w:val="14"/>
                <w:szCs w:val="14"/>
                <w:b w:val="1"/>
                <w:bCs w:val="1"/>
                <w:color w:val="auto"/>
              </w:rPr>
              <w:t>NON-GAAP NET INCOME &amp; DILUTED EPS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280"/>
              <w:spacing w:after="0"/>
              <w:rPr>
                <w:sz w:val="20"/>
                <w:szCs w:val="20"/>
                <w:color w:val="auto"/>
              </w:rPr>
            </w:pPr>
            <w:r>
              <w:rPr>
                <w:rFonts w:ascii="Arial" w:cs="Arial" w:eastAsia="Arial" w:hAnsi="Arial"/>
                <w:sz w:val="14"/>
                <w:szCs w:val="14"/>
                <w:color w:val="auto"/>
              </w:rPr>
              <w:t>GAAP net income attributable to Itron, Inc.</w:t>
            </w:r>
          </w:p>
        </w:tc>
        <w:tc>
          <w:tcPr>
            <w:tcW w:w="4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1,780</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11,649</w:t>
            </w:r>
          </w:p>
        </w:tc>
        <w:tc>
          <w:tcPr>
            <w:tcW w:w="4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57,298</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31,770</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5,641</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6,110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20,785</w:t>
            </w:r>
          </w:p>
        </w:tc>
        <w:tc>
          <w:tcPr>
            <w:tcW w:w="4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25,112</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Amortization of debt placement fees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241</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966</w:t>
            </w:r>
          </w:p>
        </w:tc>
        <w:tc>
          <w:tcPr>
            <w:tcW w:w="4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(999)</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7,796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6,418</w:t>
            </w:r>
          </w:p>
        </w:tc>
        <w:tc>
          <w:tcPr>
            <w:tcW w:w="4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49,090</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Acquisition and integration related (recovery) expense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3,095</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17,139</w:t>
            </w:r>
          </w:p>
        </w:tc>
        <w:tc>
          <w:tcPr>
            <w:tcW w:w="48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Tax Cuts and Jobs Act adjustment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30,424</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30,424</w:t>
            </w:r>
          </w:p>
        </w:tc>
        <w:tc>
          <w:tcPr>
            <w:tcW w:w="4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5000" w:type="dxa"/>
            <w:vAlign w:val="bottom"/>
          </w:tcPr>
          <w:p>
            <w:pPr>
              <w:ind w:left="420"/>
              <w:spacing w:after="0"/>
              <w:rPr>
                <w:sz w:val="20"/>
                <w:szCs w:val="20"/>
                <w:color w:val="auto"/>
              </w:rPr>
            </w:pPr>
            <w:r>
              <w:rPr>
                <w:rFonts w:ascii="Arial" w:cs="Arial" w:eastAsia="Arial" w:hAnsi="Arial"/>
                <w:sz w:val="14"/>
                <w:szCs w:val="14"/>
                <w:color w:val="auto"/>
              </w:rPr>
              <w:t>Income tax effect of non-GAAP adjustments</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(391)</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(12,544)</w:t>
            </w: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(8,478)</w:t>
            </w:r>
          </w:p>
        </w:tc>
        <w:tc>
          <w:tcPr>
            <w:tcW w:w="0" w:type="dxa"/>
            <w:vAlign w:val="bottom"/>
          </w:tcPr>
          <w:p>
            <w:pPr>
              <w:spacing w:after="0"/>
              <w:rPr>
                <w:sz w:val="1"/>
                <w:szCs w:val="1"/>
                <w:color w:val="auto"/>
              </w:rPr>
            </w:pPr>
          </w:p>
        </w:tc>
      </w:tr>
      <w:tr>
        <w:trPr>
          <w:trHeight w:val="137"/>
        </w:trPr>
        <w:tc>
          <w:tcPr>
            <w:tcW w:w="5000" w:type="dxa"/>
            <w:vAlign w:val="bottom"/>
          </w:tcPr>
          <w:p>
            <w:pPr>
              <w:ind w:left="280"/>
              <w:spacing w:after="0" w:line="137" w:lineRule="exact"/>
              <w:rPr>
                <w:sz w:val="20"/>
                <w:szCs w:val="20"/>
                <w:color w:val="auto"/>
              </w:rPr>
            </w:pPr>
            <w:r>
              <w:rPr>
                <w:rFonts w:ascii="Arial" w:cs="Arial" w:eastAsia="Arial" w:hAnsi="Arial"/>
                <w:sz w:val="14"/>
                <w:szCs w:val="14"/>
                <w:color w:val="auto"/>
              </w:rPr>
              <w:t>Non-GAAP net income attributable to</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000" w:type="dxa"/>
            <w:vAlign w:val="bottom"/>
          </w:tcPr>
          <w:p>
            <w:pPr>
              <w:ind w:left="280"/>
              <w:spacing w:after="0"/>
              <w:rPr>
                <w:sz w:val="20"/>
                <w:szCs w:val="20"/>
                <w:color w:val="auto"/>
              </w:rPr>
            </w:pPr>
            <w:r>
              <w:rPr>
                <w:rFonts w:ascii="Arial" w:cs="Arial" w:eastAsia="Arial" w:hAnsi="Arial"/>
                <w:sz w:val="14"/>
                <w:szCs w:val="14"/>
                <w:color w:val="auto"/>
              </w:rPr>
              <w:t>Itron, Inc.</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39,791</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26,413</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120,486</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98,284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000" w:type="dxa"/>
            <w:vAlign w:val="bottom"/>
          </w:tcPr>
          <w:p>
            <w:pPr>
              <w:ind w:left="280"/>
              <w:spacing w:after="0"/>
              <w:rPr>
                <w:sz w:val="20"/>
                <w:szCs w:val="20"/>
                <w:color w:val="auto"/>
              </w:rPr>
            </w:pPr>
            <w:r>
              <w:rPr>
                <w:rFonts w:ascii="Arial" w:cs="Arial" w:eastAsia="Arial" w:hAnsi="Arial"/>
                <w:sz w:val="14"/>
                <w:szCs w:val="14"/>
                <w:color w:val="auto"/>
              </w:rPr>
              <w:t>Non-GAAP diluted EPS</w:t>
            </w:r>
          </w:p>
        </w:tc>
        <w:tc>
          <w:tcPr>
            <w:tcW w:w="4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1.01</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0.68</w:t>
            </w:r>
          </w:p>
        </w:tc>
        <w:tc>
          <w:tcPr>
            <w:tcW w:w="4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3.06</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000" w:type="dxa"/>
            <w:vAlign w:val="bottom"/>
          </w:tcPr>
          <w:p>
            <w:pPr>
              <w:ind w:left="280"/>
              <w:spacing w:after="0"/>
              <w:rPr>
                <w:sz w:val="20"/>
                <w:szCs w:val="20"/>
                <w:color w:val="auto"/>
              </w:rPr>
            </w:pPr>
            <w:r>
              <w:rPr>
                <w:rFonts w:ascii="Arial" w:cs="Arial" w:eastAsia="Arial" w:hAnsi="Arial"/>
                <w:sz w:val="14"/>
                <w:szCs w:val="14"/>
                <w:color w:val="auto"/>
              </w:rPr>
              <w:t>Weighted average common shares outstanding - Diluted</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39,530</w:t>
            </w: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39,028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39,387</w:t>
            </w: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38,643</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ADJUSTED EBITDA</w:t>
            </w: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280"/>
              <w:spacing w:after="0"/>
              <w:rPr>
                <w:sz w:val="20"/>
                <w:szCs w:val="20"/>
                <w:color w:val="auto"/>
              </w:rPr>
            </w:pPr>
            <w:r>
              <w:rPr>
                <w:rFonts w:ascii="Arial" w:cs="Arial" w:eastAsia="Arial" w:hAnsi="Arial"/>
                <w:sz w:val="14"/>
                <w:szCs w:val="14"/>
                <w:color w:val="auto"/>
              </w:rPr>
              <w:t>GAAP net income attributable to Itron, Inc.</w:t>
            </w:r>
          </w:p>
        </w:tc>
        <w:tc>
          <w:tcPr>
            <w:tcW w:w="4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1,780</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11,649</w:t>
            </w:r>
          </w:p>
        </w:tc>
        <w:tc>
          <w:tcPr>
            <w:tcW w:w="4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57,298</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31,770</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Interest income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(658)</w:t>
            </w:r>
          </w:p>
        </w:tc>
        <w:tc>
          <w:tcPr>
            <w:tcW w:w="46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(2,126)</w:t>
            </w:r>
          </w:p>
        </w:tc>
        <w:tc>
          <w:tcPr>
            <w:tcW w:w="48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3,133</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2,604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11,581</w:t>
            </w:r>
          </w:p>
        </w:tc>
        <w:tc>
          <w:tcPr>
            <w:tcW w:w="4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10,948</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Income tax provision</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42,079</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15,325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74,326</w:t>
            </w:r>
          </w:p>
        </w:tc>
        <w:tc>
          <w:tcPr>
            <w:tcW w:w="4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49,574</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17,215</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16,755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63,215</w:t>
            </w:r>
          </w:p>
        </w:tc>
        <w:tc>
          <w:tcPr>
            <w:tcW w:w="4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68,318</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(999)</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7,796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6,418</w:t>
            </w:r>
          </w:p>
        </w:tc>
        <w:tc>
          <w:tcPr>
            <w:tcW w:w="4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49,090</w:t>
            </w:r>
          </w:p>
        </w:tc>
        <w:tc>
          <w:tcPr>
            <w:tcW w:w="0" w:type="dxa"/>
            <w:vAlign w:val="bottom"/>
          </w:tcPr>
          <w:p>
            <w:pPr>
              <w:spacing w:after="0"/>
              <w:rPr>
                <w:sz w:val="1"/>
                <w:szCs w:val="1"/>
                <w:color w:val="auto"/>
              </w:rPr>
            </w:pPr>
          </w:p>
        </w:tc>
      </w:tr>
      <w:tr>
        <w:trPr>
          <w:trHeight w:val="181"/>
        </w:trPr>
        <w:tc>
          <w:tcPr>
            <w:tcW w:w="5000" w:type="dxa"/>
            <w:vAlign w:val="bottom"/>
          </w:tcPr>
          <w:p>
            <w:pPr>
              <w:ind w:left="420"/>
              <w:spacing w:after="0"/>
              <w:rPr>
                <w:sz w:val="20"/>
                <w:szCs w:val="20"/>
                <w:color w:val="auto"/>
              </w:rPr>
            </w:pPr>
            <w:r>
              <w:rPr>
                <w:rFonts w:ascii="Arial" w:cs="Arial" w:eastAsia="Arial" w:hAnsi="Arial"/>
                <w:sz w:val="14"/>
                <w:szCs w:val="14"/>
                <w:color w:val="auto"/>
              </w:rPr>
              <w:t>Acquisition and integration related (recovery) expense</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3,095</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17,139</w:t>
            </w: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69"/>
        </w:trPr>
        <w:tc>
          <w:tcPr>
            <w:tcW w:w="5000" w:type="dxa"/>
            <w:vAlign w:val="bottom"/>
          </w:tcPr>
          <w:p>
            <w:pPr>
              <w:ind w:left="280"/>
              <w:spacing w:after="0"/>
              <w:rPr>
                <w:sz w:val="20"/>
                <w:szCs w:val="20"/>
                <w:color w:val="auto"/>
              </w:rPr>
            </w:pPr>
            <w:r>
              <w:rPr>
                <w:rFonts w:ascii="Arial" w:cs="Arial" w:eastAsia="Arial" w:hAnsi="Arial"/>
                <w:sz w:val="14"/>
                <w:szCs w:val="14"/>
                <w:color w:val="auto"/>
              </w:rPr>
              <w:t>Adjusted EBITDA</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65,645</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53,863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227,851</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208,638</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FREE CASH FLOW</w:t>
            </w: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4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76,853</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33,961</w:t>
            </w:r>
          </w:p>
        </w:tc>
        <w:tc>
          <w:tcPr>
            <w:tcW w:w="4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191,354</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115,842</w:t>
            </w:r>
          </w:p>
        </w:tc>
        <w:tc>
          <w:tcPr>
            <w:tcW w:w="0" w:type="dxa"/>
            <w:vAlign w:val="bottom"/>
          </w:tcPr>
          <w:p>
            <w:pPr>
              <w:spacing w:after="0"/>
              <w:rPr>
                <w:sz w:val="1"/>
                <w:szCs w:val="1"/>
                <w:color w:val="auto"/>
              </w:rPr>
            </w:pPr>
          </w:p>
        </w:tc>
      </w:tr>
      <w:tr>
        <w:trPr>
          <w:trHeight w:val="181"/>
        </w:trPr>
        <w:tc>
          <w:tcPr>
            <w:tcW w:w="5000" w:type="dxa"/>
            <w:vAlign w:val="bottom"/>
          </w:tcPr>
          <w:p>
            <w:pPr>
              <w:ind w:left="420"/>
              <w:spacing w:after="0"/>
              <w:rPr>
                <w:sz w:val="20"/>
                <w:szCs w:val="20"/>
                <w:color w:val="auto"/>
              </w:rPr>
            </w:pPr>
            <w:r>
              <w:rPr>
                <w:rFonts w:ascii="Arial" w:cs="Arial" w:eastAsia="Arial" w:hAnsi="Arial"/>
                <w:sz w:val="14"/>
                <w:szCs w:val="14"/>
                <w:color w:val="auto"/>
              </w:rPr>
              <w:t>Acquisitions of property, plant, and equipment</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(16,002)</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(12,980)</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(49,495)</w:t>
            </w: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(43,543)</w:t>
            </w:r>
          </w:p>
        </w:tc>
        <w:tc>
          <w:tcPr>
            <w:tcW w:w="0" w:type="dxa"/>
            <w:vAlign w:val="bottom"/>
          </w:tcPr>
          <w:p>
            <w:pPr>
              <w:spacing w:after="0"/>
              <w:rPr>
                <w:sz w:val="1"/>
                <w:szCs w:val="1"/>
                <w:color w:val="auto"/>
              </w:rPr>
            </w:pPr>
          </w:p>
        </w:tc>
      </w:tr>
      <w:tr>
        <w:trPr>
          <w:trHeight w:val="169"/>
        </w:trPr>
        <w:tc>
          <w:tcPr>
            <w:tcW w:w="5000" w:type="dxa"/>
            <w:vAlign w:val="bottom"/>
          </w:tcPr>
          <w:p>
            <w:pPr>
              <w:ind w:left="280"/>
              <w:spacing w:after="0"/>
              <w:rPr>
                <w:sz w:val="20"/>
                <w:szCs w:val="20"/>
                <w:color w:val="auto"/>
              </w:rPr>
            </w:pPr>
            <w:r>
              <w:rPr>
                <w:rFonts w:ascii="Arial" w:cs="Arial" w:eastAsia="Arial" w:hAnsi="Arial"/>
                <w:sz w:val="14"/>
                <w:szCs w:val="14"/>
                <w:color w:val="auto"/>
              </w:rPr>
              <w:t>Free Cash Flow</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60,851</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20,981</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141,859</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72,299</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NON-GAAP OPERATING INCOME</w:t>
            </w: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280"/>
              <w:spacing w:after="0"/>
              <w:rPr>
                <w:sz w:val="20"/>
                <w:szCs w:val="20"/>
                <w:color w:val="auto"/>
              </w:rPr>
            </w:pPr>
            <w:r>
              <w:rPr>
                <w:rFonts w:ascii="Arial" w:cs="Arial" w:eastAsia="Arial" w:hAnsi="Arial"/>
                <w:sz w:val="14"/>
                <w:szCs w:val="14"/>
                <w:color w:val="auto"/>
              </w:rPr>
              <w:t>GAAP operating income</w:t>
            </w:r>
          </w:p>
        </w:tc>
        <w:tc>
          <w:tcPr>
            <w:tcW w:w="4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47,198</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30,754</w:t>
            </w:r>
          </w:p>
        </w:tc>
        <w:tc>
          <w:tcPr>
            <w:tcW w:w="4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151,426</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96,211</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5,641</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6,110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20,785</w:t>
            </w:r>
          </w:p>
        </w:tc>
        <w:tc>
          <w:tcPr>
            <w:tcW w:w="4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25,112</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(999)</w:t>
            </w:r>
          </w:p>
        </w:tc>
        <w:tc>
          <w:tcPr>
            <w:tcW w:w="460" w:type="dxa"/>
            <w:vAlign w:val="bottom"/>
          </w:tcPr>
          <w:p>
            <w:pPr>
              <w:spacing w:after="0"/>
              <w:rPr>
                <w:sz w:val="15"/>
                <w:szCs w:val="15"/>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7,796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6,418</w:t>
            </w:r>
          </w:p>
        </w:tc>
        <w:tc>
          <w:tcPr>
            <w:tcW w:w="480" w:type="dxa"/>
            <w:vAlign w:val="bottom"/>
          </w:tcPr>
          <w:p>
            <w:pPr>
              <w:spacing w:after="0"/>
              <w:rPr>
                <w:sz w:val="15"/>
                <w:szCs w:val="15"/>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49,090</w:t>
            </w:r>
          </w:p>
        </w:tc>
        <w:tc>
          <w:tcPr>
            <w:tcW w:w="0" w:type="dxa"/>
            <w:vAlign w:val="bottom"/>
          </w:tcPr>
          <w:p>
            <w:pPr>
              <w:spacing w:after="0"/>
              <w:rPr>
                <w:sz w:val="1"/>
                <w:szCs w:val="1"/>
                <w:color w:val="auto"/>
              </w:rPr>
            </w:pPr>
          </w:p>
        </w:tc>
      </w:tr>
      <w:tr>
        <w:trPr>
          <w:trHeight w:val="181"/>
        </w:trPr>
        <w:tc>
          <w:tcPr>
            <w:tcW w:w="5000" w:type="dxa"/>
            <w:vAlign w:val="bottom"/>
          </w:tcPr>
          <w:p>
            <w:pPr>
              <w:ind w:left="420"/>
              <w:spacing w:after="0"/>
              <w:rPr>
                <w:sz w:val="20"/>
                <w:szCs w:val="20"/>
                <w:color w:val="auto"/>
              </w:rPr>
            </w:pPr>
            <w:r>
              <w:rPr>
                <w:rFonts w:ascii="Arial" w:cs="Arial" w:eastAsia="Arial" w:hAnsi="Arial"/>
                <w:sz w:val="14"/>
                <w:szCs w:val="14"/>
                <w:color w:val="auto"/>
              </w:rPr>
              <w:t>Acquisition and integration related (recovery) expense</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3,095</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17,139</w:t>
            </w: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69"/>
        </w:trPr>
        <w:tc>
          <w:tcPr>
            <w:tcW w:w="5000" w:type="dxa"/>
            <w:vAlign w:val="bottom"/>
          </w:tcPr>
          <w:p>
            <w:pPr>
              <w:ind w:left="280"/>
              <w:spacing w:after="0"/>
              <w:rPr>
                <w:sz w:val="20"/>
                <w:szCs w:val="20"/>
                <w:color w:val="auto"/>
              </w:rPr>
            </w:pPr>
            <w:r>
              <w:rPr>
                <w:rFonts w:ascii="Arial" w:cs="Arial" w:eastAsia="Arial" w:hAnsi="Arial"/>
                <w:sz w:val="14"/>
                <w:szCs w:val="14"/>
                <w:color w:val="auto"/>
              </w:rPr>
              <w:t>Non-GAAP operating income</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54,935</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44,665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195,768</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170,216</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NON-GAAP OPERATING EXPENSES</w:t>
            </w: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280"/>
              <w:spacing w:after="0"/>
              <w:rPr>
                <w:sz w:val="20"/>
                <w:szCs w:val="20"/>
                <w:color w:val="auto"/>
              </w:rPr>
            </w:pPr>
            <w:r>
              <w:rPr>
                <w:rFonts w:ascii="Arial" w:cs="Arial" w:eastAsia="Arial" w:hAnsi="Arial"/>
                <w:sz w:val="14"/>
                <w:szCs w:val="14"/>
                <w:color w:val="auto"/>
              </w:rPr>
              <w:t>GAAP operating expenses</w:t>
            </w:r>
          </w:p>
        </w:tc>
        <w:tc>
          <w:tcPr>
            <w:tcW w:w="4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127,553</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125,909</w:t>
            </w:r>
          </w:p>
        </w:tc>
        <w:tc>
          <w:tcPr>
            <w:tcW w:w="4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523,728</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564,109</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(5,641)</w:t>
            </w:r>
          </w:p>
        </w:tc>
        <w:tc>
          <w:tcPr>
            <w:tcW w:w="46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(6,110)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(20,785)</w:t>
            </w:r>
          </w:p>
        </w:tc>
        <w:tc>
          <w:tcPr>
            <w:tcW w:w="48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(25,112)</w:t>
            </w:r>
          </w:p>
        </w:tc>
        <w:tc>
          <w:tcPr>
            <w:tcW w:w="0" w:type="dxa"/>
            <w:vAlign w:val="bottom"/>
          </w:tcPr>
          <w:p>
            <w:pPr>
              <w:spacing w:after="0"/>
              <w:rPr>
                <w:sz w:val="1"/>
                <w:szCs w:val="1"/>
                <w:color w:val="auto"/>
              </w:rPr>
            </w:pPr>
          </w:p>
        </w:tc>
      </w:tr>
      <w:tr>
        <w:trPr>
          <w:trHeight w:val="176"/>
        </w:trPr>
        <w:tc>
          <w:tcPr>
            <w:tcW w:w="500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999</w:t>
            </w:r>
          </w:p>
        </w:tc>
        <w:tc>
          <w:tcPr>
            <w:tcW w:w="46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(7,796)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(6,418)</w:t>
            </w:r>
          </w:p>
        </w:tc>
        <w:tc>
          <w:tcPr>
            <w:tcW w:w="48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(49,090)</w:t>
            </w:r>
          </w:p>
        </w:tc>
        <w:tc>
          <w:tcPr>
            <w:tcW w:w="0" w:type="dxa"/>
            <w:vAlign w:val="bottom"/>
          </w:tcPr>
          <w:p>
            <w:pPr>
              <w:spacing w:after="0"/>
              <w:rPr>
                <w:sz w:val="1"/>
                <w:szCs w:val="1"/>
                <w:color w:val="auto"/>
              </w:rPr>
            </w:pPr>
          </w:p>
        </w:tc>
      </w:tr>
      <w:tr>
        <w:trPr>
          <w:trHeight w:val="181"/>
        </w:trPr>
        <w:tc>
          <w:tcPr>
            <w:tcW w:w="5000" w:type="dxa"/>
            <w:vAlign w:val="bottom"/>
          </w:tcPr>
          <w:p>
            <w:pPr>
              <w:ind w:left="420"/>
              <w:spacing w:after="0"/>
              <w:rPr>
                <w:sz w:val="20"/>
                <w:szCs w:val="20"/>
                <w:color w:val="auto"/>
              </w:rPr>
            </w:pPr>
            <w:r>
              <w:rPr>
                <w:rFonts w:ascii="Arial" w:cs="Arial" w:eastAsia="Arial" w:hAnsi="Arial"/>
                <w:sz w:val="14"/>
                <w:szCs w:val="14"/>
                <w:color w:val="auto"/>
              </w:rPr>
              <w:t>Acquisition and integration related recovery (expense)</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(3,095)</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(17,139)</w:t>
            </w: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69"/>
        </w:trPr>
        <w:tc>
          <w:tcPr>
            <w:tcW w:w="5000" w:type="dxa"/>
            <w:vAlign w:val="bottom"/>
          </w:tcPr>
          <w:p>
            <w:pPr>
              <w:ind w:left="280"/>
              <w:spacing w:after="0"/>
              <w:rPr>
                <w:sz w:val="20"/>
                <w:szCs w:val="20"/>
                <w:color w:val="auto"/>
              </w:rPr>
            </w:pPr>
            <w:r>
              <w:rPr>
                <w:rFonts w:ascii="Arial" w:cs="Arial" w:eastAsia="Arial" w:hAnsi="Arial"/>
                <w:sz w:val="14"/>
                <w:szCs w:val="14"/>
                <w:color w:val="auto"/>
              </w:rPr>
              <w:t>Non-GAAP operating expenses</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119,816</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111,998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479,386</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490,104</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0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4"/>
          <w:szCs w:val="14"/>
          <w:b w:val="1"/>
          <w:bCs w:val="1"/>
          <w:color w:val="auto"/>
        </w:rPr>
        <w:t>ITRON,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RECONCILIATIONS OF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THE MOST DIRECTLY COMPARABLE GAAP FINANCIAL MEASURES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80" w:type="dxa"/>
            <w:vAlign w:val="bottom"/>
          </w:tcPr>
          <w:p>
            <w:pPr>
              <w:spacing w:after="0"/>
              <w:rPr>
                <w:sz w:val="20"/>
                <w:szCs w:val="20"/>
                <w:color w:val="auto"/>
              </w:rPr>
            </w:pPr>
            <w:r>
              <w:rPr>
                <w:rFonts w:ascii="Arial" w:cs="Arial" w:eastAsia="Arial" w:hAnsi="Arial"/>
                <w:sz w:val="14"/>
                <w:szCs w:val="14"/>
                <w:color w:val="auto"/>
              </w:rPr>
              <w:t>(Unaudited, in thousands)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7080" w:type="dxa"/>
            <w:vAlign w:val="bottom"/>
            <w:vMerge w:val="restart"/>
          </w:tcPr>
          <w:p>
            <w:pPr>
              <w:spacing w:after="0"/>
              <w:rPr>
                <w:sz w:val="20"/>
                <w:szCs w:val="20"/>
                <w:color w:val="auto"/>
              </w:rPr>
            </w:pPr>
            <w:r>
              <w:rPr>
                <w:rFonts w:ascii="Arial" w:cs="Arial" w:eastAsia="Arial" w:hAnsi="Arial"/>
                <w:sz w:val="14"/>
                <w:szCs w:val="14"/>
                <w:b w:val="1"/>
                <w:bCs w:val="1"/>
                <w:color w:val="auto"/>
              </w:rPr>
              <w:t>SEGMENT RECONCILIATIONS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85"/>
        </w:trPr>
        <w:tc>
          <w:tcPr>
            <w:tcW w:w="70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4"/>
        </w:trPr>
        <w:tc>
          <w:tcPr>
            <w:tcW w:w="7080" w:type="dxa"/>
            <w:vAlign w:val="bottom"/>
          </w:tcPr>
          <w:p>
            <w:pPr>
              <w:ind w:left="140"/>
              <w:spacing w:after="0"/>
              <w:rPr>
                <w:sz w:val="20"/>
                <w:szCs w:val="20"/>
                <w:color w:val="auto"/>
              </w:rPr>
            </w:pPr>
            <w:r>
              <w:rPr>
                <w:rFonts w:ascii="Arial" w:cs="Arial" w:eastAsia="Arial" w:hAnsi="Arial"/>
                <w:sz w:val="14"/>
                <w:szCs w:val="14"/>
                <w:b w:val="1"/>
                <w:bCs w:val="1"/>
                <w:color w:val="auto"/>
              </w:rPr>
              <w:t>NON-GAAP OPERATING INCOME - ELECTRICITY</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Electricity - GAAP operating income</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41,937</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17,195</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93,566</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68,287</w:t>
            </w:r>
          </w:p>
        </w:tc>
        <w:tc>
          <w:tcPr>
            <w:tcW w:w="0" w:type="dxa"/>
            <w:vAlign w:val="bottom"/>
          </w:tcPr>
          <w:p>
            <w:pPr>
              <w:spacing w:after="0"/>
              <w:rPr>
                <w:sz w:val="1"/>
                <w:szCs w:val="1"/>
                <w:color w:val="auto"/>
              </w:rPr>
            </w:pPr>
          </w:p>
        </w:tc>
      </w:tr>
      <w:tr>
        <w:trPr>
          <w:trHeight w:val="176"/>
        </w:trPr>
        <w:tc>
          <w:tcPr>
            <w:tcW w:w="708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3,268</w:t>
            </w:r>
          </w:p>
        </w:tc>
        <w:tc>
          <w:tcPr>
            <w:tcW w:w="30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3,223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11,618</w:t>
            </w:r>
          </w:p>
        </w:tc>
        <w:tc>
          <w:tcPr>
            <w:tcW w:w="30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13,273</w:t>
            </w:r>
          </w:p>
        </w:tc>
        <w:tc>
          <w:tcPr>
            <w:tcW w:w="0" w:type="dxa"/>
            <w:vAlign w:val="bottom"/>
          </w:tcPr>
          <w:p>
            <w:pPr>
              <w:spacing w:after="0"/>
              <w:rPr>
                <w:sz w:val="1"/>
                <w:szCs w:val="1"/>
                <w:color w:val="auto"/>
              </w:rPr>
            </w:pPr>
          </w:p>
        </w:tc>
      </w:tr>
      <w:tr>
        <w:trPr>
          <w:trHeight w:val="176"/>
        </w:trPr>
        <w:tc>
          <w:tcPr>
            <w:tcW w:w="708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(1,359)</w:t>
            </w:r>
          </w:p>
        </w:tc>
        <w:tc>
          <w:tcPr>
            <w:tcW w:w="30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2,283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198</w:t>
            </w:r>
          </w:p>
        </w:tc>
        <w:tc>
          <w:tcPr>
            <w:tcW w:w="30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7,694</w:t>
            </w:r>
          </w:p>
        </w:tc>
        <w:tc>
          <w:tcPr>
            <w:tcW w:w="0" w:type="dxa"/>
            <w:vAlign w:val="bottom"/>
          </w:tcPr>
          <w:p>
            <w:pPr>
              <w:spacing w:after="0"/>
              <w:rPr>
                <w:sz w:val="1"/>
                <w:szCs w:val="1"/>
                <w:color w:val="auto"/>
              </w:rPr>
            </w:pPr>
          </w:p>
        </w:tc>
      </w:tr>
      <w:tr>
        <w:trPr>
          <w:trHeight w:val="181"/>
        </w:trPr>
        <w:tc>
          <w:tcPr>
            <w:tcW w:w="7080" w:type="dxa"/>
            <w:vAlign w:val="bottom"/>
          </w:tcPr>
          <w:p>
            <w:pPr>
              <w:ind w:left="420"/>
              <w:spacing w:after="0"/>
              <w:rPr>
                <w:sz w:val="20"/>
                <w:szCs w:val="20"/>
                <w:color w:val="auto"/>
              </w:rPr>
            </w:pPr>
            <w:r>
              <w:rPr>
                <w:rFonts w:ascii="Arial" w:cs="Arial" w:eastAsia="Arial" w:hAnsi="Arial"/>
                <w:sz w:val="14"/>
                <w:szCs w:val="14"/>
                <w:color w:val="auto"/>
              </w:rPr>
              <w:t>Acquisition and integration related (recovery) expense</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471</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10,258</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69"/>
        </w:trPr>
        <w:tc>
          <w:tcPr>
            <w:tcW w:w="7080" w:type="dxa"/>
            <w:vAlign w:val="bottom"/>
          </w:tcPr>
          <w:p>
            <w:pPr>
              <w:ind w:left="280"/>
              <w:spacing w:after="0"/>
              <w:rPr>
                <w:sz w:val="20"/>
                <w:szCs w:val="20"/>
                <w:color w:val="auto"/>
              </w:rPr>
            </w:pPr>
            <w:r>
              <w:rPr>
                <w:rFonts w:ascii="Arial" w:cs="Arial" w:eastAsia="Arial" w:hAnsi="Arial"/>
                <w:sz w:val="14"/>
                <w:szCs w:val="14"/>
                <w:color w:val="auto"/>
              </w:rPr>
              <w:t>Electricity - Non-GAAP operating income</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44,317</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22,706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115,640</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89,057</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NON-GAAP OPERATING INCOME - GAS</w:t>
            </w: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Gas - GAAP operating income</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16,357</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18,002</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74,206</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66,813</w:t>
            </w:r>
          </w:p>
        </w:tc>
        <w:tc>
          <w:tcPr>
            <w:tcW w:w="0" w:type="dxa"/>
            <w:vAlign w:val="bottom"/>
          </w:tcPr>
          <w:p>
            <w:pPr>
              <w:spacing w:after="0"/>
              <w:rPr>
                <w:sz w:val="1"/>
                <w:szCs w:val="1"/>
                <w:color w:val="auto"/>
              </w:rPr>
            </w:pPr>
          </w:p>
        </w:tc>
      </w:tr>
      <w:tr>
        <w:trPr>
          <w:trHeight w:val="176"/>
        </w:trPr>
        <w:tc>
          <w:tcPr>
            <w:tcW w:w="708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1,388</w:t>
            </w:r>
          </w:p>
        </w:tc>
        <w:tc>
          <w:tcPr>
            <w:tcW w:w="30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1,568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5,349</w:t>
            </w:r>
          </w:p>
        </w:tc>
        <w:tc>
          <w:tcPr>
            <w:tcW w:w="30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6,456</w:t>
            </w:r>
          </w:p>
        </w:tc>
        <w:tc>
          <w:tcPr>
            <w:tcW w:w="0" w:type="dxa"/>
            <w:vAlign w:val="bottom"/>
          </w:tcPr>
          <w:p>
            <w:pPr>
              <w:spacing w:after="0"/>
              <w:rPr>
                <w:sz w:val="1"/>
                <w:szCs w:val="1"/>
                <w:color w:val="auto"/>
              </w:rPr>
            </w:pPr>
          </w:p>
        </w:tc>
      </w:tr>
      <w:tr>
        <w:trPr>
          <w:trHeight w:val="181"/>
        </w:trPr>
        <w:tc>
          <w:tcPr>
            <w:tcW w:w="708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496</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3,754</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5,213</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25,744</w:t>
            </w:r>
          </w:p>
        </w:tc>
        <w:tc>
          <w:tcPr>
            <w:tcW w:w="0" w:type="dxa"/>
            <w:vAlign w:val="bottom"/>
          </w:tcPr>
          <w:p>
            <w:pPr>
              <w:spacing w:after="0"/>
              <w:rPr>
                <w:sz w:val="1"/>
                <w:szCs w:val="1"/>
                <w:color w:val="auto"/>
              </w:rPr>
            </w:pPr>
          </w:p>
        </w:tc>
      </w:tr>
      <w:tr>
        <w:trPr>
          <w:trHeight w:val="169"/>
        </w:trPr>
        <w:tc>
          <w:tcPr>
            <w:tcW w:w="7080" w:type="dxa"/>
            <w:vAlign w:val="bottom"/>
          </w:tcPr>
          <w:p>
            <w:pPr>
              <w:ind w:left="280"/>
              <w:spacing w:after="0"/>
              <w:rPr>
                <w:sz w:val="20"/>
                <w:szCs w:val="20"/>
                <w:color w:val="auto"/>
              </w:rPr>
            </w:pPr>
            <w:r>
              <w:rPr>
                <w:rFonts w:ascii="Arial" w:cs="Arial" w:eastAsia="Arial" w:hAnsi="Arial"/>
                <w:sz w:val="14"/>
                <w:szCs w:val="14"/>
                <w:color w:val="auto"/>
              </w:rPr>
              <w:t>Gas - Non-GAAP operating income</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18,241</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23,324</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84,768</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99,013</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NON-GAAP OPERATING INCOME - WATER</w:t>
            </w: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Water - GAAP operating income</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4,236</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8,559</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44,494</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37,266</w:t>
            </w:r>
          </w:p>
        </w:tc>
        <w:tc>
          <w:tcPr>
            <w:tcW w:w="0" w:type="dxa"/>
            <w:vAlign w:val="bottom"/>
          </w:tcPr>
          <w:p>
            <w:pPr>
              <w:spacing w:after="0"/>
              <w:rPr>
                <w:sz w:val="1"/>
                <w:szCs w:val="1"/>
                <w:color w:val="auto"/>
              </w:rPr>
            </w:pPr>
          </w:p>
        </w:tc>
      </w:tr>
      <w:tr>
        <w:trPr>
          <w:trHeight w:val="176"/>
        </w:trPr>
        <w:tc>
          <w:tcPr>
            <w:tcW w:w="7080" w:type="dxa"/>
            <w:vAlign w:val="bottom"/>
          </w:tcPr>
          <w:p>
            <w:pPr>
              <w:ind w:left="420"/>
              <w:spacing w:after="0"/>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985</w:t>
            </w:r>
          </w:p>
        </w:tc>
        <w:tc>
          <w:tcPr>
            <w:tcW w:w="30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3,818</w:t>
            </w:r>
          </w:p>
        </w:tc>
        <w:tc>
          <w:tcPr>
            <w:tcW w:w="30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5,383</w:t>
            </w:r>
          </w:p>
        </w:tc>
        <w:tc>
          <w:tcPr>
            <w:tcW w:w="0" w:type="dxa"/>
            <w:vAlign w:val="bottom"/>
          </w:tcPr>
          <w:p>
            <w:pPr>
              <w:spacing w:after="0"/>
              <w:rPr>
                <w:sz w:val="1"/>
                <w:szCs w:val="1"/>
                <w:color w:val="auto"/>
              </w:rPr>
            </w:pPr>
          </w:p>
        </w:tc>
      </w:tr>
      <w:tr>
        <w:trPr>
          <w:trHeight w:val="181"/>
        </w:trPr>
        <w:tc>
          <w:tcPr>
            <w:tcW w:w="708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254</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651</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700</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13,116</w:t>
            </w:r>
          </w:p>
        </w:tc>
        <w:tc>
          <w:tcPr>
            <w:tcW w:w="0" w:type="dxa"/>
            <w:vAlign w:val="bottom"/>
          </w:tcPr>
          <w:p>
            <w:pPr>
              <w:spacing w:after="0"/>
              <w:rPr>
                <w:sz w:val="1"/>
                <w:szCs w:val="1"/>
                <w:color w:val="auto"/>
              </w:rPr>
            </w:pPr>
          </w:p>
        </w:tc>
      </w:tr>
      <w:tr>
        <w:trPr>
          <w:trHeight w:val="169"/>
        </w:trPr>
        <w:tc>
          <w:tcPr>
            <w:tcW w:w="7080" w:type="dxa"/>
            <w:vAlign w:val="bottom"/>
          </w:tcPr>
          <w:p>
            <w:pPr>
              <w:ind w:left="280"/>
              <w:spacing w:after="0"/>
              <w:rPr>
                <w:sz w:val="20"/>
                <w:szCs w:val="20"/>
                <w:color w:val="auto"/>
              </w:rPr>
            </w:pPr>
            <w:r>
              <w:rPr>
                <w:rFonts w:ascii="Arial" w:cs="Arial" w:eastAsia="Arial" w:hAnsi="Arial"/>
                <w:sz w:val="14"/>
                <w:szCs w:val="14"/>
                <w:color w:val="auto"/>
              </w:rPr>
              <w:t>Water - Non-GAAP operating income</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5,475</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10,529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49,012</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55,765</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NON-GAAP OPERATING INCOME - CORPORATE UNALLOCATED</w:t>
            </w: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080" w:type="dxa"/>
            <w:vAlign w:val="bottom"/>
          </w:tcPr>
          <w:p>
            <w:pPr>
              <w:ind w:left="280"/>
              <w:spacing w:after="0"/>
              <w:rPr>
                <w:sz w:val="20"/>
                <w:szCs w:val="20"/>
                <w:color w:val="auto"/>
              </w:rPr>
            </w:pPr>
            <w:r>
              <w:rPr>
                <w:rFonts w:ascii="Arial" w:cs="Arial" w:eastAsia="Arial" w:hAnsi="Arial"/>
                <w:sz w:val="14"/>
                <w:szCs w:val="14"/>
                <w:color w:val="auto"/>
              </w:rPr>
              <w:t>Corporate unallocated - GAAP operating loss</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(15,332)</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(13,002)</w:t>
            </w:r>
          </w:p>
        </w:tc>
        <w:tc>
          <w:tcPr>
            <w:tcW w:w="3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(60,840)</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(76,155)</w:t>
            </w:r>
          </w:p>
        </w:tc>
        <w:tc>
          <w:tcPr>
            <w:tcW w:w="0" w:type="dxa"/>
            <w:vAlign w:val="bottom"/>
          </w:tcPr>
          <w:p>
            <w:pPr>
              <w:spacing w:after="0"/>
              <w:rPr>
                <w:sz w:val="1"/>
                <w:szCs w:val="1"/>
                <w:color w:val="auto"/>
              </w:rPr>
            </w:pPr>
          </w:p>
        </w:tc>
      </w:tr>
      <w:tr>
        <w:trPr>
          <w:trHeight w:val="176"/>
        </w:trPr>
        <w:tc>
          <w:tcPr>
            <w:tcW w:w="7080" w:type="dxa"/>
            <w:vAlign w:val="bottom"/>
          </w:tcPr>
          <w:p>
            <w:pPr>
              <w:ind w:left="420"/>
              <w:spacing w:after="0"/>
              <w:rPr>
                <w:sz w:val="20"/>
                <w:szCs w:val="20"/>
                <w:color w:val="auto"/>
              </w:rPr>
            </w:pPr>
            <w:r>
              <w:rPr>
                <w:rFonts w:ascii="Arial" w:cs="Arial" w:eastAsia="Arial" w:hAnsi="Arial"/>
                <w:sz w:val="14"/>
                <w:szCs w:val="14"/>
                <w:color w:val="auto"/>
              </w:rPr>
              <w:t>Restructuring</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(390)</w:t>
            </w:r>
          </w:p>
        </w:tc>
        <w:tc>
          <w:tcPr>
            <w:tcW w:w="300" w:type="dxa"/>
            <w:vAlign w:val="bottom"/>
          </w:tcPr>
          <w:p>
            <w:pPr>
              <w:spacing w:after="0"/>
              <w:rPr>
                <w:sz w:val="15"/>
                <w:szCs w:val="15"/>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1,108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307</w:t>
            </w:r>
          </w:p>
        </w:tc>
        <w:tc>
          <w:tcPr>
            <w:tcW w:w="30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2,536</w:t>
            </w:r>
          </w:p>
        </w:tc>
        <w:tc>
          <w:tcPr>
            <w:tcW w:w="0" w:type="dxa"/>
            <w:vAlign w:val="bottom"/>
          </w:tcPr>
          <w:p>
            <w:pPr>
              <w:spacing w:after="0"/>
              <w:rPr>
                <w:sz w:val="1"/>
                <w:szCs w:val="1"/>
                <w:color w:val="auto"/>
              </w:rPr>
            </w:pPr>
          </w:p>
        </w:tc>
      </w:tr>
      <w:tr>
        <w:trPr>
          <w:trHeight w:val="181"/>
        </w:trPr>
        <w:tc>
          <w:tcPr>
            <w:tcW w:w="7080" w:type="dxa"/>
            <w:vAlign w:val="bottom"/>
          </w:tcPr>
          <w:p>
            <w:pPr>
              <w:ind w:left="420"/>
              <w:spacing w:after="0"/>
              <w:rPr>
                <w:sz w:val="20"/>
                <w:szCs w:val="20"/>
                <w:color w:val="auto"/>
              </w:rPr>
            </w:pPr>
            <w:r>
              <w:rPr>
                <w:rFonts w:ascii="Arial" w:cs="Arial" w:eastAsia="Arial" w:hAnsi="Arial"/>
                <w:sz w:val="14"/>
                <w:szCs w:val="14"/>
                <w:color w:val="auto"/>
              </w:rPr>
              <w:t>Acquisition and integration related expense</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2,624</w:t>
            </w: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6,881</w:t>
            </w: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080" w:type="dxa"/>
            <w:vAlign w:val="bottom"/>
          </w:tcPr>
          <w:p>
            <w:pPr>
              <w:ind w:left="280"/>
              <w:spacing w:after="0"/>
              <w:rPr>
                <w:sz w:val="20"/>
                <w:szCs w:val="20"/>
                <w:color w:val="auto"/>
              </w:rPr>
            </w:pPr>
            <w:r>
              <w:rPr>
                <w:rFonts w:ascii="Arial" w:cs="Arial" w:eastAsia="Arial" w:hAnsi="Arial"/>
                <w:sz w:val="14"/>
                <w:szCs w:val="14"/>
                <w:color w:val="auto"/>
              </w:rPr>
              <w:t>Corporate unallocated - Non-GAAP operating loss</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(13,098)</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(11,894)</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(53,652)</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(73,619)</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Itron, Inc.</w:t>
      </w:r>
    </w:p>
    <w:p>
      <w:pPr>
        <w:spacing w:after="0" w:line="230" w:lineRule="auto"/>
        <w:rPr>
          <w:sz w:val="20"/>
          <w:szCs w:val="20"/>
          <w:color w:val="auto"/>
        </w:rPr>
      </w:pPr>
      <w:r>
        <w:rPr>
          <w:rFonts w:ascii="Arial" w:cs="Arial" w:eastAsia="Arial" w:hAnsi="Arial"/>
          <w:sz w:val="22"/>
          <w:szCs w:val="22"/>
          <w:color w:val="auto"/>
        </w:rPr>
        <w:t>Barbara Doyle, 509-891-3443</w:t>
      </w:r>
    </w:p>
    <w:p>
      <w:pPr>
        <w:spacing w:after="0" w:line="231" w:lineRule="auto"/>
        <w:rPr>
          <w:sz w:val="20"/>
          <w:szCs w:val="20"/>
          <w:color w:val="auto"/>
        </w:rPr>
      </w:pPr>
      <w:r>
        <w:rPr>
          <w:rFonts w:ascii="Arial" w:cs="Arial" w:eastAsia="Arial" w:hAnsi="Arial"/>
          <w:sz w:val="22"/>
          <w:szCs w:val="22"/>
          <w:color w:val="auto"/>
        </w:rPr>
        <w:t>Vice President, Investor Relations</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Rebecca Hussey, 509-891-3574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Manager, Investor Relations</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70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2019-12-28T23:53:46Z</dcterms:created>
  <dcterms:modified xsi:type="dcterms:W3CDTF">2019-12-28T23:53:46Z</dcterms:modified>
</cp:coreProperties>
</file>