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370840</wp:posOffset>
            </wp:positionH>
            <wp:positionV relativeFrom="page">
              <wp:posOffset>389255</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0" w:lineRule="exact"/>
        <w:rPr>
          <w:sz w:val="24"/>
          <w:szCs w:val="24"/>
          <w:color w:val="auto"/>
        </w:rPr>
      </w:pPr>
    </w:p>
    <w:p>
      <w:pPr>
        <w:ind w:left="460" w:hanging="31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80" w:hanging="324"/>
        <w:spacing w:after="0"/>
        <w:tabs>
          <w:tab w:leader="none" w:pos="4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CB2C30"/>
        </w:rPr>
        <w:t>Itron,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107950</wp:posOffset>
            </wp:positionV>
            <wp:extent cx="106299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20" w:space="720"/>
            <w:col w:w="4100"/>
          </w:cols>
          <w:pgMar w:left="320" w:top="759" w:right="339" w:bottom="1440" w:gutter="0" w:footer="0" w:header="0"/>
          <w:type w:val="continuous"/>
        </w:sectPr>
      </w:pP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920" w:type="dxa"/>
            <w:vAlign w:val="bottom"/>
            <w:gridSpan w:val="7"/>
          </w:tcPr>
          <w:p>
            <w:pPr>
              <w:jc w:val="right"/>
              <w:ind w:right="3236"/>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56"/>
        </w:trPr>
        <w:tc>
          <w:tcPr>
            <w:tcW w:w="120" w:type="dxa"/>
            <w:vAlign w:val="bottom"/>
          </w:tcPr>
          <w:p>
            <w:pPr>
              <w:spacing w:after="0"/>
              <w:rPr>
                <w:sz w:val="22"/>
                <w:szCs w:val="22"/>
                <w:color w:val="auto"/>
              </w:rPr>
            </w:pPr>
          </w:p>
        </w:tc>
        <w:tc>
          <w:tcPr>
            <w:tcW w:w="31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6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120" w:type="dxa"/>
            <w:vAlign w:val="bottom"/>
          </w:tcPr>
          <w:p>
            <w:pPr>
              <w:spacing w:after="0"/>
              <w:rPr>
                <w:sz w:val="19"/>
                <w:szCs w:val="19"/>
                <w:color w:val="auto"/>
              </w:rPr>
            </w:pPr>
          </w:p>
        </w:tc>
        <w:tc>
          <w:tcPr>
            <w:tcW w:w="310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314"/>
        </w:trPr>
        <w:tc>
          <w:tcPr>
            <w:tcW w:w="7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5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tc>
        <w:tc>
          <w:tcPr>
            <w:tcW w:w="3560" w:type="dxa"/>
            <w:vAlign w:val="bottom"/>
          </w:tcPr>
          <w:p>
            <w:pPr>
              <w:jc w:val="right"/>
              <w:ind w:right="33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03"/>
        </w:trPr>
        <w:tc>
          <w:tcPr>
            <w:tcW w:w="758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560" w:type="dxa"/>
            <w:vAlign w:val="bottom"/>
          </w:tcPr>
          <w:p>
            <w:pPr>
              <w:jc w:val="right"/>
              <w:ind w:right="3236"/>
              <w:spacing w:after="0" w:line="181" w:lineRule="exact"/>
              <w:rPr>
                <w:sz w:val="20"/>
                <w:szCs w:val="20"/>
                <w:color w:val="auto"/>
              </w:rPr>
            </w:pPr>
            <w:r>
              <w:rPr>
                <w:rFonts w:ascii="MS PGothic" w:cs="MS PGothic" w:eastAsia="MS PGothic" w:hAnsi="MS PGothic"/>
                <w:sz w:val="18"/>
                <w:szCs w:val="18"/>
                <w:color w:val="auto"/>
              </w:rPr>
              <w:t>☒</w:t>
            </w:r>
          </w:p>
        </w:tc>
      </w:tr>
    </w:tbl>
    <w:p>
      <w:pPr>
        <w:ind w:right="2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56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26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the shares of common stock held by non-affiliates of the registrant (based on the closing price for the common stock on the NASDAQ Global Select Market) was $4,400,399,793.</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18, 2025, there were outstanding 45,179,771 shares of the registrant's common stock, no par value, which is the only class of common stock of the registrant.</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Part III is incorporated by reference to the definitive Proxy Statement for the Annual Meeting of Shareholders of the Company to be held on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gridSpan w:val="11"/>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gridSpan w:val="12"/>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6960" w:type="dxa"/>
            <w:vAlign w:val="bottom"/>
            <w:gridSpan w:val="23"/>
          </w:tcPr>
          <w:p>
            <w:pPr>
              <w:spacing w:after="0"/>
              <w:rPr>
                <w:sz w:val="16"/>
                <w:szCs w:val="16"/>
                <w:color w:val="auto"/>
              </w:rPr>
            </w:pPr>
          </w:p>
        </w:tc>
        <w:tc>
          <w:tcPr>
            <w:tcW w:w="680" w:type="dxa"/>
            <w:vAlign w:val="bottom"/>
            <w:gridSpan w:val="3"/>
          </w:tcPr>
          <w:p>
            <w:pPr>
              <w:jc w:val="center"/>
              <w:ind w:left="5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1A:</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1B:</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560" w:type="dxa"/>
            <w:vAlign w:val="bottom"/>
            <w:gridSpan w:val="16"/>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0" w:type="dxa"/>
            <w:vAlign w:val="bottom"/>
            <w:gridSpan w:val="19"/>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280" w:type="dxa"/>
            <w:vAlign w:val="bottom"/>
            <w:gridSpan w:val="1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4:</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76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680" w:type="dxa"/>
            <w:vAlign w:val="bottom"/>
            <w:gridSpan w:val="3"/>
            <w:vMerge w:val="restart"/>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30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Securities</w:t>
            </w:r>
          </w:p>
        </w:tc>
        <w:tc>
          <w:tcPr>
            <w:tcW w:w="3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6:</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160" w:type="dxa"/>
            <w:vAlign w:val="bottom"/>
            <w:gridSpan w:val="4"/>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1160" w:type="dxa"/>
            <w:vAlign w:val="bottom"/>
            <w:gridSpan w:val="4"/>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240" w:type="dxa"/>
            <w:vAlign w:val="bottom"/>
            <w:gridSpan w:val="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w:t>
            </w:r>
            <w:r>
              <w:rPr>
                <w:rFonts w:ascii="Times New Roman" w:cs="Times New Roman" w:eastAsia="Times New Roman" w:hAnsi="Times New Roman"/>
                <w:sz w:val="18"/>
                <w:szCs w:val="18"/>
                <w:color w:val="0E32E1"/>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No. 34)</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E32E1"/>
            </w:tcBorders>
            <w:shd w:val="clear" w:color="auto" w:fill="0000FF"/>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28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(Loss)</w:t>
            </w: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380" w:type="dxa"/>
            <w:vAlign w:val="bottom"/>
            <w:gridSpan w:val="8"/>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12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9A:</w:t>
            </w: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gridSpan w:val="3"/>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18"/>
                <w:szCs w:val="18"/>
                <w:color w:val="auto"/>
              </w:rPr>
            </w:pPr>
          </w:p>
        </w:tc>
        <w:tc>
          <w:tcPr>
            <w:tcW w:w="5840" w:type="dxa"/>
            <w:vAlign w:val="bottom"/>
            <w:gridSpan w:val="17"/>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9C:</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500" w:type="dxa"/>
            <w:vAlign w:val="bottom"/>
            <w:gridSpan w:val="9"/>
          </w:tcPr>
          <w:p>
            <w:pPr>
              <w:spacing w:after="0"/>
              <w:rPr>
                <w:sz w:val="16"/>
                <w:szCs w:val="16"/>
                <w:color w:val="auto"/>
              </w:rPr>
            </w:pPr>
          </w:p>
        </w:tc>
        <w:tc>
          <w:tcPr>
            <w:tcW w:w="680" w:type="dxa"/>
            <w:vAlign w:val="bottom"/>
            <w:gridSpan w:val="3"/>
          </w:tcPr>
          <w:p>
            <w:pPr>
              <w:jc w:val="center"/>
              <w:ind w:left="410"/>
              <w:spacing w:after="0" w:line="194" w:lineRule="exact"/>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500" w:type="dxa"/>
            <w:vAlign w:val="bottom"/>
            <w:gridSpan w:val="9"/>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12:</w:t>
            </w:r>
          </w:p>
        </w:tc>
        <w:tc>
          <w:tcPr>
            <w:tcW w:w="7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320" w:type="dxa"/>
            <w:vAlign w:val="bottom"/>
            <w:gridSpan w:val="2"/>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tcBorders>
              <w:left w:val="single" w:sz="8" w:color="0000FF"/>
            </w:tcBorders>
            <w:gridSpan w:val="6"/>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16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160" w:type="dxa"/>
            <w:vAlign w:val="bottom"/>
            <w:gridSpan w:val="5"/>
          </w:tcPr>
          <w:p>
            <w:pPr>
              <w:spacing w:after="0"/>
              <w:rPr>
                <w:sz w:val="18"/>
                <w:szCs w:val="18"/>
                <w:color w:val="auto"/>
              </w:rPr>
            </w:pPr>
          </w:p>
        </w:tc>
        <w:tc>
          <w:tcPr>
            <w:tcW w:w="6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5"/>
        </w:trPr>
        <w:tc>
          <w:tcPr>
            <w:tcW w:w="38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62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76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680" w:type="dxa"/>
            <w:vAlign w:val="bottom"/>
            <w:gridSpan w:val="3"/>
          </w:tcPr>
          <w:p>
            <w:pPr>
              <w:jc w:val="center"/>
              <w:ind w:left="410"/>
              <w:spacing w:after="0" w:line="194" w:lineRule="exact"/>
              <w:rPr>
                <w:sz w:val="20"/>
                <w:szCs w:val="20"/>
                <w:color w:val="auto"/>
              </w:rPr>
            </w:pPr>
            <w:r>
              <w:rPr>
                <w:rFonts w:ascii="Times New Roman" w:cs="Times New Roman" w:eastAsia="Times New Roman" w:hAnsi="Times New Roman"/>
                <w:sz w:val="18"/>
                <w:szCs w:val="18"/>
                <w:color w:val="0000FF"/>
                <w:w w:val="99"/>
              </w:rPr>
              <w:t>96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100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2"/>
        </w:trPr>
        <w:tc>
          <w:tcPr>
            <w:tcW w:w="38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22222"/>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regulations, tariffs, sanctions, trade policies and retaliatory responses,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w:t>
      </w:r>
      <w:r>
        <w:rPr>
          <w:rFonts w:ascii="Times New Roman" w:cs="Times New Roman" w:eastAsia="Times New Roman" w:hAnsi="Times New Roman"/>
          <w:sz w:val="18"/>
          <w:szCs w:val="18"/>
          <w:i w:val="1"/>
          <w:iCs w:val="1"/>
          <w:color w:val="000000"/>
        </w:rPr>
        <w:t>Item 1A: Risk Factors</w:t>
      </w:r>
      <w:r>
        <w:rPr>
          <w:rFonts w:ascii="Times New Roman" w:cs="Times New Roman" w:eastAsia="Times New Roman" w:hAnsi="Times New Roman"/>
          <w:sz w:val="18"/>
          <w:szCs w:val="18"/>
          <w:i w:val="1"/>
          <w:iCs w:val="1"/>
          <w:color w:val="222222"/>
        </w:rPr>
        <w:t xml:space="preserve"> included in this Annual Report </w:t>
      </w:r>
      <w:r>
        <w:rPr>
          <w:rFonts w:ascii="Times New Roman" w:cs="Times New Roman" w:eastAsia="Times New Roman" w:hAnsi="Times New Roman"/>
          <w:sz w:val="18"/>
          <w:szCs w:val="18"/>
          <w:i w:val="1"/>
          <w:iCs w:val="1"/>
          <w:color w:val="000000"/>
        </w:rPr>
        <w:t>and other reports on file with the Securities and</w:t>
      </w:r>
      <w:r>
        <w:rPr>
          <w:rFonts w:ascii="Times New Roman" w:cs="Times New Roman" w:eastAsia="Times New Roman" w:hAnsi="Times New Roman"/>
          <w:sz w:val="18"/>
          <w:szCs w:val="18"/>
          <w:i w:val="1"/>
          <w:iCs w:val="1"/>
          <w:color w:val="222222"/>
        </w:rPr>
        <w:t xml:space="preserve"> </w:t>
      </w:r>
      <w:r>
        <w:rPr>
          <w:rFonts w:ascii="Times New Roman" w:cs="Times New Roman" w:eastAsia="Times New Roman" w:hAnsi="Times New Roman"/>
          <w:sz w:val="18"/>
          <w:szCs w:val="18"/>
          <w:i w:val="1"/>
          <w:iCs w:val="1"/>
          <w:color w:val="000000"/>
        </w:rPr>
        <w:t>Exchange Commission</w:t>
      </w:r>
      <w:r>
        <w:rPr>
          <w:rFonts w:ascii="Times New Roman" w:cs="Times New Roman" w:eastAsia="Times New Roman" w:hAnsi="Times New Roman"/>
          <w:sz w:val="18"/>
          <w:szCs w:val="18"/>
          <w:i w:val="1"/>
          <w:iCs w:val="1"/>
          <w:color w:val="222222"/>
        </w:rPr>
        <w:t>. We undertake no obligation to update or revise any forward-looking statement, whether written or oral.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Documents we provide to the Securities and Exchange Commission (SEC) are available free of charge under the Investors section of our website at </w:t>
      </w:r>
      <w:r>
        <w:rPr>
          <w:rFonts w:ascii="Times New Roman" w:cs="Times New Roman" w:eastAsia="Times New Roman" w:hAnsi="Times New Roman"/>
          <w:sz w:val="18"/>
          <w:szCs w:val="18"/>
          <w:i w:val="1"/>
          <w:iCs w:val="1"/>
          <w:color w:val="auto"/>
        </w:rPr>
        <w:t xml:space="preserve">www.itron.com </w:t>
      </w:r>
      <w:r>
        <w:rPr>
          <w:rFonts w:ascii="Times New Roman" w:cs="Times New Roman" w:eastAsia="Times New Roman" w:hAnsi="Times New Roman"/>
          <w:sz w:val="18"/>
          <w:szCs w:val="18"/>
          <w:color w:val="auto"/>
        </w:rPr>
        <w:t>as soon as practicable after they are filed with or furnished to the SEC. In addition, these documents are available at the SEC's website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The information posted on or accessible through our website is not part of or incorporated by reference into this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Itron is a global leader in grid edge intelligence, energy and water management, smart city applications, Industrial Internet of Things (IIoT) and critical infrastructure and related services. For utilities and cities, we build innovative systems, improve operating efficiencies, expand resiliency, enhance safety, and increase resourcefulness by helping our customers make the most of the energy and water they manage. By safeguarding invaluable natural resources, we seek to improve the quality of life for people around the world.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Itron provides an integrated, intelligent portfolio of endpoints (such as sensors, switches, and meters) that collect data, control devices, and take action in the field. Our communication networks harvest that data and deliver it where it's needed; and software and services turn that data into insights for analysis and action. With Itron, our customers achieve more efficient operations, ensure system resilience, better engage consumers, keep pace with demand, and enhance profitability.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nearly 50 years of experience supporting utilities and cities in the management of their data and critical infrastructure needs. Incorporated in 1977 with an initial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Times New Roman" w:cs="Times New Roman" w:eastAsia="Times New Roman" w:hAnsi="Times New Roman"/>
          <w:sz w:val="18"/>
          <w:szCs w:val="18"/>
          <w:color w:val="222222"/>
        </w:rPr>
        <w:t>Comverge, which e</w:t>
      </w:r>
      <w:r>
        <w:rPr>
          <w:rFonts w:ascii="Times New Roman" w:cs="Times New Roman" w:eastAsia="Times New Roman" w:hAnsi="Times New Roman"/>
          <w:sz w:val="18"/>
          <w:szCs w:val="18"/>
          <w:color w:val="auto"/>
        </w:rPr>
        <w:t>nabled us to offer integrated cloud-based demand response, energy efficiency, and customer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engagement solutions. In 2018, we strengthened our ability to deliver a broader set of solutions and increased our pace of growth and innovation in the utility, smart city, and broader IIoT markets with the acquisition of Silver Spring Networks,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acquisitions, organic growth, and our focus on innovation, Itron is a leading provider of technology to support better decision making, visibility, and control at the grid edge. By digitizing and automating infrastructure, Itron helps utilities and cities operate more efficiently, increase grid resilience and reliability, integrate distributed energy resources, and provide responsible energy and water management.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innovate and support open standards and interoperability with a flexible technology platform that enables our customers to meet their needs directly or via our ecosystem of partners. We support a worldwide network of connected devices and sensors, and we will continue to develop more applications, new opportunities, and value-added outcomes for our customers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our solutions, markets, and operating segments. Refer to Part II, Item 7: Management's Discussion and Analysis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and Part II, Item 8: Financial Statements and Supplementary Data for specific segment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Protecting our world's energy and water is essential. Balancing supply with growing and changing demand, aging infrastructure, increasing consumer expectations, physical security, cybersecurity of assets, extreme weather, sustainability, and resource efficiency are all challenging our customers' ability to transition to a cleaner energy and water economy - while continuing to deliver safe, reliable, and affordable service.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Itron, we are committed to creating a more resourceful world—one where energy, water, and city resources are managed more safely, securely, and reliably, to help improve day-to-day life and promote the well-being of people around the world. We facilitate new ways for cities and utilities to work together so they can use data captured by intelligent endpoints, sensors, and systems to cost-effectively leverage their infrastructure to deliver multiple services and applications on a reliable, intelligent platform.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helps our customers adapt to a rapidly changing world and to address a number of macro trends, including:</w:t>
      </w:r>
    </w:p>
    <w:p>
      <w:pPr>
        <w:spacing w:after="0" w:line="61"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Infrastructure – </w:t>
      </w:r>
      <w:r>
        <w:rPr>
          <w:rFonts w:ascii="Times New Roman" w:cs="Times New Roman" w:eastAsia="Times New Roman" w:hAnsi="Times New Roman"/>
          <w:sz w:val="18"/>
          <w:szCs w:val="18"/>
          <w:color w:val="auto"/>
        </w:rPr>
        <w:t>such as aging utility infrastructure, grid complexity, grid security, safety, asset monitoring and management, and incorporating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proliferation of distributed energy resources, such as electric vehicles, renewable energy, and storage, into the grid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 </w:t>
      </w:r>
      <w:r>
        <w:rPr>
          <w:rFonts w:ascii="Times New Roman" w:cs="Times New Roman" w:eastAsia="Times New Roman" w:hAnsi="Times New Roman"/>
          <w:sz w:val="18"/>
          <w:szCs w:val="18"/>
          <w:color w:val="auto"/>
        </w:rPr>
        <w:t>such as extreme weather, resource scarcity, and societal demand for greater sustainability and decarbonization of energy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w:t>
      </w:r>
    </w:p>
    <w:p>
      <w:pPr>
        <w:spacing w:after="0" w:line="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ocial –</w:t>
      </w:r>
      <w:r>
        <w:rPr>
          <w:rFonts w:ascii="Times New Roman" w:cs="Times New Roman" w:eastAsia="Times New Roman" w:hAnsi="Times New Roman"/>
          <w:sz w:val="18"/>
          <w:szCs w:val="18"/>
          <w:color w:val="auto"/>
        </w:rPr>
        <w:t xml:space="preserve"> such as enhanced customer experience, critical-need consumers, privacy, urbanization, population increase, and the management of data and incorporating IIoT technology into their existing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solutions include smart networks, software, services, devices, sensors, and data analytics operating upon a technology platform that allows our customers to address the changing macro trends listed above, as well as the pressing industry challenges to better manage and control assets, intelligently benchmark, secure revenue, lower operational costs, improve customer service, develop new business models and revenue streams, improve safety, and enable efficient, sustainable management of valuable resources. We use de-identified data to enhance our solutions, services, and products. By analyzing aggregated, anonymized data, we gain valuable insights that drive innovation and improve customer experiences while protecting the privacy and confidentiality of customers and consumers.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reliability.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solutions include technology, software, and services delivered as part of a standalone, one-time purchase or an end-to-end solution over multiple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portfolio includes hardware products used for:</w:t>
      </w:r>
    </w:p>
    <w:p>
      <w:pPr>
        <w:spacing w:after="0" w:line="4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control, or sensing of electricity, gas, water, and other infrastructure assets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endpoints and network infrastructure with embedded intelligence that is designed and sold as a complete solution to acquire and transport application-specific data</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automation - intelligent communication for the modern grid allowing secure, low and medium-voltage distribution-system automation and control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distributed energy resource management (DERMs) to connect, analyze, and optimize distributed energy resources such as rooftop solar installations and electric vehicles, water operations and management, gas operations and safety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services, software, and products that organize, analyze, and interpret data to gain insights, make decisions, and inform actions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offer managed services, Software-as-a-Service (SaaS), Network-as-a-Service (NaaS), technical support services, licensed hardware technology, and consulting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Drivers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Utilities and municipalities are experiencing rapid change related to demand, affordability, reliability, and sustainability, which is impacting how they operate critical infrastructure, manage scarce resources, address impacts of climate disruption, and interact with their customers. Efficiently managing resources within energy, water, and cities is a global priority, as increasing populations and resource consumption, along with extreme weather events, grid complexity from distributed energy resources, and energy requirements driven by data centers and growth in Artificial Intelligence (AI), increase the stress on aging infrastructure. The growing demand for energy, water, and municipal services coupled with the proliferation of renewable energy sources, smart communicating devices, sensors, and multiple data-producing technologies, as well as the growing need to manage distributed energy resources, is causing providers to rethink how they operate and service their cities. This evolution comes at a time when utilities and municipalities are challenged by cost constraints, regulatory requirements, environmental concerns, safety, and resource scarcity.</w:t>
      </w:r>
    </w:p>
    <w:p>
      <w:pPr>
        <w:spacing w:after="0" w:line="2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address these challenges, utilities and cities are interested in technological innovations across a networked platform, utilizing grid edge intelligence as a key enabler to build and maintain critical infrastructure that can:</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and effectively operate energy and water systems that are safe, reliable, and resilient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risk and impact of natural disasters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identify if repairs or maintenance are needed, and identify potential problems before they occur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enhanced, more customized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accommodate next-generation services through shared infrastructure between utilities and cities/municipalities</w:t>
      </w:r>
    </w:p>
    <w:p>
      <w:pPr>
        <w:spacing w:after="0" w:line="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provide actionable insights for asset management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Segments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following is a description of each of the three segments:</w:t>
      </w:r>
    </w:p>
    <w:p>
      <w:pPr>
        <w:spacing w:after="0" w:line="232"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that can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sensors), 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spacing w:after="0" w:line="21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allows us to help utilities improve decision making, maximize operational profitability, engage consumers, enhance resource efficiency, improve grid resiliency and reliability, 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deliver value for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Bookings and Backlog of Orders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will vary based on actual currency rates at the time of shipment, availability of critical supply components, and adjusted customer project timing. Backlog is not a complete measure of our future revenues as we also receive book-and-ship orders and frame contracts. Bookings and backlog vary from period to period primarily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Part II, Item 8: Financial Statements and Supplementary Data, Note 17: Revenues.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 Bookings</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 Backlog</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12-Month Backlog</w:t>
            </w:r>
          </w:p>
        </w:tc>
      </w:tr>
      <w:tr>
        <w:trPr>
          <w:trHeight w:val="211"/>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8"/>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r>
      <w:tr>
        <w:trPr>
          <w:trHeight w:val="213"/>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r>
      <w:tr>
        <w:trPr>
          <w:trHeight w:val="21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Distribution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 combination of direct and indirect sales channels to serve our customers. A direct sales force is utilized for larger utility customers, with which we have long-established relationships. This direct sales force is focused on solution selling, solving problems and business challenges, and delivering valuable outcomes to our utility and smart city customers. For smaller utilities and most municipalities, we often use an indirect sales channel that extends the reach of Itron's solutions by providing trusted partners with the right tools, training, and technology to grow their business, deliver results, and help these customers better manage energy and water. These channels consist of distributors, agents, partners, and meter manufacturer representatives.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2024, 2023, and 2022. Our 10 largest customers in each of the years ended December 31, 2024, 2023, and 2022, accounted for approximately 33%, 36%, and 32% of total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products require a wide variety of components and materials, which are subject to price, tax/tariff, and supply fluctuations. We enter into standard contracts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procure under certain contracts depends on the availability of these materials. Refer to Item 1A: Risk Factors for further discussion related to manufacturing and supply risks.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facilities are located throughout the world, an overview of which is presented in Item 2: Properties. While we manufacture and assemble a portion of our products, we outsource the manufacturing of some products and sub-assemblies to various manufacturing partners and strive to create an efficient, resilient, and cost-effective structure. This approach allows us to reduce the costs related to our manufacturing overhead and inventory, provides geographic diversity, and allows us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 more quickly to changing customer demand. Our manufacturing partners produce our sub-assemblies and products, using design specifications, quality assurance programs, and standards that we establish, and procure components and assemble our products based on demand forecasts. The forecasts represent our estimates of future demand for our products based upon historical trends and analysis from our sales and product management functions, as adjusted for overall market conditions.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delivering solutions and systems to our customers, we frequently partner with third-party partners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perform on our contractual obligations with our customers is dependent on these partners meeting their obligations to us. Refer to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for further discussion related to third-party vendors and strategic partners.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research and development is focused on both expanding existing technology and developing innovative new technology for critical infrastructure in electricity, natural gas, water, heat, smart city, and DERMs verticals. This includes endpoints, sensing and control devices, data collection software, communication technologies, data warehousing, software applications, and the IIoT. We invested approximately $215 million, $209 million, and $185 million in research and development in 2024, 2023, and 2022, which represented 9% of total revenues for 2024 and 10% of total revenues for 2023 and 2022. Refer to Item 1A: Risk Factors for further discussion related to costs of developing competitive products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2024, we had 5,788 people in our workforce, including 5,040 permanent employees. We have not experienced significant employee work stoppages and our employee relations are deemed to be good.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equal opportunity employer, and we promote a culture of inclusion and diversity. We foster this culture through a variety of voluntary programs available to our employees. We offer wages and a range of company-paid benefits we believe are competitive with other companies in our industry and in the markets we serve.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breakdown of our employees by region and self-identified gender: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6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8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7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4"/>
                <w:szCs w:val="14"/>
                <w:color w:val="auto"/>
              </w:rPr>
            </w:pPr>
          </w:p>
        </w:tc>
        <w:tc>
          <w:tcPr>
            <w:tcW w:w="190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43"/>
        </w:trPr>
        <w:tc>
          <w:tcPr>
            <w:tcW w:w="2500" w:type="dxa"/>
            <w:vAlign w:val="bottom"/>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100" w:type="dxa"/>
            <w:vAlign w:val="bottom"/>
          </w:tcPr>
          <w:p>
            <w:pPr>
              <w:spacing w:after="0"/>
              <w:rPr>
                <w:sz w:val="21"/>
                <w:szCs w:val="21"/>
                <w:color w:val="auto"/>
              </w:rPr>
            </w:pPr>
          </w:p>
        </w:tc>
        <w:tc>
          <w:tcPr>
            <w:tcW w:w="1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 &amp; 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numbers do not include contingent workers (748 as of December 31,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enable utilities and cities to safely, securely, and reliably deliver critical infrastructure services to communities around the world. Our portfolio of smart networks, software, services, meters, and sensors help our customers better manage energy, water, and city infrastructure resources for the people they serve. Consequently, we operate within a large and complex competitive landscape, and our competitors range from small companies to large global entities. Some of our competitors have diversified product portfolios and participate in multiple geographic markets, while others focus on specific regional markets and/or certain types of products, including some low-cost suppliers of devices based in Asia. Our primary competitors include LM Ericsson Telephone Company, Landis+Gyr, Advanced Energy Industries, and Xylem, Inc.</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competitive advantage is based on our in-depth knowledge of the industries we serve, our capacity to innovate, and our ability to provide complete end-to-end integrated solutions at scale. We also differentiate ourselves with an intelligent IIoT platform that is solution, device, and transport agnostic—a platform that can be backwards compatible, able to run a multitude of applications and solutions, is highly secure, is fully integrated into our portfolio, is highly interoperable, captures relays, and leverages high-resolution data for near real-time decision making. The platform involves an ever-growing,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diverse ecosystem of partners and third-party developers who can create and deploy specific point solutions creating greater value for our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for a discussion of the competitive pressures we face.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patents and patent applications cover a range of technologies that relate to standard metering, smart metering solutions and technology, meter data management software, knowledge application solutions, and IIoT. We also rely on a combination of copyrights, trademarks,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Regulations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are impacted by many governmental regulations, including environmental regulations. We believe that we are materially in compliance with all federal, state, and local governmental laws, rules, and regulations applicable to the operation of our business. There are no known regulations pending that will have a substantial adverse impact on our business, revenue, earnings, or cash flows. However, if new or amended laws or regulations impose significant operational restrictions and compliance requirements upon the Company or its products, the Company's business, capital expenditures, results of operations, financial condition and competitive position could be altered.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names, ages, and titles of our executive officers as of February 25,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L. Deitrich</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 S. Hooper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Laurie A. Hahn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Human Resources</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Justin K. Patrick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Device Solutions</w:t>
            </w: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F. Marcolini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Networked Solutions</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Donald L. Reeves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Outcomes</w:t>
            </w: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E. Ware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M. Wright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0"/>
                <w:szCs w:val="20"/>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r>
    </w:tbl>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L. Deitrich </w:t>
      </w:r>
      <w:r>
        <w:rPr>
          <w:rFonts w:ascii="Times New Roman" w:cs="Times New Roman" w:eastAsia="Times New Roman" w:hAnsi="Times New Roman"/>
          <w:sz w:val="18"/>
          <w:szCs w:val="18"/>
          <w:color w:val="auto"/>
        </w:rPr>
        <w:t>is President and Chief Executive Officer and a member of our Board of Directors. Mr. Deitrich was appointed to his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Board of Directors in August 2019. Mr. Deitrich joined Itron in October 2015, serving as Itron's Executive Vice President and Chief Operating Officer until his promotion to CEO.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 Mr. Deitrich is a director of ON Semiconductor Corporation, a NASDAQ listed company.</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Joan S. Hooper </w:t>
      </w:r>
      <w:r>
        <w:rPr>
          <w:rFonts w:ascii="Times New Roman" w:cs="Times New Roman" w:eastAsia="Times New Roman" w:hAnsi="Times New Roman"/>
          <w:sz w:val="18"/>
          <w:szCs w:val="18"/>
          <w:color w:val="auto"/>
        </w:rPr>
        <w:t>is Senior Vice President and Chief Financial Officer. Ms. Hooper was appointed to this role in June 2017. Prior to joining Itron,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Hooper 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Laurie A. Hahn </w:t>
      </w:r>
      <w:r>
        <w:rPr>
          <w:rFonts w:ascii="Times New Roman" w:cs="Times New Roman" w:eastAsia="Times New Roman" w:hAnsi="Times New Roman"/>
          <w:sz w:val="18"/>
          <w:szCs w:val="18"/>
          <w:color w:val="auto"/>
        </w:rPr>
        <w:t>is Senior Vice President, Human Resources. Ms. Hahn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01820"/>
        </w:rPr>
        <w:t>has more than 30 years of experience as a senior human resource professional.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101820"/>
        </w:rPr>
        <w:t>Hahn was promoted to this role in April 2023. In this role, Ms. Hahn is responsible for Itron's HR operations, in-business HR, talent acquisition, compensation and benefits, inclusion and diversity, learning and development, and health, safety, and environment functions. Ms. Hahn joined Itron in February 2016 and has served in several in-business HR positions. Prior to joining Itron, Ms. Hahn held multiple global HR leadership positions with Motorola and Freescale Semiconductor. Ms. Hahn holds a BA in English and a Masters in Instructional Design, both from The University of Texas. Ms. Hahn is a member of the Chancellor's Counsel at the University of Texas, which advocates for higher education and health care.</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Justin K. Patrick </w:t>
      </w:r>
      <w:r>
        <w:rPr>
          <w:rFonts w:ascii="Times New Roman" w:cs="Times New Roman" w:eastAsia="Times New Roman" w:hAnsi="Times New Roman"/>
          <w:sz w:val="18"/>
          <w:szCs w:val="18"/>
          <w:color w:val="auto"/>
        </w:rPr>
        <w:t>is Senior Vice President, Device Solutions, where he is responsible for Itron's strategy to become a leading global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John F. Marcolini </w:t>
      </w:r>
      <w:r>
        <w:rPr>
          <w:rFonts w:ascii="Times New Roman" w:cs="Times New Roman" w:eastAsia="Times New Roman" w:hAnsi="Times New Roman"/>
          <w:sz w:val="18"/>
          <w:szCs w:val="18"/>
          <w:color w:val="auto"/>
        </w:rPr>
        <w:t>is Senior Vice President, Networked Solutions, where he is responsible for product development, marketing, and overall strategy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Itron's global networking platforms and smart cities strategy and solutions.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Donald L. Reeves </w:t>
      </w:r>
      <w:r>
        <w:rPr>
          <w:rFonts w:ascii="Times New Roman" w:cs="Times New Roman" w:eastAsia="Times New Roman" w:hAnsi="Times New Roman"/>
          <w:sz w:val="18"/>
          <w:szCs w:val="18"/>
          <w:color w:val="auto"/>
        </w:rPr>
        <w:t>is Senior Vice President, Outcomes, where he is responsible for Itron's software and services offerings, delivery teams, managed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operations, and customer support. Mr. Reeves was appointed to this role in September 2019. Mr. Reeves joined Itron in January 2018 as part of Itron's acquisition of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Christopher E. Ware </w:t>
      </w:r>
      <w:r>
        <w:rPr>
          <w:rFonts w:ascii="Times New Roman" w:cs="Times New Roman" w:eastAsia="Times New Roman" w:hAnsi="Times New Roman"/>
          <w:sz w:val="18"/>
          <w:szCs w:val="18"/>
          <w:color w:val="auto"/>
        </w:rPr>
        <w:t>is Senior Vice President, General Counsel and Corporate Secretary. Mr. Ware has more than 25 years of experience as a senior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and business executive. He joined Itron in March 2021 as Associate General Counsel and Chief Compliance Officer. In March 2022, he was promoted to Vice President, Legal and Corporate Secretary and then to Senior Vice President in March 2023. He is responsible for Itron's corporate governance, business legal solutions, compliance and litigation and intellectual property development and protection. Before joining Itron, Mr. Ware served as Executive Director and General Manager - Parts at Johnson Controls International (JCI) from 2018 to 2021. Before that position, Mr. Ware occupied numerous senior legal roles within JCI from 2011 to 2018. He also held roles in the U.S. Attorney's Office, Department of Justice, and several private law firms.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M. Wright </w:t>
      </w:r>
      <w:r>
        <w:rPr>
          <w:rFonts w:ascii="Times New Roman" w:cs="Times New Roman" w:eastAsia="Times New Roman" w:hAnsi="Times New Roman"/>
          <w:sz w:val="18"/>
          <w:szCs w:val="18"/>
          <w:color w:val="auto"/>
        </w:rPr>
        <w:t>is Vice President, Corporate Controller and Chief Accounting Officer. He was appointed as Chief Accounting Officer in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he is responsible for the company's global accounting. Mr. Wright rejoined the Company in September 2018 and has served as Vice President and Corporate Controller beginning in May 2019. He began his career in Deloitte's external audit practice, from 1997 to 2008. He originally joined Itron in October 2008 as Assistant Controller for Technical Accounting followed by roles of increasing responsibility. He served as VP - Accounting, Tax, and External Reporting at Red Lion Hotels Corporation from December 2015 to February 2018 and was interim CFO from April 2016 to April 2017. Mr. Wright is a Certified Public Accountant licensed in the State of Washington.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could materially and adversely affect our business, results of operations, cash flows, and financial condition. These risk factors do not identify all risks that we face; we could also be affected by other risks that are not presently known to us or that we currently consider to be immaterial. These factors should be carefully reviewed in conjunction with Part II, Item 7: Management's Discussion and Analysis of Financial Condition and Results of Operations. Many factors affect more than one category, and the factors are not in order of significance or probability of occurrence because they have been grouped by categories.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Industry Risks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primary customers are within the utility industry, which has exhibited lengthy sales cycles and irregular capital spending patterns, each of which could cause our operating results to fluctuate significantly.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the timing and availability of government subsidies or other incentives, utility specific financial circumstances, mergers and acquisitions, governmental and regulatory decisions, weather conditions, climate disruption, and fluctuating interest rates. We have experienced, and may in the future experience, variability in operating results on an annual and a quarterly basis as a result of these factors.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operations, cash flows, and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must continually shift and adapt our products and services mix, which requires substantial judgment and investment.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 is characterized by increasing complexity driven by evolving technology including AI, emerging laws and regulation, and the introduction of new competitive products, all of which impact the way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evolving products and services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Delays in the availability of or shortages in raw materials and component parts used in the manufacture of our products, as well as freight, labor, regulatory compliance, and other ancillary cost increases, could unfavorably impact our revenues and results of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and other electronic components, such as microprocessors and semiconductors. There are multiple sources for these raw materials and components, but we sometimes 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sanctions, tariffs, trade policies, and embargoes may also affect the availability or prices of raw materials or component parts. In addition, there is potential for increased costs on materials to comply with global regulations and other regional requirements. Inflation in our raw materials and component costs, freight charges, sanctions, tariffs, and labor costs may increase above historical levels due to, among other things, the continuing impacts of an uncertain economic environment. Any impacts resulting from tariffs and retaliatory actions by other countries could be substantial. Certain customer arrangements within our backlog may include previously committed pricing, and we may or may not be able to fully recover increased costs through pricing actions with these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may be adversely impacted if key vendors, strategic partners, and other third parties fail to perform.</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of our products, subassemblies, and system components, including most of our circuit boards, are procured from limited or sole sources. We could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cybersecurity events (such as ransomware) that lead to extended downtime for the supplier or that lead to Itron intellectual property theft, rogue insiders impacting the quality or integrity of the products, cost increases, or other similar problems. Further, to minimize their inventory risk, our manufacturers may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If we receive shipments of products that fail to comply with our technical specifications, which have been compromised in some manner (specifically integrated circuit chips), or that fail to conform to our quality control standards, and if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those customers could lose confidence in the technical attributes of our products, and our business could be harmed. Although arrangements with these partners may contain provisions for warranty expense reimbursement, we may remain responsible to the customer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been and could continue to be affected by ongoing global economic impacts, and such impacts could continue to have an adverse effect on our business operations, results of operations, cash flows, and financial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Adverse economic or market conditions, and perceptions or expectations about current or future conditions, such as inflation, rising interest rates, fluctuations in foreign currency exchange rates, recessions, economic sanctions, tariffs, natural disasters, epidemics or pandemics, political instability, wars, including the conflicts in Ukraine and Israel, are beyond our control and could unfavorably affect our business and financial condition. These economic conditions and global events have caused, and may in the future cause, disruptions and volatility in global financial markets, create disruption in customer demand and global supply chains, increase delinquency rates and write offs of customer accounting receivable and other unforeseen consequences. In recent years, our ability to obtain adequate supply of semiconductor components has impacted our ability to service customer demand in a timely manner. Temporary imbalance in supply and demand may create business uncertainties that include costs and availability. Efforts continue with suppliers to improve supply resiliency, including the approval of alternate sources.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in the past experienced, and may in the future experience, delays in deliveries, with revenues originally forecasted in prior periods shifting to future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competition, which may result in a loss of market share or price erosion of our products and services.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including AI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 separately from the technology and components that enable network connectivity. The specifications for such meters may require interchangeability, which could lead to further commoditization of the meter, which could unfavorably impact prices and margins. Other events outside our control may also drive pressure on prices, including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cannot continue to invest in developing competitive products and services, we may not be able to compete effectively.</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could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AI technology is rapidly evolving and can present additional risks and challenges. Product and service development may require continued investment to maintain our competitive position, and the periods in which we incur significant research and development costs may drive variability in our results of operations.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our new products will be approved in a timely manner, or at all. Finally, we may not achieve market acceptance of our new products and services.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maintain a high level of customer satisfaction, demand for our products and services could suffer.</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We face concerns about the security of our products and services and our ability to adequately protect our customers' data and their customers' data, specifically regarding detailed energy usage information. In addition, we continue to work toward easing general concerns about the safety and perceived health risks of using radio frequency communications, as well as privacy concerns of monitoring home appliance energy usage, which have had some adverse publicity in the past. If we were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defects could disrupt our operations and result in harm to our reputation and financial position.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interruptions could adversely affect our business,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worldwide operations could be subject to hurricanes, tornadoes, earthquakes, floods, fires, extreme weather conditions, medical epidemics or pandemics, geopolitical instability, cybersecurity attacks, including ransomware, business email compromise, and distributed denial of service (DDoS), or other natural or man-made disasters or business interruptions. The occurrence of any of these business disruptions could seriously harm our business, financial condition, and results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 could result in significant changes that would adversely impact our future operating results.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the net realizable value of inventory, which becomes obsolete or exceeds anticipated demand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projected future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or use of the acquired assets or the strategy for our overall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industry or economic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stock price for a sustained period or decline in our market capitalization below net book value</w:t>
      </w:r>
    </w:p>
    <w:p>
      <w:pPr>
        <w:spacing w:after="0" w:line="3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Failure to attract and retain key personnel who are critical to the success of our business could unfavorably impact our ability to operate or grow our business.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 and guidance could result in unfavorable accounting charges or effects.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These principles are subject to interpretation by the SEC and various bodies formed to create and interpret appropriate accounting principles and guidance. A change in these principles or guidance, or in their interpretations, may have a material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our reported results, as well as our processes and related controls, and may retroactively affect previously reported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 and Organization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indebtedness could restrict our operational flexibility and prevent us from raising additional capital or meeting our obligations under our debt instruments.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our total outstanding indebtedness was $1.3 billion as described under Liquidity and Capital Resources. Our current credit facility, originally entered on January 5, 2018 (as amended, the 2018 credit facility) allows us to draw on a $500.0 million revolving line of credit. This indebtedness could have important consequences to us, including:</w:t>
      </w:r>
    </w:p>
    <w:p>
      <w:pPr>
        <w:spacing w:after="0" w:line="1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used in operations to be dedicated to the payment of principal and interest, therefore reducing our liquidity and our ability to use our cash flow to fund our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meet specified financial ratios, a failure of which may result in restrictions on us and our subsidiaries to take certain actions or result in the declaration of an event of default, which, if not cured or waived, could require acceleration of required payments against such indebtedness and result in cross defaults under our other indebtedness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market interest rates, and corresponding increased interest expense, as unhedged borrowings under the 2018 credit facility would be at variable rates of interest</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debt service requirements, acquisitions, and general corporate or other purposes</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2018 credit facility places restrictions on our ability, and the ability of many of our subsidiaries, dependent on meeting specified financial ratios, to, among other things:</w:t>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 incur more debt</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make certain investments</w:t>
      </w:r>
    </w:p>
    <w:p>
      <w:pPr>
        <w:ind w:left="20"/>
        <w:spacing w:after="0"/>
        <w:rPr>
          <w:sz w:val="20"/>
          <w:szCs w:val="20"/>
          <w:color w:val="auto"/>
        </w:rPr>
      </w:pPr>
      <w:r>
        <w:rPr>
          <w:rFonts w:ascii="Times New Roman" w:cs="Times New Roman" w:eastAsia="Times New Roman" w:hAnsi="Times New Roman"/>
          <w:sz w:val="17"/>
          <w:szCs w:val="17"/>
          <w:color w:val="auto"/>
        </w:rPr>
        <w:t>• execute transactions with affiliates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merge or consolidate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pay dividends, make distributions, and repurchase capital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create liens</w:t>
      </w:r>
    </w:p>
    <w:p>
      <w:pPr>
        <w:spacing w:after="0" w:line="234" w:lineRule="auto"/>
        <w:rPr>
          <w:sz w:val="20"/>
          <w:szCs w:val="20"/>
          <w:color w:val="auto"/>
        </w:rPr>
      </w:pPr>
      <w:r>
        <w:rPr>
          <w:rFonts w:ascii="Times New Roman" w:cs="Times New Roman" w:eastAsia="Times New Roman" w:hAnsi="Times New Roman"/>
          <w:sz w:val="18"/>
          <w:szCs w:val="18"/>
          <w:color w:val="auto"/>
        </w:rPr>
        <w:t>• execute sale lease-back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transfer or sell assets</w:t>
      </w:r>
    </w:p>
    <w:p>
      <w:pPr>
        <w:spacing w:after="0" w:line="200" w:lineRule="exact"/>
        <w:rPr>
          <w:sz w:val="20"/>
          <w:szCs w:val="20"/>
          <w:color w:val="auto"/>
        </w:rPr>
      </w:pPr>
    </w:p>
    <w:p>
      <w:pPr>
        <w:sectPr>
          <w:pgSz w:w="11900" w:h="16838" w:orient="portrait"/>
          <w:cols w:equalWidth="0" w:num="2">
            <w:col w:w="3860" w:space="720"/>
            <w:col w:w="6660"/>
          </w:cols>
          <w:pgMar w:left="320" w:top="121" w:right="339" w:bottom="1440" w:gutter="0" w:footer="0" w:header="0"/>
          <w:type w:val="continuous"/>
        </w:sectPr>
      </w:pP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be certain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were unable to meet our debt service obligations or to fund our other liquidity needs, we would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were available, any refinancing of our indebtedness could be at higher interest rates and may require us to comply with more onerous covenants that could further restrict our business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our debt instruments contain certain restrictions, these restrictions are subject to a number of qualifications and exceptions, including that certain trade payables do not constitute indebtedness. Additional indebtedness incurred in compliance with these restrictions could be substantial. To the extent we incur additional indebtedness or other obligations, the risks described above and others described herein may increase.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convertible note hedge and warrant transactions and capped call transactions may affect the value our common stock.</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in 2021 of the 0.00% Convertible Senior Notes due 2026 (the 2021 Notes), we entered into convertible note hedge transactions with certain financial institutions, which we refer to as "hedge counterparties". We also entered into warrant transactions with the hedge counterparties pursuant to which we sold warrants for the purchase of our common stock. The convertible note hedge transactions are generally designed to reduce the potential dilution upon any conversion of the 2021 Notes and/or offset any cash payments we are required to make in excess of the principal amount of converted notes, as the case may be. The warrant transactions would separately have a dilutive effect to the extent that the market price per share of our common stock exceeds the strike price of any warrants unless, subject to the terms of the warrant transactions, we elect to cash settle the warrants.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in 2024 of the 1.375% Convertible Senior Notes due 2030 (the 2024 Notes), we entered into capped call transactions with certain financial institutions, which we refer to as the option counterparties and, together with the hedge counterparties, the counterparties. The capped call transactions are generally designed to reduce the potential dilution to our common stock upon any conversion of the 2024 Notes and/or offset any cash payments we are required to make in excess of the principal amount of converted notes, as the case may be, with such reduction and/or offset subject to a cap.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2021 Notes and/or the 2024 Notes (and are likely to do so during any observation period related to a conversion of convertible notes or following any repurchase of convertible notes by us in connection with any fundamental change repurchase date or otherwise). This activity could also cause or avoid an increase or a decrease in the market price of our common stock.</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market price of our common stock or the convertible notes will depend in part on market conditions and cannot be ascertained at this time. Any of these activities could adversely affect the value of our common stock.</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not have the ability to raise the funds necessary to settle conversions of the convertible notes or to repurchase the convertible notes upon a fundamental change.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Noteholders may require us to repurchase their convertible notes following a fundamental change (as defined in the indenture for such convertible notes) at a cash repurchase price generally equal to the principal amount of the convertible notes to be repurchased, plus accrued and unpaid special and additional interest, if any. However, we may not have enough available cash or be able to obtain financing at the time we are required to make purchases of convertible notes surrendered therefor or convertible notes being converted. In addition, applicable law, regulatory authorities, and the agreements governing our other indebtedness may restrict our ability to repurchase the convertible notes or pay any cash amounts due upon conversion.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sales of our stock in the public market, or the issuance of stock upon conversion of the convertible notes, could cause our stock price to decline.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of our common stock or the availability of shares for sale will have on the prevailing trading price of our common stock from time to time. Sales of a substantial number of shares of our common stock could cause the price of our common stock to decline. In addition, a substantial number of shares of our common stock will be reserved for issuance upon conversion of the convertible notes. We may in the future also issue shares of common stock for financings, acquisitions, or equity incentives. If we issue additional shares of common stock in the future, such issuances would have a dilutive effect on the economic interest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strategy may lead to acquisitions, divestitures, and investments, which we may not be able to execute or integrate successfully.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pursuing our business strategy, we may conduct discussions, evaluate companies, and enter into agreements regarding possible acquisitions, divestitures, or equity investments. We have completed acquisitions and may make investments in the future, both within and outside of the United States. We may also execute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non-indemnified pre-closing liabilities that we may be responsible for; incurrence of significant expenses to meet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acquiree's customer contractual commitments; lack of market acceptance of new services and technologies; undiscovered cybersecurity breaches;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and liabilities, significant write-offs, or other charges associated with the acquisition or investment. Impairment of an investment, goodwill, or an intangible asset may result if these risks were to materialize. For investments in entities that are not wholly owned by Itron, such as joint ventures, a loss of control as defined by GAAP could result in a significant change in accounting treatment and a change in the carrying value of the entity. There can be no assurance that an acquired business may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2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security, or availability of our products and services. Some of these contracts contain long-term commitments to a set schedule of delivery or performance and require us to deliver standby letters of credit or bonds as a guarantee to the customer for our future performance. If we fail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international business uncertainties, obstacles to the repatriation of earnings, and foreign currency fluctuations.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or adverse tax burdens.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also subject to foreign currency exchange rates fluctuations, particularly with respect to the euro, Canadian dollar, Indonesian rupiah, and Pound sterling, as well as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relative to the euro and the currencies of the other countries in which we do business, could materially and adversely affect our ability to compete in international markets and our sales growth in future periods.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risks related to our international operations include lack of availability of qualified third-party financing, generally longer receivable collection periods than those commonly practiced in the United States, trade restrictions, changes in tariffs, sanctions, labor disruptions, difficulties in staffing and managing international operations, difficulties in imposing and enforcing operational and financial controls at international locations, potential insolvency of international distributors,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preference for local vendors, burdens of complying with different permitting standards and a wide variety of foreign laws, and obstacles to the repatriation of earnings and cash.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2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achieve the anticipated savings and benefits from current or any future restructuring projects and such activities could cause us to incur additional charges in our efforts to improve profitability.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implemented multiple restructuring projects to improve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or matters involving third-party service providers, our failure to retain key employees, changes in governmental policies or regulatory matters, adverse market conditions, or failure to meet targeted improvements could change the timing or reduce the overall savings realized from the restructuring project.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successful implementation and execution of our restructuring projects are critical to achieving our expected cost savings as well as effectively competing in the marketplace and positioning us for future growth. If our restructuring projects were not executed successfully, it could have a material adverse effect on our competitive position, business, financial condition, cash flow, and results of operations.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maintain an effective system of internal controls, we may not be able to accurately report our financial results, prevent fraud, or maintain investor confidence.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may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comply with Section 404 of the Sarbanes-Oxley Act prior to the date of acquisition.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encounter strikes or other labor disruptions that could adversely affect our financial condition and results of operations.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throughout the world. In a number of countries outside the U.S., our employees are covered by collective bargaining agreements. As the result of various social,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could adversely affect our results of operations. Any labor disruptions could also have an impact on our other employees. Employee morale and productivity could suffer, and we may lose valued employees whom we wish to retain.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realize the expected benefits from strategic alliances, which could adversely affect our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counterparty default risks with our financial institutions and insurance providers.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counterparties of the capped call transactions relating to the 2024 Notes and the hedge and warrant transactions relating to our 2021 Notes are financial institutions or affiliates of financial institutions, and we will be subject to the risk that one or more of such counterparties may default under the transactions. Our exposure to the credit risk of the counterparties will not be secured by any collateral. If any counterparty becomes subject to insolvency proceedings, we will become an unsecured creditor in those proceedings with a claim equal to our exposure at that time under the transaction with such counterparty. Our exposure will depend on many factors but, generally, the increase in our exposure will be correlated to the increase in our common stock market price and in the volatility of the market price of our common stock. In addition, upon a default by the counterparty, we may suffer adverse tax consequences and more dilution than we currently anticipate with respect to our common stock. We can provide no assurance as to the financial stability or viability of any counterparty.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lenders of our 2018 credit facility include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adequately protect our intellectual property, we may need to expend significant resources to enforce our rights or suffer competitive injury.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on our patents or successfully avoid them through design innovation. To combat infringement or unauthorized use of our intellectual property, we may initiate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We could also lose our right to use marks and brand names, which might diminish our ability to compete in the United States and other markets.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losses associated with alleged unauthorized use of third-party intellectual property.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were unable to protect our information technology infrastructure and network against data corruption, cyber-based attacks or network security incidents caused by unauthorized access, we could be exposed to an increased risk of customer liability and reputational damage.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various information technology systems to capture, process, store, and report data and interact with customers, vendors, and employees. Despite taking steps to secure all information and transactions, our information technology systems, and those of our third-party providers, may be subject to corruption from cyber-attacks or other network security incidents. In addition to threats from traditional computer hackers, we also face threats from sophisticated organized crime, nation-state, and nation-state-supported actors who engage in attacks (including advanced persistent threat intrusions) that add to the risk to our systems (including those hosted by third-party providers) and internal networks. Ransomware and cyber extortion attacks, including those perpetrated by organized crime, nation-state, and nation-state-supported actors, are becoming increasingly prevalent and severe and could lead to significant interruptions in our operations, loss of data and income, reputational harm, and diversion of funds. Increased use of AI in products and in the workplace could lead to risks and challenges. Any unauthorized access to our systems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or include security vulnerabilities that may be exploited by attackers to compromise our systems and data. Misuse of internal applications; theft of intellectual property, trade secrets, or other corporate assets; and inappropriate disclosure of confidential or personal information could stem from such incidents.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an increasing number of our products and services connect to and are part of the IIoT, the internet, telecommunications networks,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before they take effect. Unauthorized access, remnant data exposure, computer viruses, DDoS attacks, accidents, employee error or malfeasance, intentional misconduct by computer hackers, and other disruptions may occur. This could lead to gaps in infrastructure, hardware and software vulnerabilities, and security controls. The exposed or unprotected data could be compromised and (i) interfere with the delivery of services to our customers, (ii) impede our customers' ability to do business, or (iii) expose information to unauthorized third parties. Like many companies, we are the target of cyber-attacks of varying degrees of severity. We have not incurred any material cyber-attacks or incidents, nor have we had any material adverse effects on our operating results or financial condition. However, there can be no assurance of a similar result in future security incidents.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company that processes confidential information related to our clients, vendors, and employees, including customer data and personally identifiable information, we are subject to compliance obligations under federal, state and foreign privacy, data protection, and cybersecurity-related laws, including federal, state and foreign security breach notification laws applicable to such data. These laws, which include the European Union (EU) General Data Protection Regulation (GDPR) and the California Privacy Rights Act of 2020 (CPRA), impact our data processing activities and obligations as both a data controller and data processor.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Complying with privacy, data protection, and cybersecurity laws and requirements, including the enhanced obligations imposed by the GDPR and state privacy laws such as the CPRA, may result in significant increases to our business costs and impact our business practices. Failing to comply with privacy, data protection, and cybersecurity laws and regulations could have a materially adverse effect on our reputation, results of operations or financial condition, or other adverse consequences.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security incidents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 As public awareness of data security events and privacy violations by other companies increases, actual or perceived concerns about our privacy and data security compliance measures may damage our reputation, whether such concerns are valid or invalid.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enactment of more restrictive laws, rules or regulations and future enforcement actions or investigations could have materially adverse impacts, such as increased costs and restrictions on our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such operational disruption and/or misappropriation of information could result in lost sales, unfavorable publicity, product recalls, or business delays and could have a material adverse effect on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information technology systems that may fail to operate effectively, require upgrades and replacements, or experience breaches.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Market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variable rate indebtedness subjects us to interest rate risk, which could cause our debt service obligations to fluctuate.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2018 credit facility bears,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relative to the value of related debt and have previously entered into derivative instruments to manage such risk, these instruments could be ineffective at mitigating all or a part of our risk, including changes to the applicable margin under our 2018 credit facility. At December 31, 2024, there were no outstanding loan balances under the 2018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recent adoption of Secured Overnight Financing Rate (SOFR) may adversely affect our borrowing costs.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line with requirements following the discontinuation of LIBOR as a reference rate, the 2018 credit facility was amended in the fourth quarter of 2022 to replace LIBOR with SOFR plus a credit spread of 10 basis points. Certain Itron interest rate derivatives and a portion of Itron indebtedness bear interest at variable interest rates, primarily now based on SOFR, which 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subject to regulatory guidance and/or reform that could cause interest rates under our current or future debt agreements to perform differently than in the past or cause other unanticipated consequences. Also, the use of SOFR based rates is relatively new, and there could be unanticipated difficulties or disruptions with the calculation and publication of SOFR based rates. In particular, if the agent under the 2018 credit facility determines that SOFR Rates cannot be determined or the agent or the lenders determine that SOFR based rates do not adequately reflect the cost of funding the SOFR Loans, outstanding SOFR Loans will be converted into Replacement Rate Loans. This could result in increased borrowing costs for the Company if we utilize the credit facility. At December 31, 2024, there were no outstanding loan balances under the 2018 credit facility.</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India, and Indonesia.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laws, valuation allowances, and unanticipated tax liabilities could adversely affect our effective income tax rate and profitability.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is taking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preliminary calculations for calendar year 2024, the Company anticipates it will meet the safe harbors in most jurisdictions, and any remaining top-up tax should be immaterial.</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number of our products are affected by the availability and regulation of radio spectrum and could be affected by interference with the radio spectrum that we use.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may not cause harmful interference to licensed users and must be designed to accept interference from licensed radio devices. In the United States,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smart metering solutions are typically Part 15 devices that transmit information to (and receive information from, if applicable) handheld, mobile, or fixed network systems pursuant to these rules.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or may become subject to various new and proposed climate-related and other sustainability-related laws and regulations, including, for example, the EU's Corporate Sustainability Reporting Directive. Additional regulations may require us to incur significant additional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unfavorably impact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Failure or perceived failure to meet our ESG goals or expectations or those set by growing public interest and government regulation of ESG topics could result in reputational harm or adversely affect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focus from certain investors, customers, employees, other stakeholders and regulators concerning environmental, social and governance matters (ESG). We announce initiatives and goals related to ESG matters from time to time, including renewable energy and net zero emissions commitments. These statements reflect our current plans and aspirations and our ability to balance and achieve any ESG objective is subject to numerous risks, many of which are outside of our control, including the availability and cost of alternative energy sources; the evolving regulatory and reporting requirements affecting ESG practices and disclosures; the locations and usage of our products. Our actual or perceived failure to achieve our ESG-related initiatives, goals, or commitments or to accurately track and report on these initiatives, goals and commitments on a timely basis could unfavorably impact our reputation or otherwise materially harm our business.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 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could engage in business practices that are prohibited by our policies and violate such laws and regulations.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address cybersecurity risks and threats, we have in place teams, processes, and programs for protecting company and customer information. We have an Information Security Steering Committee (ISSC), whose purpose is to oversee the overall information security program as well as product security and data protection. The ISSC consists of senior executives, including our CEO and CFO. The ISSC meets quarterly to discuss strategy and general updates and is advised by company personnel with expertise and experience in cybersecurity risk management.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risk management process utilizing a Governance, Risk, and Compliance system. Our security program uses a "defense in depth" philosophy, meaning that multiple controls must be breached for an attack to be successful. We maintain a series of both protective and detective controls to enable breakdown or bypass of protection mechanisms to be detected and escalated for response. We perform logging and monitoring across systems, directed to a centralized, secure logging system operated by the Information Security team. Significant events are assessed systematically on a case-by-case basis for their potential impact and whether they could potentially become material.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cybersecurity incident policy, which provides guidelines for informing our Board of Directors (the Board) of material cybersecurity incidents and events, including potential ransomware payments. We also hold insurance with the intent to cover cybersecurity incidents. In the event of a significant cybersecurity or data privacy incident, the ISSC members are notified and updated on the status of the incident by an Incident Response Team (IRT). The IRT utilizes a process to evaluate the potential materiality of an incident. This process guides the IRT to provide information to executive leadership for materiality determination.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address risk related to third-party service providers, we have multiple processes in place to safeguard company and customer information. Upon obtaining a new vendor, we complete a risk assessment that is reviewed at least every three years. We maintain a Supplier Code of Conduct that outlines vendor expectations in areas including network security, data protection, and security breach notifications. In the case where a contract with a vendor relates to our service to customers, the contractual terms for certain cybersecurity parameters are passed down to the vendor. We hold certifications to meet the requirements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customers and regulators, such as ISO 27001, IEC62443, and others. In addition, Itron maintains SOC 1 and SOC 2 attestations for the majority of our customer-facing managed services businesses.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 third-party incident response experts, we conduct incident response tabletop exercises each year with both the technical teams and ISSC designed to improve our systems and processes, and we have included our Board in a similar exercise.</w:t>
      </w:r>
    </w:p>
    <w:p>
      <w:pPr>
        <w:spacing w:after="0" w:line="18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Board provides oversight for cybersecurity within the Company and includes one director with cybersecurity expertise. Executive management reports on the status of the ISSC to the Board on a regular basis. At each Board meeting, a summary is provided covering the periodic assessment of Itron's Information Security Program. Semiannually, the Director of Information Security presents to the Board about the status of Itron's overall security program, internal response preparedness, and assessments of risks. At each Board meeting, information regarding the current maturity level of the program, as measured against the National Institutes of Standards and Technology Cybersecurity Framework, is presented. Due to the nature of our business, a material security incident could have a significant impact on both our brand reputation and our ability to deliver services to our clients.</w:t>
      </w: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do not believe any risks from cybersecurity incidents have materially affected us or are reasonably likely to materially affect us, including our business strategy, results of operations, or financial condition. There can be no guarantee that the actions and controls we and our third-party service providers have implemented and are implementing will be sufficient to protect our systems, information or other property. For a description of the risks from cybersecurity threats that may materially affect us, see our risk factors under Part 1. Item 1A. Risk Factors in this Annual Report.</w:t>
      </w:r>
    </w:p>
    <w:p>
      <w:pPr>
        <w:spacing w:after="0" w:line="23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our major manufacturing facilities by region and location as of December 31, 2024:</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520" w:type="dxa"/>
            <w:vAlign w:val="bottom"/>
            <w:tcBorders>
              <w:top w:val="single" w:sz="8" w:color="auto"/>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10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Oconee, SC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325,840</w:t>
            </w:r>
          </w:p>
        </w:tc>
        <w:tc>
          <w:tcPr>
            <w:tcW w:w="0" w:type="dxa"/>
            <w:vAlign w:val="bottom"/>
          </w:tcPr>
          <w:p>
            <w:pPr>
              <w:spacing w:after="0"/>
              <w:rPr>
                <w:sz w:val="1"/>
                <w:szCs w:val="1"/>
                <w:color w:val="auto"/>
              </w:rPr>
            </w:pPr>
          </w:p>
        </w:tc>
      </w:tr>
      <w:tr>
        <w:trPr>
          <w:trHeight w:val="169"/>
        </w:trPr>
        <w:tc>
          <w:tcPr>
            <w:tcW w:w="3520" w:type="dxa"/>
            <w:vAlign w:val="bottom"/>
            <w:tcBorders>
              <w:left w:val="single" w:sz="8" w:color="auto"/>
              <w:right w:val="single" w:sz="8" w:color="auto"/>
            </w:tcBorders>
          </w:tcPr>
          <w:p>
            <w:pPr>
              <w:spacing w:after="0"/>
              <w:rPr>
                <w:sz w:val="14"/>
                <w:szCs w:val="14"/>
                <w:color w:val="auto"/>
              </w:rPr>
            </w:pPr>
          </w:p>
        </w:tc>
        <w:tc>
          <w:tcPr>
            <w:tcW w:w="46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Macon, France (O)</w:t>
            </w:r>
          </w:p>
        </w:tc>
        <w:tc>
          <w:tcPr>
            <w:tcW w:w="3100" w:type="dxa"/>
            <w:vAlign w:val="bottom"/>
            <w:tcBorders>
              <w:right w:val="single" w:sz="8" w:color="auto"/>
            </w:tcBorders>
          </w:tcPr>
          <w:p>
            <w:pPr>
              <w:jc w:val="right"/>
              <w:ind w:right="1170"/>
              <w:spacing w:after="0" w:line="169" w:lineRule="exact"/>
              <w:rPr>
                <w:sz w:val="20"/>
                <w:szCs w:val="20"/>
                <w:color w:val="auto"/>
              </w:rPr>
            </w:pPr>
            <w:r>
              <w:rPr>
                <w:rFonts w:ascii="Times New Roman" w:cs="Times New Roman" w:eastAsia="Times New Roman" w:hAnsi="Times New Roman"/>
                <w:sz w:val="18"/>
                <w:szCs w:val="18"/>
                <w:color w:val="auto"/>
              </w:rPr>
              <w:t>203,513</w:t>
            </w:r>
          </w:p>
        </w:tc>
        <w:tc>
          <w:tcPr>
            <w:tcW w:w="0" w:type="dxa"/>
            <w:vAlign w:val="bottom"/>
          </w:tcPr>
          <w:p>
            <w:pPr>
              <w:spacing w:after="0"/>
              <w:rPr>
                <w:sz w:val="1"/>
                <w:szCs w:val="1"/>
                <w:color w:val="auto"/>
              </w:rPr>
            </w:pPr>
          </w:p>
        </w:tc>
      </w:tr>
      <w:tr>
        <w:trPr>
          <w:trHeight w:val="184"/>
        </w:trPr>
        <w:tc>
          <w:tcPr>
            <w:tcW w:w="35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Europe, Middle East, and Africa</w:t>
            </w:r>
          </w:p>
        </w:tc>
        <w:tc>
          <w:tcPr>
            <w:tcW w:w="46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Massy, France (L)</w:t>
            </w:r>
          </w:p>
        </w:tc>
        <w:tc>
          <w:tcPr>
            <w:tcW w:w="3100" w:type="dxa"/>
            <w:vAlign w:val="bottom"/>
            <w:tcBorders>
              <w:right w:val="single" w:sz="8" w:color="auto"/>
            </w:tcBorders>
          </w:tcPr>
          <w:p>
            <w:pPr>
              <w:jc w:val="right"/>
              <w:ind w:right="1170"/>
              <w:spacing w:after="0" w:line="184" w:lineRule="exact"/>
              <w:rPr>
                <w:sz w:val="20"/>
                <w:szCs w:val="20"/>
                <w:color w:val="auto"/>
              </w:rPr>
            </w:pPr>
            <w:r>
              <w:rPr>
                <w:rFonts w:ascii="Times New Roman" w:cs="Times New Roman" w:eastAsia="Times New Roman" w:hAnsi="Times New Roman"/>
                <w:sz w:val="18"/>
                <w:szCs w:val="18"/>
                <w:color w:val="auto"/>
              </w:rPr>
              <w:t>64,357</w:t>
            </w:r>
          </w:p>
        </w:tc>
        <w:tc>
          <w:tcPr>
            <w:tcW w:w="0" w:type="dxa"/>
            <w:vAlign w:val="bottom"/>
          </w:tcPr>
          <w:p>
            <w:pPr>
              <w:spacing w:after="0"/>
              <w:rPr>
                <w:sz w:val="1"/>
                <w:szCs w:val="1"/>
                <w:color w:val="auto"/>
              </w:rPr>
            </w:pPr>
          </w:p>
        </w:tc>
      </w:tr>
      <w:tr>
        <w:trPr>
          <w:trHeight w:val="140"/>
        </w:trPr>
        <w:tc>
          <w:tcPr>
            <w:tcW w:w="3520" w:type="dxa"/>
            <w:vAlign w:val="bottom"/>
            <w:tcBorders>
              <w:left w:val="single" w:sz="8" w:color="auto"/>
              <w:right w:val="single" w:sz="8" w:color="auto"/>
            </w:tcBorders>
            <w:vMerge w:val="continue"/>
          </w:tcPr>
          <w:p>
            <w:pPr>
              <w:spacing w:after="0"/>
              <w:rPr>
                <w:sz w:val="12"/>
                <w:szCs w:val="12"/>
                <w:color w:val="auto"/>
              </w:rPr>
            </w:pPr>
          </w:p>
        </w:tc>
        <w:tc>
          <w:tcPr>
            <w:tcW w:w="46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Oldenburg, Germany (L)</w:t>
            </w:r>
          </w:p>
        </w:tc>
        <w:tc>
          <w:tcPr>
            <w:tcW w:w="3100" w:type="dxa"/>
            <w:vAlign w:val="bottom"/>
            <w:tcBorders>
              <w:right w:val="single" w:sz="8" w:color="auto"/>
            </w:tcBorders>
            <w:vMerge w:val="restart"/>
          </w:tcPr>
          <w:p>
            <w:pPr>
              <w:jc w:val="right"/>
              <w:ind w:right="1170"/>
              <w:spacing w:after="0" w:line="181" w:lineRule="exact"/>
              <w:rPr>
                <w:sz w:val="20"/>
                <w:szCs w:val="20"/>
                <w:color w:val="auto"/>
              </w:rPr>
            </w:pPr>
            <w:r>
              <w:rPr>
                <w:rFonts w:ascii="Times New Roman" w:cs="Times New Roman" w:eastAsia="Times New Roman" w:hAnsi="Times New Roman"/>
                <w:sz w:val="18"/>
                <w:szCs w:val="18"/>
                <w:color w:val="auto"/>
              </w:rPr>
              <w:t>90,212</w:t>
            </w:r>
          </w:p>
        </w:tc>
        <w:tc>
          <w:tcPr>
            <w:tcW w:w="0" w:type="dxa"/>
            <w:vAlign w:val="bottom"/>
          </w:tcPr>
          <w:p>
            <w:pPr>
              <w:spacing w:after="0"/>
              <w:rPr>
                <w:sz w:val="1"/>
                <w:szCs w:val="1"/>
                <w:color w:val="auto"/>
              </w:rPr>
            </w:pPr>
          </w:p>
        </w:tc>
      </w:tr>
      <w:tr>
        <w:trPr>
          <w:trHeight w:val="40"/>
        </w:trPr>
        <w:tc>
          <w:tcPr>
            <w:tcW w:w="3520" w:type="dxa"/>
            <w:vAlign w:val="bottom"/>
            <w:tcBorders>
              <w:left w:val="single" w:sz="8" w:color="auto"/>
              <w:right w:val="single" w:sz="8" w:color="auto"/>
            </w:tcBorders>
          </w:tcPr>
          <w:p>
            <w:pPr>
              <w:spacing w:after="0"/>
              <w:rPr>
                <w:sz w:val="3"/>
                <w:szCs w:val="3"/>
                <w:color w:val="auto"/>
              </w:rPr>
            </w:pPr>
          </w:p>
        </w:tc>
        <w:tc>
          <w:tcPr>
            <w:tcW w:w="4640" w:type="dxa"/>
            <w:vAlign w:val="bottom"/>
            <w:tcBorders>
              <w:right w:val="single" w:sz="8" w:color="auto"/>
            </w:tcBorders>
            <w:vMerge w:val="continue"/>
          </w:tcPr>
          <w:p>
            <w:pPr>
              <w:spacing w:after="0"/>
              <w:rPr>
                <w:sz w:val="3"/>
                <w:szCs w:val="3"/>
                <w:color w:val="auto"/>
              </w:rPr>
            </w:pPr>
          </w:p>
        </w:tc>
        <w:tc>
          <w:tcPr>
            <w:tcW w:w="31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20" w:type="dxa"/>
            <w:vAlign w:val="bottom"/>
            <w:tcBorders>
              <w:left w:val="single" w:sz="8" w:color="auto"/>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Asti, Italy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55,834</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Bekasi, Indonesia (O)</w:t>
            </w:r>
          </w:p>
        </w:tc>
        <w:tc>
          <w:tcPr>
            <w:tcW w:w="31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113,222</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owned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Manufacturing facility is leased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end of 2024, the manufacturing facilities in Chasseneuil, France and Waseca, Minnesota have ceased production operations and are being closed.</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believe our properties are generally in good condition, well maintained and are suitable and adequate to carry on our business at capacity for the foreseeable future.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manufacturing facilities, we have numerous sales offices, research and development facilities, and distribution centers, which are located throughout the world.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environmental proceedings is required.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Actaris S.p.A. (Actaris) acquisition in April 2007, Itron assumed Actaris's environmental cleanup liability and the related legal recourse for the Frosinone site in Italy. This site was originally owned and operated by Schlumberger before Schlumberger contributed it to Actaris in the course of the spin-off of Actaris from Schlumberger Industries S.p.A on August 1, 2001. Since 2001, Schlumberger has fully reimbursed Actaris and Itron, as successor to Actaris's interests, for the Frosinone site remediation costs pursuant to an indemnification agreement. In December 2022, Itron was presented with a remediation plan, which addressed the water contamination issues, with an estimated cost of $1.9 million. Due to increased remediation work and costs associated with the required cleanup activities, Itron recognized an additional $0.9 million in costs during the fourth quarter of 2023. The remediation plan proposal was approved by the Italian Authorities Higher Institute of Health (ISS) in September 2024. Itron recognized an additional $0.6 million in costs during the fourth quarter of 2024 related to the increase in forecasted provision required by the approved plan. Schlumberger, pursuant to the indemnification agreement, reimburses Itron for all remediation costs.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2007-2008, Itron acquired an industrial site located at 1310 Emerald Road, Greenwood, South Carolina. Previous site owners used various chlorinated solvents and potential contaminants at the site. In 2013, Itron entered into a voluntary cleanup contract with the South Carolina Department of Health and Environmental Control (DHEC). Itron completed that process in 2019. In October 2021, DHEC sent Itron and three other potentially responsible parties (PRPs) a proposed site remediation plan with an estimated cost of $3.7 million. Itron objected to the proposed plan at a public hearing on November 4, 2021, and again in a letter to DHEC dated January 13, 2022. Given that the contamination arose from activities prior to Itron's ownership of the property and past remediation efforts, Itron has disputed its responsibility for any alleged contamination and suggested alternative proposals. Itron will continue to seek a reasonable resolution with DHEC and the other PRPs.</w:t>
      </w:r>
    </w:p>
    <w:p>
      <w:pPr>
        <w:spacing w:after="0" w:line="21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ITRI.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five-year cumulative total return to shareholders on our common stock with the five-year cumulative total return of our peer group of companies used for the year ended December 31, 2024,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80010</wp:posOffset>
            </wp:positionV>
            <wp:extent cx="6000750" cy="4286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80" w:right="3420"/>
        <w:spacing w:after="0" w:line="282" w:lineRule="auto"/>
        <w:tabs>
          <w:tab w:leader="none" w:pos="11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December 31, 2019, in stock or index, including reinvestment of dividends. Fiscal years ending December 31.</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presentation assumes $100 invested on December 31, 2019 in the common stock of Itron, Inc., the peer groups, and the NASDAQ Composite Index, with all dividends reinvested. With respect to companies in the peer groups,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year, we reassess our peer group to identify global companies that are either direct competitors or have similar industry and business operating characteristics. Our 2024 peer group includes the following publicly traded companies: LM Ericsson Telephone Company, Landis+Gyr, Advanced Energy Industries, and Xylem, Inc. Our 2023 peer group includes the following publicly traded companies: LM Ericsson Telephone Company, Landis+Gyr, Mueller Water Products, and Xylem, Inc. In 2024, we added Advanced Energy Industries as a peer and removed Mueller Water Products to better reflect our business, 50% of which is focused on electricity.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18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b w:val="1"/>
                <w:bCs w:val="1"/>
                <w:color w:val="auto"/>
                <w:vertAlign w:val="superscript"/>
              </w:rPr>
              <w:t>(2)</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2024 through October 31, 2024</w:t>
            </w:r>
          </w:p>
        </w:tc>
        <w:tc>
          <w:tcPr>
            <w:tcW w:w="1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2024 through November 30, 2024</w:t>
            </w:r>
          </w:p>
        </w:tc>
        <w:tc>
          <w:tcPr>
            <w:tcW w:w="1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2024 through December 31, 2024</w:t>
            </w:r>
          </w:p>
        </w:tc>
        <w:tc>
          <w:tcPr>
            <w:tcW w:w="188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September 19, 2024, Itron's Board of Directors authorized a repurchase program of up to $100 million of Itron's common stock over an 18-month period.</w:t>
      </w:r>
    </w:p>
    <w:p>
      <w:pPr>
        <w:ind w:left="240" w:hanging="232"/>
        <w:spacing w:after="0" w:line="187" w:lineRule="auto"/>
        <w:tabs>
          <w:tab w:leader="none" w:pos="2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commissions.</w:t>
      </w:r>
    </w:p>
    <w:p>
      <w:pPr>
        <w:ind w:left="260" w:hanging="252"/>
        <w:spacing w:after="0" w:line="191" w:lineRule="auto"/>
        <w:tabs>
          <w:tab w:leader="none" w:pos="26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purchased may include shares transferred to us by certain employees who vested in restricted stock units and used shares to pay all, or a portion of, the related</w:t>
      </w:r>
    </w:p>
    <w:p>
      <w:pPr>
        <w:spacing w:after="0" w:line="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18, 2025, there were 140 holders of record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compares the change in the consolidated financial statements for fiscal years 2024 and 2023 and should be read in conjunction with Item 8: Financial Statements and Supplementary Data. For comparisons of fiscal years 2023 and 2022, see our Management's Discussion and Analysis of Financial Condition and Results of Operations in Part II, Item 7 of our 2023 Annual Report on Form 10-K, filed with the Securities and Exchange Commission (SEC) on February 26, 2024, and incorporated herein by reference.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solutions,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allows us to help utilities improve decision making, maximize operational profitability, engage consumers, enhance resource efficiency, improve grid resiliency and reliability, and deliver value for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43-46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Highlights and significant developments for the year ended December 31, 2024 compared with the year ended December 31, 2023</w:t>
      </w:r>
    </w:p>
    <w:p>
      <w:pPr>
        <w:spacing w:after="0" w:line="254" w:lineRule="exact"/>
        <w:rPr>
          <w:sz w:val="20"/>
          <w:szCs w:val="20"/>
          <w:color w:val="auto"/>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Revenues were $2.4 billion compared with $2.2 billion last year, an increase of </w:t>
      </w:r>
      <w:r>
        <w:rPr>
          <w:rFonts w:ascii="Times New Roman" w:cs="Times New Roman" w:eastAsia="Times New Roman" w:hAnsi="Times New Roman"/>
          <w:sz w:val="18"/>
          <w:szCs w:val="18"/>
          <w:color w:val="000000"/>
        </w:rPr>
        <w:t>$267.2 million</w:t>
      </w:r>
      <w:r>
        <w:rPr>
          <w:rFonts w:ascii="Times New Roman" w:cs="Times New Roman" w:eastAsia="Times New Roman" w:hAnsi="Times New Roman"/>
          <w:sz w:val="18"/>
          <w:szCs w:val="18"/>
          <w:color w:val="222222"/>
        </w:rPr>
        <w:t>, or 12%</w:t>
      </w:r>
    </w:p>
    <w:p>
      <w:pPr>
        <w:spacing w:after="0" w:line="63" w:lineRule="exact"/>
        <w:rPr>
          <w:rFonts w:ascii="Times New Roman" w:cs="Times New Roman" w:eastAsia="Times New Roman" w:hAnsi="Times New Roman"/>
          <w:sz w:val="18"/>
          <w:szCs w:val="18"/>
          <w:color w:val="222222"/>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34.4% compared with 32.8% last year</w:t>
      </w:r>
    </w:p>
    <w:p>
      <w:pPr>
        <w:spacing w:after="0" w:line="63" w:lineRule="exact"/>
        <w:rPr>
          <w:rFonts w:ascii="Times New Roman" w:cs="Times New Roman" w:eastAsia="Times New Roman" w:hAnsi="Times New Roman"/>
          <w:sz w:val="18"/>
          <w:szCs w:val="18"/>
          <w:color w:val="222222"/>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2222"/>
        </w:rPr>
        <w:t xml:space="preserve">Operating expenses decreased </w:t>
      </w:r>
      <w:r>
        <w:rPr>
          <w:rFonts w:ascii="Times New Roman" w:cs="Times New Roman" w:eastAsia="Times New Roman" w:hAnsi="Times New Roman"/>
          <w:sz w:val="18"/>
          <w:szCs w:val="18"/>
          <w:color w:val="000000"/>
        </w:rPr>
        <w:t>$9.8 million,</w:t>
      </w:r>
      <w:r>
        <w:rPr>
          <w:rFonts w:ascii="Times New Roman" w:cs="Times New Roman" w:eastAsia="Times New Roman" w:hAnsi="Times New Roman"/>
          <w:sz w:val="18"/>
          <w:szCs w:val="18"/>
          <w:color w:val="222222"/>
        </w:rPr>
        <w:t xml:space="preserve"> or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22222"/>
        </w:rPr>
        <w:t>, compared with 2023</w:t>
      </w:r>
    </w:p>
    <w:p>
      <w:pPr>
        <w:spacing w:after="0" w:line="63"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Net income attributable to Itron, Inc. was $239.1 million compared with net income of $96.9 million in 2023</w:t>
      </w:r>
    </w:p>
    <w:p>
      <w:pPr>
        <w:spacing w:after="0" w:line="63" w:lineRule="exact"/>
        <w:rPr>
          <w:rFonts w:ascii="Times New Roman" w:cs="Times New Roman" w:eastAsia="Times New Roman" w:hAnsi="Times New Roman"/>
          <w:sz w:val="18"/>
          <w:szCs w:val="18"/>
          <w:color w:val="222222"/>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GAAP diluted EPS was $5.18 compared with $2.11 in 2023</w:t>
      </w:r>
    </w:p>
    <w:p>
      <w:pPr>
        <w:spacing w:after="0" w:line="63" w:lineRule="exact"/>
        <w:rPr>
          <w:rFonts w:ascii="Times New Roman" w:cs="Times New Roman" w:eastAsia="Times New Roman" w:hAnsi="Times New Roman"/>
          <w:sz w:val="18"/>
          <w:szCs w:val="18"/>
          <w:color w:val="222222"/>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Non-GAAP net income attributable to Itron, Inc. was $259.8 million compared with $153.8 million in </w:t>
      </w:r>
      <w:r>
        <w:rPr>
          <w:rFonts w:ascii="Times New Roman" w:cs="Times New Roman" w:eastAsia="Times New Roman" w:hAnsi="Times New Roman"/>
          <w:sz w:val="18"/>
          <w:szCs w:val="18"/>
          <w:color w:val="000000"/>
        </w:rPr>
        <w:t>2023</w:t>
      </w:r>
    </w:p>
    <w:p>
      <w:pPr>
        <w:spacing w:after="0" w:line="63" w:lineRule="exact"/>
        <w:rPr>
          <w:rFonts w:ascii="Times New Roman" w:cs="Times New Roman" w:eastAsia="Times New Roman" w:hAnsi="Times New Roman"/>
          <w:sz w:val="18"/>
          <w:szCs w:val="18"/>
          <w:color w:val="222222"/>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was $5.62 compared with $3.36 in 2023</w:t>
      </w:r>
    </w:p>
    <w:p>
      <w:pPr>
        <w:spacing w:after="0" w:line="63"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1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auto"/>
        </w:rPr>
        <w:t>Adjusted EBITDA increased $98.0 million, or 43%, to $323.6 million compared with $225.6 million in 2023</w:t>
      </w:r>
    </w:p>
    <w:p>
      <w:pPr>
        <w:spacing w:after="0" w:line="63" w:lineRule="exact"/>
        <w:rPr>
          <w:rFonts w:ascii="Times New Roman" w:cs="Times New Roman" w:eastAsia="Times New Roman" w:hAnsi="Times New Roman"/>
          <w:sz w:val="18"/>
          <w:szCs w:val="18"/>
          <w:color w:val="222222"/>
        </w:rPr>
      </w:pPr>
    </w:p>
    <w:p>
      <w:pPr>
        <w:ind w:left="340" w:hanging="170"/>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backlog was $4.7 billion and twelve-month backlog was $1.8 billion at December 31, 2024, compared with $4.5 billion and $2.0 billion at December 31, 2023</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June 2024, we repurchased 971,534 shares under the 2023 Stock Repurchase Program at an average price of $102.93 (excluding commissions) for a total of $100.0 million. This repurchase was completed in conjunction with the issuance of the 2024 convertible notes.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Amendment to the 2018 credit facility</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our credit facility on January 5, 2018 (the 2018 credit facility). On June 14, 2024, we entered into an eighth amendment of the 2018 credit facility. In contemplation of the issuance of the 2024 convertible notes, this amendment to the Credit Agreement removed the $500 million maximum amount of convertible notes we could offer. Refer to Item 8: Financial Statements and Supplementary Data, Note 6: Debt for further details.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(the 2024 Notes) in a private placement to qualified institutional buyers, resulting in net proceeds to us of $784 million. The 2024 Notes accrue interest at a rate of 1.375% per annum, payable semi-annually in arrears on January 15 and July 15 of each year, beginning on January 15, 2025. The 2024 Notes mature on July 15, 2030, unless earlier repurchased, redeemed, or converted in accordance with their terms. Refer to Item 8: Financial Statements and Supplementary Data, Note 6: Debt, and Note 14: Shareholders' Equity for further details.</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Acquisition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 The purchase price for this acquisition is $34.1 million. The purchase price was allocated to assets acquired and liabilities assumed, primarily $15.0 million in finite-lived intangible assets and $19.3 million in goodwill. Since this was a stock acquisition, none of the goodwill is deductible for tax purposes. The purchase was funded through cash on hand. Refer to Item 8: Financial Statements and Supplementary Data, Note 4: Intangible Assets and Liabilities, Note 5: Goodwill, and Note 18: Business Combination for further details.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Endpoints Under Management: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20" w:type="dxa"/>
            <w:vAlign w:val="bottom"/>
          </w:tcPr>
          <w:p>
            <w:pPr>
              <w:spacing w:after="0"/>
              <w:rPr>
                <w:sz w:val="18"/>
                <w:szCs w:val="18"/>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1"/>
        </w:trPr>
        <w:tc>
          <w:tcPr>
            <w:tcW w:w="20" w:type="dxa"/>
            <w:vAlign w:val="bottom"/>
            <w:tcBorders>
              <w:top w:val="single" w:sz="8" w:color="auto"/>
            </w:tcBorders>
          </w:tcPr>
          <w:p>
            <w:pPr>
              <w:spacing w:after="0"/>
              <w:rPr>
                <w:sz w:val="14"/>
                <w:szCs w:val="14"/>
                <w:color w:val="auto"/>
              </w:rPr>
            </w:pPr>
          </w:p>
        </w:tc>
        <w:tc>
          <w:tcPr>
            <w:tcW w:w="5880" w:type="dxa"/>
            <w:vAlign w:val="bottom"/>
            <w:tcBorders>
              <w:top w:val="single" w:sz="8" w:color="auto"/>
            </w:tcBorders>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2,131,379</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1,863,489</w:t>
            </w: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309,458</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310,144</w:t>
            </w: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2,440,837</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2,173,633</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839,317</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713,908</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575,207</w:t>
            </w:r>
          </w:p>
        </w:tc>
        <w:tc>
          <w:tcPr>
            <w:tcW w:w="17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585,041</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264,110</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128,867</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20,421</w:t>
            </w:r>
          </w:p>
        </w:tc>
        <w:tc>
          <w:tcPr>
            <w:tcW w:w="12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42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(1,481)</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(43,407)</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(29,068)</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attributable to Itron, Inc.</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239,105</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96,923</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553,380</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521,328</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285,937</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192,580</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259,800</w:t>
            </w:r>
          </w:p>
        </w:tc>
        <w:tc>
          <w:tcPr>
            <w:tcW w:w="17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153,786</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323,590</w:t>
            </w:r>
          </w:p>
        </w:tc>
        <w:tc>
          <w:tcPr>
            <w:tcW w:w="17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225,584</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EPS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r>
      <w:tr>
        <w:trPr>
          <w:trHeight w:val="213"/>
        </w:trPr>
        <w:tc>
          <w:tcPr>
            <w:tcW w:w="20" w:type="dxa"/>
            <w:vAlign w:val="bottom"/>
          </w:tcPr>
          <w:p>
            <w:pPr>
              <w:spacing w:after="0"/>
              <w:rPr>
                <w:sz w:val="18"/>
                <w:szCs w:val="18"/>
                <w:color w:val="auto"/>
              </w:rPr>
            </w:pPr>
          </w:p>
        </w:tc>
        <w:tc>
          <w:tcPr>
            <w:tcW w:w="588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Total gross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20" w:type="dxa"/>
            <w:vAlign w:val="bottom"/>
          </w:tcPr>
          <w:p>
            <w:pPr>
              <w:spacing w:after="0"/>
              <w:rPr>
                <w:sz w:val="18"/>
                <w:szCs w:val="18"/>
                <w:color w:val="auto"/>
              </w:rPr>
            </w:pPr>
          </w:p>
        </w:tc>
        <w:tc>
          <w:tcPr>
            <w:tcW w:w="5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588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Non-GAAP EPS </w:t>
            </w:r>
            <w:r>
              <w:rPr>
                <w:rFonts w:ascii="Times New Roman" w:cs="Times New Roman" w:eastAsia="Times New Roman" w:hAnsi="Times New Roman"/>
                <w:sz w:val="20"/>
                <w:szCs w:val="20"/>
                <w:b w:val="1"/>
                <w:bCs w:val="1"/>
                <w:color w:val="auto"/>
                <w:vertAlign w:val="superscript"/>
              </w:rPr>
              <w:t>(1)</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r>
    </w:tbl>
    <w:p>
      <w:pPr>
        <w:spacing w:after="0" w:line="324" w:lineRule="exact"/>
        <w:rPr>
          <w:sz w:val="20"/>
          <w:szCs w:val="20"/>
          <w:color w:val="auto"/>
        </w:rPr>
      </w:pPr>
    </w:p>
    <w:p>
      <w:pPr>
        <w:ind w:left="340" w:right="20" w:hanging="332"/>
        <w:spacing w:after="0" w:line="22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43-46 for information about these non-GAAP measures and reconciliations to the most comparable GAAP measures.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Definition of an Endpoint Under Management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its behalf.</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endpoints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for which Itron does not manage the unit or the data from that unit directly.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one-time sale of the platform and endpoints is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of the strategic and operational direction of our Networked Solutions and Outcomes segments to serve clients for years following their one-time installation of an endpoint.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under management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40" w:type="dxa"/>
            <w:vAlign w:val="bottom"/>
            <w:tcBorders>
              <w:bottom w:val="single" w:sz="8" w:color="auto"/>
            </w:tcBorders>
          </w:tcPr>
          <w:p>
            <w:pPr>
              <w:spacing w:after="0"/>
              <w:rPr>
                <w:sz w:val="18"/>
                <w:szCs w:val="18"/>
                <w:color w:val="auto"/>
              </w:rPr>
            </w:pPr>
          </w:p>
        </w:tc>
      </w:tr>
      <w:tr>
        <w:trPr>
          <w:trHeight w:val="21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Endpoints under management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102,339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98,046</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2,440,837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267,204</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increased $267.2 million in 2024 compared with 2023. Product revenues increased $267.9 million in 2024, and service revenues decreased $0.7 million. Device Solutions increased by $20.9 million; Networked Solutions increased by $199.8 million; and Outcomes increased by $46.6 million when compared with the same period last year.</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single customer represented more than 10% of total revenues for the years ended December 31, 2024 and 2023. Our 10 largest customers accounted for 33% of total revenues in 2024 and 36% of total revenues in 2023.</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margin was 34.4% for 2024, compared with 32.8% in 2023. We were favorably impacted by product and solution mix and manufacturing efficiencies from increased volumes. Product sales gross margin increased to 32.9% in 2024 from 30.7% in 2023. Gross margin on service revenues decreased to 44.6% from 46.0%.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76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26,290</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215,034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7"/>
        </w:trPr>
        <w:tc>
          <w:tcPr>
            <w:tcW w:w="3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575,207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585,041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decreased $9.8 million for the year ended December 31, 2024 as compared with the same period in 2023. This was primarily the result of a $41.3 million decrease in restructuring costs, as well as a $1.1 million decrease in amortization of intangible assets. The decrease was partially offset by $26.3 million increase in sales, general and administrative expenses and a $6.3 million increase in research and development expenses. The increases in sales, general and administrative and research and development expenses were primarily driven by increased labor costs. Refer to Item 8: Financial Statements and Supplementary Data, Note 4: Intangible Assets and Liabilities, and Note 13: Restructuring for more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40" w:type="dxa"/>
            <w:vAlign w:val="bottom"/>
          </w:tcPr>
          <w:p>
            <w:pPr>
              <w:spacing w:after="0"/>
              <w:rPr>
                <w:sz w:val="18"/>
                <w:szCs w:val="18"/>
                <w:color w:val="auto"/>
              </w:rPr>
            </w:pP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34,577</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9,314</w:t>
            </w:r>
          </w:p>
        </w:tc>
      </w:tr>
      <w:tr>
        <w:trPr>
          <w:trHeight w:val="207"/>
        </w:trPr>
        <w:tc>
          <w:tcPr>
            <w:tcW w:w="6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(3,664)</w:t>
            </w: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2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(4,685)</w:t>
            </w:r>
          </w:p>
        </w:tc>
      </w:tr>
      <w:tr>
        <w:trPr>
          <w:trHeight w:val="207"/>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w:t>
            </w:r>
          </w:p>
        </w:tc>
        <w:tc>
          <w:tcPr>
            <w:tcW w:w="12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(8,349)</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(2,446)</w:t>
            </w:r>
          </w:p>
        </w:tc>
      </w:tr>
      <w:tr>
        <w:trPr>
          <w:trHeight w:val="207"/>
        </w:trPr>
        <w:tc>
          <w:tcPr>
            <w:tcW w:w="6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20,421</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NM</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center"/>
              <w:ind w:left="599"/>
              <w:spacing w:after="0"/>
              <w:rPr>
                <w:sz w:val="20"/>
                <w:szCs w:val="20"/>
                <w:color w:val="auto"/>
              </w:rPr>
            </w:pPr>
            <w:r>
              <w:rPr>
                <w:rFonts w:ascii="Times New Roman" w:cs="Times New Roman" w:eastAsia="Times New Roman" w:hAnsi="Times New Roman"/>
                <w:sz w:val="16"/>
                <w:szCs w:val="16"/>
                <w:color w:val="auto"/>
              </w:rPr>
              <w:t>(1,481)</w:t>
            </w:r>
          </w:p>
        </w:tc>
      </w:tr>
      <w:tr>
        <w:trPr>
          <w:trHeight w:val="23"/>
        </w:trPr>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other income (expense) for the year ended December 31, 2024 was net income of $20.4 million compared with net expense of $1.5 million in 2023. The net increase was driven by a $25.3 million increase in interest income primarily due to interest earned from the cash proceeds of the 2024 Notes, as well increased other income due to a $3.1 million foreign currency loss recognized in 2023 compared with a gain of $1.1 million in 2024. This increase was offset by an increase in other interest expense driven by a $5.8 million interest accrual for the 2024 Notes recognized in 2024 and a $1.8 million increase in amortization of prepaid debt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 was $43.4 million and $29.1 million for the years ended December 31, 2024 and 2023. Our tax rate for the year ended December 31, 2024 differed from the U.S. federal statutory tax rate of 21% due to changes in valuation allowances, the level of profit or losses in domestic and international jurisdictions, stock-based compensation, tax credits, settlement of tax audits, and uncertain tax positions.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related to income taxes, refer to Item 8: Financial Statements and Supplementary Data, Note 11: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Part I, Item 1: Business, Our Operating Segments included in this Annual Report on Form 10-K and the Overview section above. The following tables and discussion highlight significant changes in trends or components of each operating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2,440,837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108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6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i w:val="1"/>
                <w:iCs w:val="1"/>
                <w:color w:val="auto"/>
              </w:rPr>
              <w:t>Profit</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2"/>
        </w:trPr>
        <w:tc>
          <w:tcPr>
            <w:tcW w:w="5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839,317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8"/>
                <w:szCs w:val="18"/>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360" w:type="dxa"/>
            <w:vAlign w:val="bottom"/>
            <w:gridSpan w:val="3"/>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8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6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0" w:type="dxa"/>
            <w:vAlign w:val="bottom"/>
          </w:tcPr>
          <w:p>
            <w:pPr>
              <w:spacing w:after="0"/>
              <w:rPr>
                <w:sz w:val="1"/>
                <w:szCs w:val="1"/>
                <w:color w:val="auto"/>
              </w:rPr>
            </w:pPr>
          </w:p>
        </w:tc>
      </w:tr>
      <w:tr>
        <w:trPr>
          <w:trHeight w:val="215"/>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220" w:type="dxa"/>
            <w:vAlign w:val="bottom"/>
          </w:tcPr>
          <w:p>
            <w:pPr>
              <w:spacing w:after="0"/>
              <w:rPr>
                <w:sz w:val="18"/>
                <w:szCs w:val="18"/>
                <w:color w:val="auto"/>
              </w:rPr>
            </w:pPr>
          </w:p>
        </w:tc>
        <w:tc>
          <w:tcPr>
            <w:tcW w:w="13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income and operating margin</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income and operating margin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20,273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rPr>
              <w:t>20,851</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rPr>
              <w:t>17,621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17,547</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rPr>
              <w:t>(10,286)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(10,285)</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Revenues increased by $20.9 million in 2024, or 5%, compared with 2023. The 2024 increase in revenues was driven primarily by increased smart water product sales. Changes in foreign currency exchange rates favorably impacted revenues by $0.6 million.</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Gross margin was 25.9% in 2024 compared with 23.2% in 2023. The 270 basis point increase over the prior year was primarily due to an improved product mix and manufacturing efficiencies.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decreased $10.3 million, or 26%, in 2024 compared with 2023. The decrease was primarily due to lower product development costs.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199,784</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98,055</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Revenues increased by $199.8 million, or 14%, in 2024 compared with 2023. The increase was primarily from product revenues due to the ramp of new projects and ongoing deployments, slightly offset by $1.1 million in unfavorable foreign currency exchange rate changes.</w:t>
      </w: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was 36.2% in 2024 compared with 34.5% in 2023. The 170 basis point increase was primarily related to favorable product and solutions volumes and mix as well as improved operational efficiencies.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increased by $10.3 million, or 8%, in 2024 compared with 2023. The increase was primarily related to higher product development costs.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0"/>
                <w:szCs w:val="10"/>
                <w:color w:val="auto"/>
              </w:rPr>
            </w:pPr>
          </w:p>
        </w:tc>
        <w:tc>
          <w:tcPr>
            <w:tcW w:w="16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46,569</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9,807</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8,423</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increased $46.6 million, or 17%, in 2024 compared with 2023. This increase was driven by software licenses, services, and the Elpis Squared acquisition. Changes in foreign currency exchange rates favorably impacted revenues by $0.5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decreased to 37.6% in 2024 compared with 40.5% for last year. The 290 basis point decrease was driven by increased services cost and mix in the current period.</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increased $8.4 million, or 15%, in 2024 compared with 2023. This was primarily related to increased product development investment.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$18.3 million in 2024 as compared with 2023. This was due to a decrease of $41.3 million in restructuring, as well as a $1.1 million decrease in amortization of intangible assets. The decreases were partially offset by a $23.5 million increase in sales, general and administrative expenses as compared with 2023. The increase in sales, general, and administrative expenses was primarily driven by increased labor costs. Refer to Item 8: Financial Statements and Supplementary Data, Note 4: Intangible Assets and Liabilities and Note 13: Restructuring for more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w:t>
            </w:r>
          </w:p>
        </w:tc>
      </w:tr>
      <w:tr>
        <w:trPr>
          <w:trHeight w:val="21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40,516</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(18,737)</w:t>
            </w:r>
          </w:p>
        </w:tc>
      </w:tr>
      <w:tr>
        <w:trPr>
          <w:trHeight w:val="21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(6,851)</w:t>
            </w:r>
          </w:p>
        </w:tc>
      </w:tr>
      <w:tr>
        <w:trPr>
          <w:trHeight w:val="235"/>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749,188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at December 31, 2024 was $1.05 billion compared with $302.0 million at December 31, 2023. The $749.2 million increase in cash and cash equivalents in the 2024 period was primarily the net proceeds provided by the 2024 convertible notes issuance and net cash provided by operating activities as a result of higher earnings, partially offset by cash used in investing activities for the acquisition of Elpis Squared and a slight increase in cash paid for acquisition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in 2024 was $113.2 million higher than in 2023. This increase was primarily due to increased earnings and working capital conversion, partially offset by higher restructuring and variable compensation payments in 2024.</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in 2024 was $63.4 million, compared with net cash used in investing activities in 2023 of $23.3 million. This movement was primarily related to net cash used for the acquisition of Elpis Squared for $34.1 million along with $3.7 million increased purchases of property, plant, and equipment in 2024.</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2024 was $579.6 million, compared with $3.5 million used in 2023. In 2024, cash provided by financing activities is due primarily to the issuance of the 2024 convertible notes, net of total debt issuance cost, totaling $784 million, partially offset by the purchase of the capped call for the convertible offering of $109.0 million and common stock repurchased totaling $100.0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resulted in a decrease of $5.1 million in 2024 and an increase of $1.9 million in 2023. Our foreign currency exposure relates to non-U.S. dollar denominated balances in our international subsidiary operations.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238,175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(30,562)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37"/>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207,613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increased due to higher operating cash flow, partially offset by higher spending for property, plant, and equipment. See the cash flow discussion of operating and investing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December 31, 2024 and 2023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originally entered into our credit facility on January 5, 2018 (together with the subsequent eight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December 31, 2024, no amount was outstanding under the 2018 credit facility, and $46.0 million was utilized by outstanding standby letters of credit, resulting in $454.0 million available for borrowing. At December 31, 2024,</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$254.0 million was available for additional standby letters of credit under the letter of credit sub-facility, and no amounts were outstanding under the swingline sub-facility. Amounts borrowed under the revolver may be repaid and reborrowed until the revolver's maturity on October 18, 2026, at which time all outstanding loans together with all accrued and unpaid interest must be repaid. However, that date may be advanced to December 14, 2025 if Itron does not settle or extend a sufficient portion of the outstanding 2021 convertible notes, as detailed in the seventh amendment.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2021, we closed the sale of $460 million in convertible notes (the 2021 Notes) in a private placement to qualified institutional buyers. These convertible notes do not bear regular interest, and the principal amount does not accrete. The convertible notes will mature on March 15, 2026, unless earlier repurchased, redeemed, or converted in accordance with their terms.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21, 2024, we closed the sale of $805 million in convertible notes (the 2024 Notes) in a private placement to qualified institutional buyers. These convertible notes accrue interest at a rate of 1.375% per annum, payable semi-annually in arrears on January 15 and July 15 of each year, beginning on January 15, 2025. The notes will mature on July 15, 2030, unless earlier repurchased, redeemed, or converted in accordance with their terms.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description of our borrowings, refer to Item 8: Financial Statements and Supplementary Data, Note 6: Debt. Refer to Item 8: Financial Statements and Supplementary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Note 2: Earnings Per Share and Note 14: Shareholders' Equity for further details of the convertible note hedge transactions and warrant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2018 credit facility, refer to Item 8: Financial Statements and Supplementary Data, Note 12: Commitments and Contingencies.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were substantially complete at the end of 2024, with an estimated $12.8 million in cash payments remaining as of December 31, 2024 with cash outflows expected through 2027.</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 with an estimated $28.5 million in cash payments remaining as of December 31, 2024 with cash outflows expected through 2027.</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we paid out $32.0 million related to all our restructuring projects. As of December 31, 2024, $41.3 million was accrued for these restructuring projects, of which $24.3 million is expected to be paid within the next 12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8: Financial Statements and Supplementary Data, Note 13: Restructuring.</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contractual obligations and commitments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during 2025 are $15.9 million and are $27.6 million for 2026 and beyond.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regularly enter into standard purchase orders in the ordinary course of business that may obligate us to purchase materials and other items but may not yet qualify for recognition in our Consolidated Balance Sheets. Purchase orders and other purchase obligations can include open-ended agreements that provide for estimated quantities over an extended delivery period. At December 31, 2024, purchase orders and other purchase obligations were $641.4 million, which includes capital expenditures of $13.0 million. The purchase orders may include durations longer than one year, but these long-term agreements generally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contain termination clauses that could require payment if the commitments were canceled, and as such the total above is considered short-term as of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long-term liabilities consist of warranty obligations, estimated pension benefit payments, and other obligations. Estimated pension benefit payments include amounts to be paid from our assets for unfunded plans and reflect expected future service. The following table summarizes our known obligations to make future payments pursuant to certain contracts as of December 31, 2024.</w:t>
      </w:r>
    </w:p>
    <w:tbl>
      <w:tblPr>
        <w:tblLayout w:type="fixed"/>
        <w:tblInd w:w="0" w:type="dxa"/>
        <w:tblCellMar>
          <w:top w:w="0" w:type="dxa"/>
          <w:left w:w="0" w:type="dxa"/>
          <w:bottom w:w="0" w:type="dxa"/>
          <w:right w:w="0" w:type="dxa"/>
        </w:tblCellMar>
      </w:tblPr>
      <w:tr>
        <w:trPr>
          <w:trHeight w:val="16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00" w:type="dxa"/>
            <w:vAlign w:val="bottom"/>
          </w:tcPr>
          <w:p>
            <w:pPr>
              <w:spacing w:after="0"/>
              <w:rPr>
                <w:sz w:val="14"/>
                <w:szCs w:val="14"/>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Next 12 months</w:t>
            </w:r>
          </w:p>
        </w:tc>
        <w:tc>
          <w:tcPr>
            <w:tcW w:w="180" w:type="dxa"/>
            <w:vAlign w:val="bottom"/>
          </w:tcPr>
          <w:p>
            <w:pPr>
              <w:spacing w:after="0"/>
              <w:rPr>
                <w:sz w:val="14"/>
                <w:szCs w:val="14"/>
                <w:color w:val="auto"/>
              </w:rPr>
            </w:pPr>
          </w:p>
        </w:tc>
        <w:tc>
          <w:tcPr>
            <w:tcW w:w="1460" w:type="dxa"/>
            <w:vAlign w:val="bottom"/>
          </w:tcPr>
          <w:p>
            <w:pPr>
              <w:jc w:val="right"/>
              <w:ind w:right="179"/>
              <w:spacing w:after="0" w:line="167" w:lineRule="exact"/>
              <w:rPr>
                <w:sz w:val="20"/>
                <w:szCs w:val="20"/>
                <w:color w:val="auto"/>
              </w:rPr>
            </w:pPr>
            <w:r>
              <w:rPr>
                <w:rFonts w:ascii="Times New Roman" w:cs="Times New Roman" w:eastAsia="Times New Roman" w:hAnsi="Times New Roman"/>
                <w:sz w:val="16"/>
                <w:szCs w:val="16"/>
                <w:b w:val="1"/>
                <w:bCs w:val="1"/>
                <w:color w:val="auto"/>
              </w:rPr>
              <w:t>Beyond the next</w:t>
            </w:r>
          </w:p>
        </w:tc>
        <w:tc>
          <w:tcPr>
            <w:tcW w:w="0" w:type="dxa"/>
            <w:vAlign w:val="bottom"/>
          </w:tcPr>
          <w:p>
            <w:pPr>
              <w:spacing w:after="0"/>
              <w:rPr>
                <w:sz w:val="1"/>
                <w:szCs w:val="1"/>
                <w:color w:val="auto"/>
              </w:rPr>
            </w:pPr>
          </w:p>
        </w:tc>
      </w:tr>
      <w:tr>
        <w:trPr>
          <w:trHeight w:val="214"/>
        </w:trPr>
        <w:tc>
          <w:tcPr>
            <w:tcW w:w="5120" w:type="dxa"/>
            <w:vAlign w:val="bottom"/>
            <w:vMerge w:val="continue"/>
          </w:tcPr>
          <w:p>
            <w:pPr>
              <w:spacing w:after="0"/>
              <w:rPr>
                <w:sz w:val="18"/>
                <w:szCs w:val="18"/>
                <w:color w:val="auto"/>
              </w:rPr>
            </w:pPr>
          </w:p>
        </w:tc>
        <w:tc>
          <w:tcPr>
            <w:tcW w:w="29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1"/>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pension benefit payments</w:t>
            </w:r>
          </w:p>
        </w:tc>
        <w:tc>
          <w:tcPr>
            <w:tcW w:w="29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59,537</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period of cash settlement for long-term unrecognized tax benefits, which include accrued interest and penalties, cannot be reasonably estimated with the respective taxing authorities. For further information on defined benefit pension plans, income taxes, warranty obligations, and unearned revenue for extended warranties, refer to Item 8: Financial Statements and Supplementary Data, Note 8: Defined Benefit Pension Plans, Note 11: Income Taxes, Note 12: Commitments and Contingencies, and Note 17: Revenues.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income tax payments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taxes paid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income taxes paid</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17,519</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and local income taxes paid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w:t>
            </w:r>
          </w:p>
        </w:tc>
      </w:tr>
      <w:tr>
        <w:trPr>
          <w:trHeight w:val="207"/>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income taxes paid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80,172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current projections, we expect to pay, net of refunds, approximately $67 million in U.S. federal and state taxes and $14 million in foreign and local income taxes in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there was $46.1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certain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2024, $3.6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expect to make cash payments of approximately $64 million for variable compensation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supply constraints, future business combinations, capital market fluctuations, international risks, and other factors described under Part I, Item 1A: Risk Factors, as well as Item 7A: Quantitative and Qualitative Disclosures About Market Risk.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8: Financial Statements and Supplementary Data, Note 12: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revenue arrangements involve multiple performance obligations, consisting of hardware, software, and professional services such as implementation, project management, installation, consulting services, cloud services, and SaaS.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be modified to add, remove, or change existing performance obligations or change the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later of when we terminate a contract in accordance with the contract terms or when we cease using the rights conveyed by the contract, whichever occurs later.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Fully amortized finite-lived intangible assets are removed from the presentation of gross intangible assets along with the related accumulated amortization. In-process research and development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our international employees, primarily in Germany, France, India, and Indonesia.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80%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depending on the duration of the plans, were between 3.00% and 3.50%. The weighted average discount rate used to measure the projected benefit obligation for all of the plans at December 31, 2024 was 4.04%. A change of 100 basis points in the discount rate would change our projected benefit obligation by approximately $9.0 million. The financial and actuarial assumptions used at December 31, 2024 may differ materially from actual results due to changing market and economic conditions and other factors. These differences could result in a significant change in the amount of pension expense recognized in future periods.</w:t>
      </w: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compensation based on estimated fair values. The fair value of unrestricted stock awards with no market conditions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 For stock options, the fair value was estimated at the date of grant using the Black-Scholes option-pricing model, which included assumptions for the expected volatility, risk-free interest rate, expected term and dividend yield.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valuing our restricted stock units with a market condition and stock options, significant judgment is required in determining the expected volatility of our common stock and the expected life that individuals will hold their stock options prior to exercising. The volatility for our restricted stock units with a market condition is based on the historical volatility of our own stock and the stock for companies comprising the market index within the market condition. The expected volatility for stock options was based on the historical and implied volatility of our own common stock. The expected life of stock option grants was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strategic initiative expenses, and acquisition and integration related expenses. We define non-GAAP operating income as operating income excluding the expenses related to the amortization of intangible assets, restructuring, loss on sale of business, strategic initiative expenses,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strategic initiative expenses, acquisition and integration related expenses, and the tax effect of excluding these expenses. We define non-GAAP diluted EPS as non-GAAP net income divided by diluted weighted-average shares outstanding during the period calculated on a GAAP basis and then reduced to reflect any anti-dilutive impact of the convertible notes hedge transactions. We consider these financial measures to be useful metrics for management and investors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loss on sale of business, strategic initiative expenses,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8"/>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operating expenses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585,041</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37"/>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553,380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521,328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GAAP operating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264,110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128,867</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18,918</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2"/>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192,580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6"/>
        </w:trPr>
        <w:tc>
          <w:tcPr>
            <w:tcW w:w="784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Income tax effect of non-GAAP adjustments </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(10,339)</w:t>
            </w:r>
          </w:p>
        </w:tc>
      </w:tr>
      <w:tr>
        <w:trPr>
          <w:trHeight w:val="235"/>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259,800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Non-GAAP diluted EPS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Non-GAAP weighted average common shares outstanding - Diluted</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83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 RECONCILIATIONS</w:t>
            </w: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8"/>
        </w:trPr>
        <w:tc>
          <w:tcPr>
            <w:tcW w:w="7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GAAP net income attributable to Itron,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(9,314)</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8,349</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29,068</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43,989</w:t>
            </w: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Strategic initiative</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2"/>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323,590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225,584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124,971</w:t>
            </w:r>
          </w:p>
        </w:tc>
      </w:tr>
      <w:tr>
        <w:trPr>
          <w:trHeight w:val="213"/>
        </w:trPr>
        <w:tc>
          <w:tcPr>
            <w:tcW w:w="7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(26,884)</w:t>
            </w:r>
          </w:p>
        </w:tc>
      </w:tr>
      <w:tr>
        <w:trPr>
          <w:trHeight w:val="237"/>
        </w:trPr>
        <w:tc>
          <w:tcPr>
            <w:tcW w:w="7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Free Cash Flow</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98,087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line="22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may be exposed to interest rate risk through variable rate debt instruments, namely the multicurrency revolving line of credit. At December 31, 2024, we had no outstanding variable rate debt.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22% of total revenues for the year ended December 31, 2024, compared with 24% for the year ended December 31, 2023 and 30% for the year ended December 31, 2022.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2024, a total of 35 contracts were offsetting our exposures from the euro, pound sterling, Indonesian rupiah, Canadian dollar, Australian dollar, and various other currencies, with notional amounts ranging from $104,000 to $32.3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52" w:lineRule="exact"/>
        <w:rPr>
          <w:sz w:val="20"/>
          <w:szCs w:val="20"/>
          <w:color w:val="auto"/>
        </w:rPr>
      </w:pPr>
    </w:p>
    <w:p>
      <w:pPr>
        <w:ind w:right="506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Itron,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Itron, Inc. and its subsidiaries (the "Company") as of December 31, 2024 and 2023, the related consolidated statements of operations, comprehensive income (loss),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Revenue arrangements involving multiple performance obligations — Refer to Notes 1 and 17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Company’s revenue arrangements involve multiple performance obligations consisting of hardware, license of software, cloud services and Software-as-a-Service, and professional services such as software implementation services, project management services, installation services, consulting services, post-sale maintenance support, and extended or customer-specific warranties.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 whether contract modifications represent new contracts or modification of existing contracts,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certain performance obligations are distinct, and other considerations that may impact the timing of revenue recognition involving multiple performance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evaluation of these factors is executed in accordance with the Accounting Standards Codification (ASC) 606 Revenue from Contracts with Customers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consolidated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involving multiple performance obligations as a critical audit matter.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involving multiple performance obligations and (2) the completeness and accuracy of the computations and entries used to recognize revenue involving multiple performance obligations included the following, among others:</w:t>
      </w:r>
    </w:p>
    <w:p>
      <w:pPr>
        <w:spacing w:after="0" w:line="207" w:lineRule="exact"/>
        <w:rPr>
          <w:sz w:val="20"/>
          <w:szCs w:val="20"/>
          <w:color w:val="auto"/>
        </w:rPr>
      </w:pPr>
    </w:p>
    <w:p>
      <w:pPr>
        <w:jc w:val="both"/>
        <w:ind w:left="180" w:hanging="172"/>
        <w:spacing w:after="0" w:line="261" w:lineRule="auto"/>
        <w:tabs>
          <w:tab w:leader="none" w:pos="1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involving multiple performance obligations are appropriately applied.</w:t>
      </w:r>
    </w:p>
    <w:p>
      <w:pPr>
        <w:spacing w:after="0" w:line="17" w:lineRule="exact"/>
        <w:rPr>
          <w:rFonts w:ascii="Times New Roman" w:cs="Times New Roman" w:eastAsia="Times New Roman" w:hAnsi="Times New Roman"/>
          <w:sz w:val="18"/>
          <w:szCs w:val="18"/>
          <w:color w:val="auto"/>
        </w:rPr>
      </w:pPr>
    </w:p>
    <w:p>
      <w:pPr>
        <w:jc w:val="both"/>
        <w:ind w:left="180" w:hanging="172"/>
        <w:spacing w:after="0" w:line="261" w:lineRule="auto"/>
        <w:tabs>
          <w:tab w:leader="none" w:pos="1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of computations and entries over revenue recognition involving multiple performance obligations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1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contracts with customers that included existing contracts, new contracts and contract modifications, we:</w:t>
      </w:r>
    </w:p>
    <w:p>
      <w:pPr>
        <w:spacing w:after="0" w:line="63" w:lineRule="exact"/>
        <w:rPr>
          <w:rFonts w:ascii="Times New Roman" w:cs="Times New Roman" w:eastAsia="Times New Roman" w:hAnsi="Times New Roman"/>
          <w:sz w:val="18"/>
          <w:szCs w:val="18"/>
          <w:color w:val="auto"/>
        </w:rPr>
      </w:pPr>
    </w:p>
    <w:p>
      <w:pPr>
        <w:ind w:left="66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21" w:lineRule="exact"/>
        <w:rPr>
          <w:rFonts w:ascii="Times New Roman" w:cs="Times New Roman" w:eastAsia="Times New Roman" w:hAnsi="Times New Roman"/>
          <w:sz w:val="18"/>
          <w:szCs w:val="18"/>
          <w:color w:val="auto"/>
        </w:rPr>
      </w:pPr>
    </w:p>
    <w:p>
      <w:pPr>
        <w:ind w:left="660" w:hanging="324"/>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Evaluated whether the identified accounting conclusions were appropriately reflected in the computations and entries over revenue recognition involving multiple performance obligations.</w:t>
      </w:r>
    </w:p>
    <w:p>
      <w:pPr>
        <w:spacing w:after="0" w:line="1" w:lineRule="exact"/>
        <w:rPr>
          <w:rFonts w:ascii="Times New Roman" w:cs="Times New Roman" w:eastAsia="Times New Roman" w:hAnsi="Times New Roman"/>
          <w:sz w:val="18"/>
          <w:szCs w:val="18"/>
          <w:color w:val="auto"/>
        </w:rPr>
      </w:pPr>
    </w:p>
    <w:p>
      <w:pPr>
        <w:ind w:left="6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the accuracy and completeness of the data used in the computations and entries to record revenue involving multiple performance obligations.</w:t>
      </w:r>
    </w:p>
    <w:p>
      <w:pPr>
        <w:spacing w:after="0" w:line="26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Tested mathematical accuracy of the computations and entries over revenue recognition involving multiple performance obligations.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300" w:type="dxa"/>
            <w:vAlign w:val="bottom"/>
          </w:tcPr>
          <w:p>
            <w:pPr>
              <w:spacing w:after="0"/>
              <w:rPr>
                <w:sz w:val="24"/>
                <w:szCs w:val="24"/>
                <w:color w:val="auto"/>
              </w:rPr>
            </w:pPr>
          </w:p>
        </w:tc>
        <w:tc>
          <w:tcPr>
            <w:tcW w:w="1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540" w:type="dxa"/>
            <w:vAlign w:val="bottom"/>
            <w:gridSpan w:val="5"/>
          </w:tcPr>
          <w:p>
            <w:pPr>
              <w:ind w:left="2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revenues</w:t>
            </w:r>
          </w:p>
        </w:tc>
        <w:tc>
          <w:tcPr>
            <w:tcW w:w="1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2,131,379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1,500,243</w:t>
            </w:r>
          </w:p>
        </w:tc>
      </w:tr>
      <w:tr>
        <w:trPr>
          <w:trHeight w:val="229"/>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Service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295,321</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2,440,837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1,795,564</w:t>
            </w:r>
          </w:p>
        </w:tc>
      </w:tr>
      <w:tr>
        <w:trPr>
          <w:trHeight w:val="210"/>
        </w:trPr>
        <w:tc>
          <w:tcPr>
            <w:tcW w:w="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cost of revenues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1,102,475</w:t>
            </w:r>
          </w:p>
        </w:tc>
      </w:tr>
      <w:tr>
        <w:trPr>
          <w:trHeight w:val="230"/>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Service cost of revenues</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170,900</w:t>
            </w:r>
          </w:p>
        </w:tc>
      </w:tr>
      <w:tr>
        <w:trPr>
          <w:trHeight w:val="223"/>
        </w:trPr>
        <w:tc>
          <w:tcPr>
            <w:tcW w:w="40" w:type="dxa"/>
            <w:vAlign w:val="bottom"/>
          </w:tcPr>
          <w:p>
            <w:pPr>
              <w:spacing w:after="0"/>
              <w:rPr>
                <w:sz w:val="19"/>
                <w:szCs w:val="19"/>
                <w:color w:val="auto"/>
              </w:rPr>
            </w:pPr>
          </w:p>
        </w:tc>
        <w:tc>
          <w:tcPr>
            <w:tcW w:w="45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cost of revenues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1,273,375</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522,189</w:t>
            </w:r>
          </w:p>
        </w:tc>
      </w:tr>
      <w:tr>
        <w:trPr>
          <w:trHeight w:val="257"/>
        </w:trPr>
        <w:tc>
          <w:tcPr>
            <w:tcW w:w="40" w:type="dxa"/>
            <w:vAlign w:val="bottom"/>
          </w:tcPr>
          <w:p>
            <w:pPr>
              <w:spacing w:after="0"/>
              <w:rPr>
                <w:sz w:val="22"/>
                <w:szCs w:val="22"/>
                <w:color w:val="auto"/>
              </w:rPr>
            </w:pPr>
          </w:p>
        </w:tc>
        <w:tc>
          <w:tcPr>
            <w:tcW w:w="4540" w:type="dxa"/>
            <w:vAlign w:val="bottom"/>
            <w:gridSpan w:val="2"/>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290,453</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185,098</w:t>
            </w: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9"/>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38,480</w:t>
            </w:r>
          </w:p>
        </w:tc>
      </w:tr>
      <w:tr>
        <w:trPr>
          <w:trHeight w:val="223"/>
        </w:trPr>
        <w:tc>
          <w:tcPr>
            <w:tcW w:w="4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575,207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529,628</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30"/>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0"/>
        </w:trPr>
        <w:tc>
          <w:tcPr>
            <w:tcW w:w="40" w:type="dxa"/>
            <w:vAlign w:val="bottom"/>
          </w:tcPr>
          <w:p>
            <w:pPr>
              <w:spacing w:after="0"/>
              <w:rPr>
                <w:sz w:val="19"/>
                <w:szCs w:val="19"/>
                <w:color w:val="auto"/>
              </w:rPr>
            </w:pPr>
          </w:p>
        </w:tc>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23"/>
        </w:trPr>
        <w:tc>
          <w:tcPr>
            <w:tcW w:w="40" w:type="dxa"/>
            <w:vAlign w:val="bottom"/>
          </w:tcPr>
          <w:p>
            <w:pPr>
              <w:spacing w:after="0"/>
              <w:rPr>
                <w:sz w:val="19"/>
                <w:szCs w:val="19"/>
                <w:color w:val="auto"/>
              </w:rPr>
            </w:pPr>
          </w:p>
        </w:tc>
        <w:tc>
          <w:tcPr>
            <w:tcW w:w="45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14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w:t>
            </w:r>
          </w:p>
        </w:tc>
      </w:tr>
      <w:tr>
        <w:trPr>
          <w:trHeight w:val="234"/>
        </w:trPr>
        <w:tc>
          <w:tcPr>
            <w:tcW w:w="40" w:type="dxa"/>
            <w:vAlign w:val="bottom"/>
          </w:tcPr>
          <w:p>
            <w:pPr>
              <w:spacing w:after="0"/>
              <w:rPr>
                <w:sz w:val="20"/>
                <w:szCs w:val="20"/>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45,101</w:t>
            </w: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160" w:type="dxa"/>
            <w:vAlign w:val="bottom"/>
            <w:gridSpan w:val="2"/>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00" w:type="dxa"/>
            <w:vAlign w:val="bottom"/>
            <w:gridSpan w:val="7"/>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257"/>
        </w:trPr>
        <w:tc>
          <w:tcPr>
            <w:tcW w:w="40" w:type="dxa"/>
            <w:vAlign w:val="bottom"/>
          </w:tcPr>
          <w:p>
            <w:pPr>
              <w:spacing w:after="0"/>
              <w:rPr>
                <w:sz w:val="22"/>
                <w:szCs w:val="22"/>
                <w:color w:val="auto"/>
              </w:rPr>
            </w:pPr>
          </w:p>
        </w:tc>
        <w:tc>
          <w:tcPr>
            <w:tcW w:w="602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w:t>
            </w:r>
          </w:p>
        </w:tc>
      </w:tr>
      <w:tr>
        <w:trPr>
          <w:trHeight w:val="175"/>
        </w:trPr>
        <w:tc>
          <w:tcPr>
            <w:tcW w:w="40" w:type="dxa"/>
            <w:vAlign w:val="bottom"/>
          </w:tcPr>
          <w:p>
            <w:pPr>
              <w:spacing w:after="0"/>
              <w:rPr>
                <w:sz w:val="15"/>
                <w:szCs w:val="15"/>
                <w:color w:val="auto"/>
              </w:rPr>
            </w:pPr>
          </w:p>
        </w:tc>
        <w:tc>
          <w:tcPr>
            <w:tcW w:w="602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reclassified to net income (loss) on sale</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 disposal of business</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r>
      <w:tr>
        <w:trPr>
          <w:trHeight w:val="175"/>
        </w:trPr>
        <w:tc>
          <w:tcPr>
            <w:tcW w:w="40" w:type="dxa"/>
            <w:vAlign w:val="bottom"/>
          </w:tcPr>
          <w:p>
            <w:pPr>
              <w:spacing w:after="0"/>
              <w:rPr>
                <w:sz w:val="15"/>
                <w:szCs w:val="15"/>
                <w:color w:val="auto"/>
              </w:rPr>
            </w:pPr>
          </w:p>
        </w:tc>
        <w:tc>
          <w:tcPr>
            <w:tcW w:w="60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unrealized gain (loss) on derivative instruments, designated as cash flow</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hedges</w:t>
            </w:r>
          </w:p>
        </w:tc>
        <w:tc>
          <w:tcPr>
            <w:tcW w:w="3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 w:type="dxa"/>
            <w:vAlign w:val="bottom"/>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w:t>
            </w:r>
          </w:p>
        </w:tc>
      </w:tr>
      <w:tr>
        <w:trPr>
          <w:trHeight w:val="223"/>
        </w:trPr>
        <w:tc>
          <w:tcPr>
            <w:tcW w:w="40" w:type="dxa"/>
            <w:vAlign w:val="bottom"/>
          </w:tcPr>
          <w:p>
            <w:pPr>
              <w:spacing w:after="0"/>
              <w:rPr>
                <w:sz w:val="19"/>
                <w:szCs w:val="19"/>
                <w:color w:val="auto"/>
              </w:rPr>
            </w:pPr>
          </w:p>
        </w:tc>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53,424</w:t>
            </w:r>
          </w:p>
        </w:tc>
      </w:tr>
      <w:tr>
        <w:trPr>
          <w:trHeight w:val="237"/>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43,877</w:t>
            </w:r>
          </w:p>
        </w:tc>
      </w:tr>
      <w:tr>
        <w:trPr>
          <w:trHeight w:val="257"/>
        </w:trPr>
        <w:tc>
          <w:tcPr>
            <w:tcW w:w="40" w:type="dxa"/>
            <w:vAlign w:val="bottom"/>
          </w:tcPr>
          <w:p>
            <w:pPr>
              <w:spacing w:after="0"/>
              <w:rPr>
                <w:sz w:val="22"/>
                <w:szCs w:val="22"/>
                <w:color w:val="auto"/>
              </w:rPr>
            </w:pPr>
          </w:p>
        </w:tc>
        <w:tc>
          <w:tcPr>
            <w:tcW w:w="6020" w:type="dxa"/>
            <w:vAlign w:val="bottom"/>
            <w:gridSpan w:val="2"/>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 net of tax</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57"/>
        </w:trPr>
        <w:tc>
          <w:tcPr>
            <w:tcW w:w="40" w:type="dxa"/>
            <w:vAlign w:val="bottom"/>
          </w:tcPr>
          <w:p>
            <w:pPr>
              <w:spacing w:after="0"/>
              <w:rPr>
                <w:sz w:val="22"/>
                <w:szCs w:val="22"/>
                <w:color w:val="auto"/>
              </w:rPr>
            </w:pPr>
          </w:p>
        </w:tc>
        <w:tc>
          <w:tcPr>
            <w:tcW w:w="6020" w:type="dxa"/>
            <w:vAlign w:val="bottom"/>
            <w:gridSpan w:val="2"/>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43,692</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46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76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2"/>
                <w:szCs w:val="22"/>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6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302,049</w:t>
            </w:r>
          </w:p>
        </w:tc>
      </w:tr>
      <w:tr>
        <w:trPr>
          <w:trHeight w:val="230"/>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303,821</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283,686</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159,882</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1,049,438</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128,806</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247,211</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38,836</w:t>
            </w:r>
          </w:p>
        </w:tc>
      </w:tr>
      <w:tr>
        <w:trPr>
          <w:trHeight w:val="229"/>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r>
      <w:tr>
        <w:trPr>
          <w:trHeight w:val="229"/>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1,052,504</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60" w:type="dxa"/>
            <w:vAlign w:val="bottom"/>
            <w:shd w:val="clear" w:color="auto" w:fill="CCEEFF"/>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199,520</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135,803</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537,236</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454,827</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r>
      <w:tr>
        <w:trPr>
          <w:trHeight w:val="230"/>
        </w:trPr>
        <w:tc>
          <w:tcPr>
            <w:tcW w:w="4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30"/>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176,028</w:t>
            </w:r>
          </w:p>
        </w:tc>
      </w:tr>
      <w:tr>
        <w:trPr>
          <w:trHeight w:val="223"/>
        </w:trPr>
        <w:tc>
          <w:tcPr>
            <w:tcW w:w="40" w:type="dxa"/>
            <w:vAlign w:val="bottom"/>
          </w:tcPr>
          <w:p>
            <w:pPr>
              <w:spacing w:after="0"/>
              <w:rPr>
                <w:sz w:val="19"/>
                <w:szCs w:val="19"/>
                <w:color w:val="auto"/>
              </w:rPr>
            </w:pPr>
          </w:p>
        </w:tc>
        <w:tc>
          <w:tcPr>
            <w:tcW w:w="67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1,272,832</w:t>
            </w:r>
          </w:p>
        </w:tc>
      </w:tr>
      <w:tr>
        <w:trPr>
          <w:trHeight w:val="257"/>
        </w:trPr>
        <w:tc>
          <w:tcPr>
            <w:tcW w:w="40" w:type="dxa"/>
            <w:vAlign w:val="bottom"/>
          </w:tcPr>
          <w:p>
            <w:pPr>
              <w:spacing w:after="0"/>
              <w:rPr>
                <w:sz w:val="22"/>
                <w:szCs w:val="22"/>
                <w:color w:val="auto"/>
              </w:rPr>
            </w:pPr>
          </w:p>
        </w:tc>
        <w:tc>
          <w:tcPr>
            <w:tcW w:w="67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4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670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45,131 and 45,512 shares</w:t>
            </w: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24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1,820,510</w:t>
            </w:r>
          </w:p>
        </w:tc>
      </w:tr>
      <w:tr>
        <w:trPr>
          <w:trHeight w:val="229"/>
        </w:trPr>
        <w:tc>
          <w:tcPr>
            <w:tcW w:w="40" w:type="dxa"/>
            <w:vAlign w:val="bottom"/>
          </w:tcPr>
          <w:p>
            <w:pPr>
              <w:spacing w:after="0"/>
              <w:rPr>
                <w:sz w:val="19"/>
                <w:szCs w:val="19"/>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(81,190)</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(428,409)</w:t>
            </w:r>
          </w:p>
        </w:tc>
      </w:tr>
      <w:tr>
        <w:trPr>
          <w:trHeight w:val="223"/>
        </w:trPr>
        <w:tc>
          <w:tcPr>
            <w:tcW w:w="40" w:type="dxa"/>
            <w:vAlign w:val="bottom"/>
          </w:tcPr>
          <w:p>
            <w:pPr>
              <w:spacing w:after="0"/>
              <w:rPr>
                <w:sz w:val="19"/>
                <w:szCs w:val="19"/>
                <w:color w:val="auto"/>
              </w:rPr>
            </w:pP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1,310,911</w:t>
            </w:r>
          </w:p>
        </w:tc>
      </w:tr>
      <w:tr>
        <w:trPr>
          <w:trHeight w:val="230"/>
        </w:trPr>
        <w:tc>
          <w:tcPr>
            <w:tcW w:w="4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w:t>
            </w:r>
          </w:p>
        </w:tc>
      </w:tr>
      <w:tr>
        <w:trPr>
          <w:trHeight w:val="223"/>
        </w:trPr>
        <w:tc>
          <w:tcPr>
            <w:tcW w:w="40" w:type="dxa"/>
            <w:vAlign w:val="bottom"/>
          </w:tcPr>
          <w:p>
            <w:pPr>
              <w:spacing w:after="0"/>
              <w:rPr>
                <w:sz w:val="19"/>
                <w:szCs w:val="19"/>
                <w:color w:val="auto"/>
              </w:rPr>
            </w:pPr>
          </w:p>
        </w:tc>
        <w:tc>
          <w:tcPr>
            <w:tcW w:w="67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1,331,431</w:t>
            </w:r>
          </w:p>
        </w:tc>
      </w:tr>
      <w:tr>
        <w:trPr>
          <w:trHeight w:val="248"/>
        </w:trPr>
        <w:tc>
          <w:tcPr>
            <w:tcW w:w="4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2,604,263</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98"/>
        </w:trPr>
        <w:tc>
          <w:tcPr>
            <w:tcW w:w="282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1,779,775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1,142,759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53,424</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39"/>
        </w:trPr>
        <w:tc>
          <w:tcPr>
            <w:tcW w:w="2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(16,629)</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1,788,479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(94,674)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(525,332)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1,168,473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1,191,556</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98,318</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13,484</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27,292</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1,310,911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1,331,431</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241,124</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stock-based compensation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42,531</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Payments on call spread for convertible</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(82,304)</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offering, net of tax</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Registration fee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Excise tax related to shares repurchased</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December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1,689,835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1,411,428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ITRON,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98,318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195"/>
        </w:trPr>
        <w:tc>
          <w:tcPr>
            <w:tcW w:w="6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66,763</w:t>
            </w:r>
          </w:p>
        </w:tc>
        <w:tc>
          <w:tcPr>
            <w:tcW w:w="0" w:type="dxa"/>
            <w:vAlign w:val="bottom"/>
          </w:tcPr>
          <w:p>
            <w:pPr>
              <w:spacing w:after="0"/>
              <w:rPr>
                <w:sz w:val="1"/>
                <w:szCs w:val="1"/>
                <w:color w:val="auto"/>
              </w:rPr>
            </w:pPr>
          </w:p>
        </w:tc>
      </w:tr>
      <w:tr>
        <w:trPr>
          <w:trHeight w:val="195"/>
        </w:trPr>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43,874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21,881</w:t>
            </w:r>
          </w:p>
        </w:tc>
        <w:tc>
          <w:tcPr>
            <w:tcW w:w="0" w:type="dxa"/>
            <w:vAlign w:val="bottom"/>
          </w:tcPr>
          <w:p>
            <w:pPr>
              <w:spacing w:after="0"/>
              <w:rPr>
                <w:sz w:val="1"/>
                <w:szCs w:val="1"/>
                <w:color w:val="auto"/>
              </w:rPr>
            </w:pPr>
          </w:p>
        </w:tc>
      </w:tr>
      <w:tr>
        <w:trPr>
          <w:trHeight w:val="195"/>
        </w:trPr>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taxes,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(32,635)</w:t>
            </w:r>
          </w:p>
        </w:tc>
        <w:tc>
          <w:tcPr>
            <w:tcW w:w="0" w:type="dxa"/>
            <w:vAlign w:val="bottom"/>
          </w:tcPr>
          <w:p>
            <w:pPr>
              <w:spacing w:after="0"/>
              <w:rPr>
                <w:sz w:val="1"/>
                <w:szCs w:val="1"/>
                <w:color w:val="auto"/>
              </w:rPr>
            </w:pPr>
          </w:p>
        </w:tc>
      </w:tr>
      <w:tr>
        <w:trPr>
          <w:trHeight w:val="195"/>
        </w:trPr>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Goodwill impairment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38,480</w:t>
            </w:r>
          </w:p>
        </w:tc>
        <w:tc>
          <w:tcPr>
            <w:tcW w:w="0" w:type="dxa"/>
            <w:vAlign w:val="bottom"/>
          </w:tcPr>
          <w:p>
            <w:pPr>
              <w:spacing w:after="0"/>
              <w:rPr>
                <w:sz w:val="1"/>
                <w:szCs w:val="1"/>
                <w:color w:val="auto"/>
              </w:rPr>
            </w:pPr>
          </w:p>
        </w:tc>
      </w:tr>
      <w:tr>
        <w:trPr>
          <w:trHeight w:val="195"/>
        </w:trPr>
        <w:tc>
          <w:tcPr>
            <w:tcW w:w="6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Restructuring, non-cash</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adjustments,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and sale of business: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45,085</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44,700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(21,749)</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Unearned 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18,466</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Warranty</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Restructuring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(40,981)</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operating,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238,175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(payments) related to the sale of business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(19,747)</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Business acquisitions, net of cash and cash equivalents acquired</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investing, net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0" w:type="dxa"/>
            <w:vAlign w:val="bottom"/>
          </w:tcPr>
          <w:p>
            <w:pPr>
              <w:spacing w:after="0"/>
              <w:rPr>
                <w:sz w:val="1"/>
                <w:szCs w:val="1"/>
                <w:color w:val="auto"/>
              </w:rPr>
            </w:pPr>
          </w:p>
        </w:tc>
      </w:tr>
      <w:tr>
        <w:trPr>
          <w:trHeight w:val="189"/>
        </w:trPr>
        <w:tc>
          <w:tcPr>
            <w:tcW w:w="6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on call spread for convertible offering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(16,972)</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debt fees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financing,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579,573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(18,737)</w:t>
            </w:r>
          </w:p>
        </w:tc>
        <w:tc>
          <w:tcPr>
            <w:tcW w:w="0" w:type="dxa"/>
            <w:vAlign w:val="bottom"/>
          </w:tcPr>
          <w:p>
            <w:pPr>
              <w:spacing w:after="0"/>
              <w:rPr>
                <w:sz w:val="1"/>
                <w:szCs w:val="1"/>
                <w:color w:val="auto"/>
              </w:rPr>
            </w:pPr>
          </w:p>
        </w:tc>
      </w:tr>
      <w:tr>
        <w:trPr>
          <w:trHeight w:val="202"/>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749,188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39,428</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202,007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162,579</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1,051,237</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302,049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202,007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net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80,172</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54,550</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i w:val="1"/>
                <w:iCs w:val="1"/>
                <w:color w:val="auto"/>
              </w:rPr>
              <w:t>Non-cash operating, investing and financing activities: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Deferred tax effect of call spread offerings</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26,693</w:t>
            </w:r>
          </w:p>
        </w:tc>
        <w:tc>
          <w:tcPr>
            <w:tcW w:w="10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2024, 2023, and 2022 and the Consolidated Balance Sheets as of December 31, 2024 and 2023 of Itron, Inc. and its subsidiaries, prepared in accordance with U.S. generally accepted accounting principles (GAAP).</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economic impacts, such as pandemics and various ongoing conflicts around the world, may create disruption in customer demand and global supply chains, resulting in market volatility, which our management continues to monitor. In the aftermath of these types of events, global supply chains, including labor, may struggle to keep pace with rapidly changing demand. Temporary imbalance in supply and demand may create business uncertainties that include costs and availability. Efforts continue with suppliers to improve supply resiliency, including the approval of alternate sources. Additionally, inflation in our raw materials and component costs, freight charges, sanctions, tariffs, and labor costs may increase above historical levels due to, among other things, the continuing impacts of an uncertain economic environment. We may or may not be able to fully recover these increased costs through pricing actions with our customers. Currently, we have not identified any significant decrease in long-term customer demand for our products and services.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limited direct business exposure in areas with current conflict, such as Ukraine and Israel, military actions globally and any resulting sanctions or tariffs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tariffs, and resulting market and/or supply disruptions are impossible to predict but could be substantial, and our management continues to monitor these events closely</w:t>
      </w:r>
      <w:r>
        <w:rPr>
          <w:rFonts w:ascii="Times New Roman" w:cs="Times New Roman" w:eastAsia="Times New Roman" w:hAnsi="Times New Roman"/>
          <w:sz w:val="18"/>
          <w:szCs w:val="18"/>
          <w:color w:val="333333"/>
        </w:rPr>
        <w: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 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instruments with remaining maturities of three months or less at the date of acquisition to be cash equivalents.</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 We had $1.8 million pledged for standby letters of credit as of December 31, 2024 and 2023.</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progress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 or impairment losses recognized in conjunction with an announced or completed sale of a business, which are classified within loss on sale of business.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Prepaid Debt Fees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any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the date of acquisition, the assets acquired, liabilities assumed, and any noncontrolling interests in the acquiree are recognized at their fair values. The acquiree's results of operations are also included beginning on the date of acquisition in our consolidated results. Intangible assets that arise from contractual/legal rights, or are capable of being separated, are measured and recognized at fair value, and amortized over the estimated useful life.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certain that we will exercise that option. Lease expense for operating lease payments is recognized on a straight-line basis over the lease term.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10 years for core-developed technology and customer contracts and relationships. Fully amortized finite-lived intangible assets are removed from the presentation of gross intangible assets and accumulated amortization.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Bonus Compensation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various employee bonus compensation plans, which provide award amounts for the achievement of financial and nonfinancial targets. If management determines it is probable that the discretionary targets will be achieved and the amounts can be reasonably estimated, a compensation accrual is recognized based on the proportional achievement of the financial and nonfinancial targets. In addition, management or the Board of Directors may decide to grant monetary bonus awards, at their discretion, and we accrue such awards when it becomes probable they will be paid.</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the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If the employee must provide future service,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10 percent of the greater of plan assets or plan liabilities, we amortize them over the employees' average future service period.</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Plans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repurchase shares of Itron common stock under programs authorized by our Board of Directors.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Revenues and Service Revenues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majority of our revenues consist primarily of hardware sales, but may also include the license of software, software implementation services, cloud services and Software-as-a-Service (SaaS), project management services, installation services,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6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 are negotiated as a package with a single commercial objective.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to be paid in one contract depends on the price or performance of the other contract: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goods or services promised in the contracts (or some goods or services promised in each of the contracts) are a single performance obligation.</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the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do not accept product returns unless the item is defective as manufactured and covered by warranty. A warranty provision is estimated as deemed necessary.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Hardware revenue is recognized at a point in time. Transfer of control is typically at the time of shipment, receipt by the customer, or, if applicable, upon receipt of customer acceptance.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Perpetual software licenses are a right to use intellectual property and are recognized at a point in time. Transfer of control is at the point at which it is available to the customer to download and use or upon receipt of customer acceptance. In certain contracts, software licenses may be sold with implementation services that include a significant service of integrating,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customizing or modifying the software. In these instances, the software license is combined into single performance obligation with the implementation services and recognized over time as the implementation services are performed.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services are typically billed monthly in arrears or as milestones are achieved. Other services, including cloud services and SaaS arrangements, are commonly billed annually upfront resulting in a contract liability.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a separate good or service, and a portion of the transaction price is allocated to this extended warranty performance obligation. This revenue is recognized ratably over the extended warranty coverage period.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Hardware and software post-sale maintenance support fees are recognized ratably over the life of the related service contract. Support fees are typically billed in advance on an annual basis, resulting in a contract liability. Shipping and handling costs and incidental expenses billed to customers are recognized as revenue in the period incurred, with the associated cost charged to cost of revenues in the same period. We recognize sales, use, and value added taxes billed to our customers on a net basis consistent with the policy election permitted under Accounting Standards Codification (ASC) 606-10-32-2A.</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terms with customers can vary by customer; however, amounts billed are typically payable within 30 to 90 days, depending on the destination country. We do not typically offer financing as part of our contracts with customers.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and Software Development Costs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stock options was estimated at the date of grant using the Black-Scholes option-pricing model. Options to purchase our common stock were granted with an exercise price equal to the market close price of the stock on the date the Board of Directors approved the grant. Options generally became exercisable in three equal annual installments beginning one year from the date of grant and expiring 10 years from the date of grant. Expected volatility was based on a combination of the historical volatility of our common stock and the implied volatility of our traded options for the related expected term. We believe this combined approach was reflective of current and historical market conditions and was an appropriate indicator of expected volatility. The risk-free interest rate was the rate available as of the award date on zero-coupon U.S. government issues with a term equal to the expected term of the award. The expected term was the weighted average expected term of an award based on the period of time between the date the award was granted and the estimated date the award will be fully exercised. Factors considered in estimating the expected term included historical experience of similar awards, contractual terms, vesting schedules, and expectations of future employee behavior.</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(gains), net of hedging, of $(1.1) million, $3.1 million, and $2.9 million were included in other expenses, net, for the years ended December 31, 2024, 2023, and 2022.</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w:t>
      </w:r>
    </w:p>
    <w:p>
      <w:pPr>
        <w:spacing w:after="0" w:line="9" w:lineRule="exact"/>
        <w:rPr>
          <w:sz w:val="20"/>
          <w:szCs w:val="20"/>
          <w:color w:val="auto"/>
        </w:rPr>
      </w:pPr>
    </w:p>
    <w:p>
      <w:pPr>
        <w:jc w:val="both"/>
        <w:ind w:firstLine="8"/>
        <w:spacing w:after="0" w:line="253" w:lineRule="auto"/>
        <w:tabs>
          <w:tab w:leader="none" w:pos="41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which amends the reportable segment disclosure requirements,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disclosure requirements in ASU 2023-07 have been reflected in the segment disclosures within these consolidated financial statements and will be included in our interim financial reports beginning with the first quarter of 2025. See Note 16: Segment Information.</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amends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The FASB issued this update to improve annual basis income tax disclosures related to (1) rate reconciliation, (2) income taxes paid, and (3) other disclosures related to pretax income (or loss) and income tax expense (or benefit) from continuing operations. The effective date for this amendment is January 1, 2025, with early adoption permitted. These amendments are to be applied on a prospective basis; however, retrospective application is permitted. We are currently evaluating the impact this standard will have on our consolidated financial statement disclosures.</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new guidance is intended to enhance transparency and disclosures by requiring public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disclose additional information about specific expense categories in the notes to financial statements at interim and annual reporting periods. The ASU is effective for our annual report as of December 31, 2027, and for interim reporting periods beginning in the first quarter of 2028, with early adoption permitted. We are in the process of evaluating the impact that the adoption of this ASU will have on our consolidated financial statements and related disclosures.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Debt Instruments</w:t>
      </w:r>
      <w:r>
        <w:rPr>
          <w:rFonts w:ascii="Times New Roman" w:cs="Times New Roman" w:eastAsia="Times New Roman" w:hAnsi="Times New Roman"/>
          <w:sz w:val="18"/>
          <w:szCs w:val="18"/>
          <w:color w:val="auto"/>
        </w:rPr>
        <w:t>. The new guidance clarifies the assessment of whether a transaction should be accounted for as an induced conversion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of convertible debt when changes are made to conversion features as part of an offer to settle the instrument. The ASU is effective beginning in 2026, with early adoption permitted. We will utilize this guidance for any future induced conversions or extinguishments of our convertible notes.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239,105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w:t>
            </w:r>
          </w:p>
        </w:tc>
      </w:tr>
      <w:tr>
        <w:trPr>
          <w:trHeight w:val="256"/>
        </w:trPr>
        <w:tc>
          <w:tcPr>
            <w:tcW w:w="6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45,101</w:t>
            </w:r>
          </w:p>
        </w:tc>
      </w:tr>
      <w:tr>
        <w:trPr>
          <w:trHeight w:val="213"/>
        </w:trPr>
        <w:tc>
          <w:tcPr>
            <w:tcW w:w="6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Dilutive effect of convertible notes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46,187</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45,101</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9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1"/>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17,000, 0.3 million, and 0.7 million stock-based awards were excluded from the calculation of diluted EPS for the years ended December 31, 2024, 2023, and 2022, because they were anti-dilutive. These stock-based awards could be dilutive in future periods.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Convertible Notes and Share Hedges</w:t>
      </w: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Notes, Warrants and Call Option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our convertible notes issued in March 2021 (the 2021 Notes), the dilutive effect is calculated using the if-converted method. We are required, pursuant to the indenture governing the notes, to settle the principal amount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notes were converted. The average quarterly closing prices of our common stock for the year ended December 31, 2024 were used as the basis for determining the dilutive effect on EPS. The quarterly average closing prices for our common stock did not exceed the conversion price of $126.00, and therefore all associated shares were anti-dilutive.</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issuance of the 2021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year ended December 31, 2024, the quarterly average closing prices of our common stock did not exceed the warrant strike price and therefore 3.7 million shares were considered anti-dilutive.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2021 Notes, we entered into privately negotiated call option contracts on our common stock (the 2021 call option transactions) with certain commercial banks. The 2021 call option transactions cover, subject to anti-dilution adjustments substantially similar to those in the 2021 Notes, approximately 3.7 million shares of our common stock, the same number of shares initially underlying the notes, at a strike price of approximately $126.00, subject to customary adjustments. The 2021 call option transactions will expire upon the maturity of the 2021 Notes, subject to earlier exercise or termination. Exercise of the 2021 call option transactions would reduce the number of shares of our common stock outstanding and therefore would be anti-dilutive.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 and Capped Call Transactions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our convertible notes issued in June 2024 (the 2024 Notes), the dilutive effect is calculated using the if-converted method. We are required, pursuant to the indenture governing our convertible notes, to settle the principal amount of the convertible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quarterly closing prices of our common stock for the year ended December 31, 2024 were used as the basis for determining the dilutive effect on EPS. The quarterly average closing prices for our common stock did not exceed the conversion price of $131.24, and therefore all associated shares were anti-dilutive.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(the 2024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 Exercise of the 2024 capped call transactions would reduce the number of shares of our common stock outstanding and therefore would be anti-dilutive.</w:t>
      </w:r>
    </w:p>
    <w:p>
      <w:pPr>
        <w:spacing w:after="0" w:line="2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$417 and $738)</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295,341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272,890</w:t>
            </w: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30,931</w:t>
            </w:r>
          </w:p>
        </w:tc>
      </w:tr>
      <w:tr>
        <w:trPr>
          <w:trHeight w:val="237"/>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350,473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credit losses account activity</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12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13"/>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written-off, net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198,995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213,303</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0" w:type="dxa"/>
            <w:vAlign w:val="bottom"/>
          </w:tcPr>
          <w:p>
            <w:pPr>
              <w:spacing w:after="0"/>
              <w:rPr>
                <w:sz w:val="1"/>
                <w:szCs w:val="1"/>
                <w:color w:val="auto"/>
              </w:rPr>
            </w:pPr>
          </w:p>
        </w:tc>
      </w:tr>
      <w:tr>
        <w:trPr>
          <w:trHeight w:val="210"/>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inventories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270,725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283,686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2"/>
        </w:trPr>
        <w:tc>
          <w:tcPr>
            <w:tcW w:w="6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318,546</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119,818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126,149</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126,041</w:t>
            </w: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c>
          <w:tcPr>
            <w:tcW w:w="0" w:type="dxa"/>
            <w:vAlign w:val="bottom"/>
          </w:tcPr>
          <w:p>
            <w:pPr>
              <w:spacing w:after="0"/>
              <w:rPr>
                <w:sz w:val="1"/>
                <w:szCs w:val="1"/>
                <w:color w:val="auto"/>
              </w:rPr>
            </w:pP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560,187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602,898</w:t>
            </w:r>
          </w:p>
        </w:tc>
        <w:tc>
          <w:tcPr>
            <w:tcW w:w="0" w:type="dxa"/>
            <w:vAlign w:val="bottom"/>
          </w:tcPr>
          <w:p>
            <w:pPr>
              <w:spacing w:after="0"/>
              <w:rPr>
                <w:sz w:val="1"/>
                <w:szCs w:val="1"/>
                <w:color w:val="auto"/>
              </w:rPr>
            </w:pPr>
          </w:p>
        </w:tc>
      </w:tr>
      <w:tr>
        <w:trPr>
          <w:trHeight w:val="21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(444,759)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(474,092)</w:t>
            </w:r>
          </w:p>
        </w:tc>
        <w:tc>
          <w:tcPr>
            <w:tcW w:w="0" w:type="dxa"/>
            <w:vAlign w:val="bottom"/>
          </w:tcPr>
          <w:p>
            <w:pPr>
              <w:spacing w:after="0"/>
              <w:rPr>
                <w:sz w:val="1"/>
                <w:szCs w:val="1"/>
                <w:color w:val="auto"/>
              </w:rPr>
            </w:pPr>
          </w:p>
        </w:tc>
      </w:tr>
      <w:tr>
        <w:trPr>
          <w:trHeight w:val="210"/>
        </w:trPr>
        <w:tc>
          <w:tcPr>
            <w:tcW w:w="60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115,428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128,806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41,046</w:t>
            </w: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90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37"/>
        </w:trPr>
        <w:tc>
          <w:tcPr>
            <w:tcW w:w="3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Elpis2, Inc. (Elpis Squared), a privately held software and services company. The purchase resulted in the addition of intangible assets of $15.0 million including $12.5 million identified core-developed technology and $2.5 million of customer contracts and relationships. The core-developed technology and customer contract and relationships will be amortized over the weighted-average five-year and three-year useful lives, respectively, using the straight-line method. Refer to Note 5: Goodwill and Note 18: Business Combination for additional information.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Assumed intangible liabilities reflect the present value of the projected cash outflows for a then existing contract for which remaining costs were expected to exceed projected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9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13,614</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3"/>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37"/>
        </w:trPr>
        <w:tc>
          <w:tcPr>
            <w:tcW w:w="9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43,109</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 all amortization expense within Amortization of intangible assets in the Consolidated Statements of Operations. These expenses relate to intangible assets acquired and liabilities assumed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years ended December 31, 2024 and 2023:</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40"/>
        </w:trPr>
        <w:tc>
          <w:tcPr>
            <w:tcW w:w="47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1,038,721</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13,783</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December 31, 2023</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911,847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1,052,504</w:t>
            </w:r>
          </w:p>
        </w:tc>
      </w:tr>
      <w:tr>
        <w:trPr>
          <w:trHeight w:val="239"/>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acquired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19,251</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w:t>
            </w:r>
          </w:p>
        </w:tc>
      </w:tr>
      <w:tr>
        <w:trPr>
          <w:trHeight w:val="237"/>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1,052,130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firstLine="8"/>
        <w:spacing w:after="0" w:line="288" w:lineRule="auto"/>
        <w:tabs>
          <w:tab w:leader="none" w:pos="149"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 xml:space="preserve">On March 1, 2024, we acquired Elpis Squared. The purchase resulted in the recognition of $19.7 million in goodwill allocated to our Outcomes operating segment and reporting unit. In </w:t>
      </w:r>
      <w:r>
        <w:rPr>
          <w:rFonts w:ascii="Times New Roman" w:cs="Times New Roman" w:eastAsia="Times New Roman" w:hAnsi="Times New Roman"/>
          <w:sz w:val="15"/>
          <w:szCs w:val="15"/>
          <w:color w:val="auto"/>
        </w:rPr>
        <w:t>the fourth quarter of</w:t>
      </w:r>
      <w:r>
        <w:rPr>
          <w:rFonts w:ascii="Times New Roman" w:cs="Times New Roman" w:eastAsia="Times New Roman" w:hAnsi="Times New Roman"/>
          <w:sz w:val="14"/>
          <w:szCs w:val="14"/>
          <w:color w:val="auto"/>
        </w:rPr>
        <w:t xml:space="preserve"> 2024, a tax adjustment reduced the goodwill acquired related to Elpis Squared to $19.3 million. Refer to Note 4: Intangible Assets and Liabilities and Note 18: Business Combination for additional information on the transaction.</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accumulated goodwill impairment losses at December 31, 2024 and 2023 were $714.9 million. The goodwill impairment losses were originally recognized in 2011, 2013, and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test goodwill for impairment each year as of October 1. 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Based on the results of the annual impairment testing for our reporting units performed as of October 1, 2024, no adjustments to the carrying value of goodwill were required. Refer to Note 1: Summary of Significant Accounting Policies for further details regarding the annual goodwill impairment process.</w:t>
      </w:r>
    </w:p>
    <w:p>
      <w:pPr>
        <w:spacing w:after="0" w:line="20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0"/>
        </w:trPr>
        <w:tc>
          <w:tcPr>
            <w:tcW w:w="6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3"/>
        </w:trPr>
        <w:tc>
          <w:tcPr>
            <w:tcW w:w="6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Less: unamortized prepaid debt fees - convertible notes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34"/>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1,242,424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credit facility,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(the term loan) included in the original facility was fully repaid in August 2021.</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thresholds and place certain restrictions on the incurrence of debt, investments, and the issuance of dividends. We were in compliance with the debt covenants under the 2018 credit facility at December 31,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The cessation of LIBOR occurred in June 2023</w:t>
      </w:r>
      <w:r>
        <w:rPr>
          <w:rFonts w:ascii="Cambria" w:cs="Cambria" w:eastAsia="Cambria" w:hAnsi="Cambria"/>
          <w:sz w:val="19"/>
          <w:szCs w:val="19"/>
          <w:b w:val="1"/>
          <w:bCs w:val="1"/>
          <w:color w:val="1F497D"/>
        </w:rPr>
        <w:t>.</w:t>
      </w:r>
      <w:r>
        <w:rPr>
          <w:rFonts w:ascii="Times New Roman" w:cs="Times New Roman" w:eastAsia="Times New Roman" w:hAnsi="Times New Roman"/>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modified debt covenant provisions to allow for the addback of non-recurring cash expenses related to restructuring charges incurred during the quarter ended March 31, 2023. On October 13, 2023, we entered into a seventh amendment to extend the maturity date to October 18, 2026. However, that date may be advanced to December 14, 2025 if Itron does not settle or extend a sufficient portion of outstanding convertible notes detailed in the amendment. In addition, the amendment revises the interest cost,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Leverage Ratio</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Cost</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Fee</w:t>
            </w:r>
          </w:p>
        </w:tc>
      </w:tr>
      <w:tr>
        <w:trPr>
          <w:trHeight w:val="212"/>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4.00</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+ 250 bps</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bps</w:t>
            </w:r>
          </w:p>
        </w:tc>
      </w:tr>
      <w:tr>
        <w:trPr>
          <w:trHeight w:val="21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3.51 to 4.00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+ 225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 bps</w:t>
            </w:r>
          </w:p>
        </w:tc>
      </w:tr>
      <w:tr>
        <w:trPr>
          <w:trHeight w:val="21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2.51 to 3.50</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SOFR + 200 bps</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bps</w:t>
            </w:r>
          </w:p>
        </w:tc>
      </w:tr>
      <w:tr>
        <w:trPr>
          <w:trHeight w:val="21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or equal to 2.50</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SOFR + 175 bps</w:t>
            </w:r>
          </w:p>
        </w:tc>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bps</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14, 2024, we entered into an eighth amendment of the 2018 credit facility. In contemplation of the issuance of the 2024 convertible notes, this amendment to the Credit Agreement removed the $500 million maximum amount of convertible notes we could offer.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there were no outstanding loan balances under the 2018 credit facility, and $46.0 million was utilized by outstanding standby letters of credit, resulting in $454.0 million available for additional borrowings. At December 31, 2024</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$254.0 million was available for additional standby letters of credit under the letter of credit sub-facility, and no amounts were outstanding under the swingline sub-facility.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2021, we closed the sale of $460 million of convertible notes in a private placement to qualified institutional buyers, resulting in net proceeds to us of $448.5 million after deducting initial purchasers' discounts of the offering. The 2021 Notes do not bear regular interest, and the principal amount does not accrete. The 2021 Notes will mature on March 15, 2026, unless earlier repurchased, redeemed, or converted in accordance with their terms. No sinking fund is provided for the 2021 Notes.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2021 Notes is 7.9365 shares of our common stock per $1,000 principal amount of notes, which is equivalent to an initial conversion price of approximately $126.00 per share. The conversion rate is subject to adjustment upon the occurrence of certain specified events. In addition, upon the occurrence of a make-whole fundamental change (as defined in the indenture governing the 2021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December 15, 2025, the 2021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2021 Notes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convert all or a portion of their notes at any time. Upon conversion, we will pay cash up to the aggregate principal amount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March 20, 2024 and prior to December 15, 2025, we may redeem for cash all or part of the 2021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2024, we closed the sale of $805 million of convertible notes in a private placement to qualified institutional buyers, resulting in net proceeds to us of $784 million after deducting initial purchasers' discounts of the offering. The 2024 Notes accrue interest at a rate of 1.375% per annum, payable semi-annually in arrears on January 15 and July 15 of each year, beginning on January 15, 2025. The 2024 Notes mature on July 15, 2030, unless earlier repurchased, redeemed, or converted in accordance with their terms.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conversion rate of the 2024 Notes is 7.6199 shares of our common stock per $1,000 principal amount of notes, which is equivalent to an initial conversion price of approximately $131.24 per share. The conversion rate of the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notes in connection with such make-whole fundamental change or notice of redemption, as the case may be.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15, 2030, the 2024 Notes are convertible at the option of the holders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the notes for each trading day of the measurement period was less than 98% of the product of the last reported sale price of the common stock and the conversion rate on each such trading day; (3) upon the occurrence of specified corporate events; or (4) upon redemption by us. On or after April 15, 2030, until the close of business on the second scheduled trading day immediately preceding July 15, 2030, holders of the notes may convert all or a portion of their notes at any time. Upon conversion, we will pay cash up to the aggregate principal amount of the notes to be converted and pay and/or deliver, as the case may be, cash, shares of common stock or a combination of cash and shares of common stock, at our election, in respect of the remainder, if any, of our conversion obligation in excess of the aggregate principal amount of the notes being converted.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July 20, 2028 and prior to April 15, 2030, we may redeem for cash all or part of the 2024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However, we may not redeem less than all of the outstanding notes unless at least $100.0 million aggregate principal amount of notes are outstanding and not called for redemption as of the time we send related redemption notices. The redemption price of each note to be redeemed will be the principal amount of such note, plus accrued and unpaid special interest, if any. Upon the occurrence of a fundamental change (as defined in the indenture governing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2024 Notes), subject to a limited exception described in the indenture governing the notes, holders may require us to repurchase all or a portion of their notes for cash at a price equal to plus accrued and unpaid special interest to, but not including, the fundamental change repurchase date (as defined in the indenture governing the 2024 Notes).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Notes are senior unsecured obligations and rank equally in right of payment with all of our existing and future unsubordinated debt and senior in right of payment to any future debt that is expressly subordinated in right of payment to the notes. The notes will be effectively subordinated to any of our existing and future secured debt to the extent of the assets securing such indebtedness. The notes will be structurally subordinated to all existing debt and any future debt and any other liabilities of our subsidiaries.</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8"/>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460,000</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805,000</w:t>
            </w:r>
          </w:p>
        </w:tc>
      </w:tr>
      <w:tr>
        <w:trPr>
          <w:trHeight w:val="237"/>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2024, a total of 35 contracts were offsetting our exposures from the euro, pound sterling, Indonesian rupiah, Canadian dollar, Australian dollar, and various other currencies, with notional amounts ranging from $104,000 to $32.3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India, and Indonesia. The defined benefit obligation is calculated annually by using the projected unit credit method. The measurement date for the pension plans was December 31,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components of the changes in benefit obligations and fair value of plan assets</w:t>
      </w:r>
      <w:r>
        <w:rPr>
          <w:rFonts w:ascii="Times New Roman" w:cs="Times New Roman" w:eastAsia="Times New Roman" w:hAnsi="Times New Roman"/>
          <w:sz w:val="16"/>
          <w:szCs w:val="16"/>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benefit obligation: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January 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69,739</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Service cost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Actuarial gain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obligation at December 31,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76,270</w:t>
            </w:r>
          </w:p>
        </w:tc>
      </w:tr>
      <w:tr>
        <w:trPr>
          <w:trHeight w:val="239"/>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plan assets: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January 1,</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8,662</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Company contributions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Benefits paid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exchange rate changes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Fair value of plan assets at December 31,</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8,840</w:t>
            </w:r>
          </w:p>
        </w:tc>
      </w:tr>
      <w:tr>
        <w:trPr>
          <w:trHeight w:val="235"/>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pension benefit obligation at fair value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63,887</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OCI (pre-tax)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(gain)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(24,316)</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 asset (gain) loss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actuarial gain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(25,225)</w:t>
            </w:r>
          </w:p>
        </w:tc>
      </w:tr>
      <w:tr>
        <w:trPr>
          <w:trHeight w:val="2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actuarial gains and losses exceed 10 percent of the greater of plan assets or plan liabilities, we amortize them over the employees' average future service period. The estimated net actuarial gain and prior service cost that will be amortized from AOCI into net periodic benefit cost during 2025 is $0.2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(gain) loss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Curtailment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5,978</w:t>
            </w:r>
          </w:p>
        </w:tc>
      </w:tr>
      <w:tr>
        <w:trPr>
          <w:trHeight w:val="2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significant actuarial weighted average assumptions used in determining the benefit obligations and net periodic benefit cost for our benefit plans are as follows:</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Actuarial assumptions used to determine benefit obligations at end of period:</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9"/>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r>
      <w:tr>
        <w:trPr>
          <w:trHeight w:val="21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Expected annual rate of compensation increase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r>
      <w:tr>
        <w:trPr>
          <w:trHeight w:val="21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Actuarial assumptions used to determine net periodic benefit cost for the period:</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1.93 %</w:t>
            </w:r>
          </w:p>
        </w:tc>
      </w:tr>
      <w:tr>
        <w:trPr>
          <w:trHeight w:val="219"/>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Expected rate of return on plan assets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3.45 %</w:t>
            </w:r>
          </w:p>
        </w:tc>
      </w:tr>
      <w:tr>
        <w:trPr>
          <w:trHeight w:val="210"/>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Expected annual rate of compensation increase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r>
    </w:tbl>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a discount rate for our plans based on the estimated duration of each plan's liabilities. For euro denominated defined benefit pension plans, which represent 80%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 used, depending on the duration of the plans, were between 3.00% and 3.50%.</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accumulated benefit obligation for our defined benefit pension plans was $63.5 million and $68.8 million at December 31, 2024 and 2023.</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obligations and fair value of plan assets for plans with projected benefit obligations and accumulated benefit obligations exceeding the fair value of plan assets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37"/>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75,182</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68,022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funding policy for these qualified pension plans is to contribute amounts sufficient to satisfy regulatory funding standards of the respective countries for each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plan investments by asset category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6"/>
                <w:szCs w:val="16"/>
                <w:color w:val="auto"/>
              </w:rPr>
            </w:pPr>
          </w:p>
        </w:tc>
        <w:tc>
          <w:tcPr>
            <w:tcW w:w="15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00" w:type="dxa"/>
            <w:vAlign w:val="bottom"/>
          </w:tcPr>
          <w:p>
            <w:pPr>
              <w:spacing w:after="0"/>
              <w:rPr>
                <w:sz w:val="14"/>
                <w:szCs w:val="14"/>
                <w:color w:val="auto"/>
              </w:rPr>
            </w:pPr>
          </w:p>
        </w:tc>
        <w:tc>
          <w:tcPr>
            <w:tcW w:w="15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0" w:type="dxa"/>
            <w:vAlign w:val="bottom"/>
          </w:tcPr>
          <w:p>
            <w:pPr>
              <w:spacing w:after="0"/>
              <w:rPr>
                <w:sz w:val="1"/>
                <w:szCs w:val="1"/>
                <w:color w:val="auto"/>
              </w:rPr>
            </w:pP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fair value of plan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07"/>
        </w:trPr>
        <w:tc>
          <w:tcPr>
            <w:tcW w:w="6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fair value of plan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reconciliation of Level 3 assets held during the years ended December 31, 2024 and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Realized and</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 Purchases,</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 Foreign</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7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Gains/(Loss)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31, 2024</w:t>
            </w:r>
          </w:p>
        </w:tc>
        <w:tc>
          <w:tcPr>
            <w:tcW w:w="0" w:type="dxa"/>
            <w:vAlign w:val="bottom"/>
          </w:tcPr>
          <w:p>
            <w:pPr>
              <w:spacing w:after="0"/>
              <w:rPr>
                <w:sz w:val="1"/>
                <w:szCs w:val="1"/>
                <w:color w:val="auto"/>
              </w:rPr>
            </w:pPr>
          </w:p>
        </w:tc>
      </w:tr>
      <w:tr>
        <w:trPr>
          <w:trHeight w:val="211"/>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2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160" w:type="dxa"/>
            <w:vAlign w:val="bottom"/>
          </w:tcPr>
          <w:p>
            <w:pPr>
              <w:spacing w:after="0"/>
              <w:rPr>
                <w:sz w:val="23"/>
                <w:szCs w:val="2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Realized and</w:t>
            </w:r>
          </w:p>
        </w:tc>
        <w:tc>
          <w:tcPr>
            <w:tcW w:w="20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 Purchases,</w:t>
            </w:r>
          </w:p>
        </w:tc>
        <w:tc>
          <w:tcPr>
            <w:tcW w:w="180" w:type="dxa"/>
            <w:vAlign w:val="bottom"/>
          </w:tcPr>
          <w:p>
            <w:pPr>
              <w:spacing w:after="0"/>
              <w:rPr>
                <w:sz w:val="23"/>
                <w:szCs w:val="23"/>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Effect of Foreign</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0" w:type="dxa"/>
            <w:vAlign w:val="bottom"/>
          </w:tcPr>
          <w:p>
            <w:pPr>
              <w:spacing w:after="0"/>
              <w:rPr>
                <w:sz w:val="1"/>
                <w:szCs w:val="1"/>
                <w:color w:val="auto"/>
              </w:rPr>
            </w:pPr>
          </w:p>
        </w:tc>
      </w:tr>
      <w:tr>
        <w:trPr>
          <w:trHeight w:val="162"/>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7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Issuances, Settlements,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Gains/(Loss)</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18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8"/>
                <w:szCs w:val="18"/>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0" w:type="dxa"/>
            <w:vAlign w:val="bottom"/>
          </w:tcPr>
          <w:p>
            <w:pPr>
              <w:spacing w:after="0"/>
              <w:rPr>
                <w:sz w:val="1"/>
                <w:szCs w:val="1"/>
                <w:color w:val="auto"/>
              </w:rPr>
            </w:pPr>
          </w:p>
        </w:tc>
      </w:tr>
      <w:tr>
        <w:trPr>
          <w:trHeight w:val="211"/>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funds</w:t>
            </w: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plan assets and contributions are not significant to our total company assets, no further disclosures are considered material.</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Year Ending December 31,</w:t>
            </w:r>
          </w:p>
        </w:tc>
        <w:tc>
          <w:tcPr>
            <w:tcW w:w="4100" w:type="dxa"/>
            <w:vAlign w:val="bottom"/>
          </w:tcPr>
          <w:p>
            <w:pPr>
              <w:spacing w:after="0"/>
              <w:rPr>
                <w:sz w:val="14"/>
                <w:szCs w:val="14"/>
                <w:color w:val="auto"/>
              </w:rPr>
            </w:pPr>
          </w:p>
        </w:tc>
        <w:tc>
          <w:tcPr>
            <w:tcW w:w="144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Annual Benefit</w:t>
            </w:r>
          </w:p>
        </w:tc>
        <w:tc>
          <w:tcPr>
            <w:tcW w:w="0" w:type="dxa"/>
            <w:vAlign w:val="bottom"/>
          </w:tcPr>
          <w:p>
            <w:pPr>
              <w:spacing w:after="0"/>
              <w:rPr>
                <w:sz w:val="1"/>
                <w:szCs w:val="1"/>
                <w:color w:val="auto"/>
              </w:rPr>
            </w:pPr>
          </w:p>
        </w:tc>
      </w:tr>
      <w:tr>
        <w:trPr>
          <w:trHeight w:val="214"/>
        </w:trPr>
        <w:tc>
          <w:tcPr>
            <w:tcW w:w="5700" w:type="dxa"/>
            <w:vAlign w:val="bottom"/>
            <w:tcBorders>
              <w:bottom w:val="single" w:sz="8" w:color="auto"/>
            </w:tcBorders>
            <w:vMerge w:val="continue"/>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2030-2034</w:t>
            </w:r>
          </w:p>
        </w:tc>
        <w:tc>
          <w:tcPr>
            <w:tcW w:w="4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13,991,273 shares of common stock authorized for issuance subject to stock splits, dividends, and other similar events, and at December 31, 2024, 4,590,590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under the Plan is reduced by (i) one share for every one share subject to a stock option or share appreciation right granted and (ii) 1.7 shares for every one share of common stock that was subject to an award other than an option or share appreciation right.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maintain the ESPP, for which 477,368 shares of common stock were available for future issuance at December 31, 2024.</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ESPP activity and stock-based grants other than stock options and restricted stock units were not significant for the years ended December 31, 2024, 2023, and 2022.</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r>
        <w:rPr>
          <w:rFonts w:ascii="Times New Roman" w:cs="Times New Roman" w:eastAsia="Times New Roman" w:hAnsi="Times New Roman"/>
          <w:sz w:val="16"/>
          <w:szCs w:val="16"/>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1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20,038</w:t>
            </w:r>
          </w:p>
        </w:tc>
      </w:tr>
      <w:tr>
        <w:trPr>
          <w:trHeight w:val="21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1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34"/>
        </w:trPr>
        <w:tc>
          <w:tcPr>
            <w:tcW w:w="6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7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4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7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3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Canceled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Outstanding and Exercisable, December 31,</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12,087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all stock-based compensation expense related to nonvested stock options has been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26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6"/>
                <w:szCs w:val="16"/>
                <w:color w:val="auto"/>
              </w:rPr>
            </w:pPr>
          </w:p>
        </w:tc>
        <w:tc>
          <w:tcPr>
            <w:tcW w:w="14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22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60" w:type="dxa"/>
            <w:vAlign w:val="bottom"/>
            <w:tcBorders>
              <w:top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0" w:type="dxa"/>
            <w:vAlign w:val="bottom"/>
          </w:tcPr>
          <w:p>
            <w:pPr>
              <w:spacing w:after="0"/>
              <w:rPr>
                <w:sz w:val="1"/>
                <w:szCs w:val="1"/>
                <w:color w:val="auto"/>
              </w:rPr>
            </w:pPr>
          </w:p>
        </w:tc>
      </w:tr>
      <w:tr>
        <w:trPr>
          <w:trHeight w:val="218"/>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gridSpan w:val="2"/>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38,260</w:t>
            </w:r>
          </w:p>
        </w:tc>
        <w:tc>
          <w:tcPr>
            <w:tcW w:w="0" w:type="dxa"/>
            <w:vAlign w:val="bottom"/>
          </w:tcPr>
          <w:p>
            <w:pPr>
              <w:spacing w:after="0"/>
              <w:rPr>
                <w:sz w:val="1"/>
                <w:szCs w:val="1"/>
                <w:color w:val="auto"/>
              </w:rPr>
            </w:pPr>
          </w:p>
        </w:tc>
      </w:tr>
      <w:tr>
        <w:trPr>
          <w:trHeight w:val="213"/>
        </w:trPr>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2024</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December 31, 2024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Shares released is presented as gross shares and does not reflect shares withheld by us for employee payroll tax obligations.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total unrecognized compensation expense on restricted stock units was $43.0 million, which is expected to be recognized over a weighted average period of approximately 1.6 years.</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56"/>
        </w:trPr>
        <w:tc>
          <w:tcPr>
            <w:tcW w:w="5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115.69</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phantom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Phantom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4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18"/>
                <w:szCs w:val="18"/>
                <w:color w:val="auto"/>
              </w:rPr>
            </w:pPr>
          </w:p>
        </w:tc>
        <w:tc>
          <w:tcPr>
            <w:tcW w:w="130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130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2022</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Outstanding, December 31, 2023</w:t>
            </w:r>
          </w:p>
        </w:tc>
        <w:tc>
          <w:tcPr>
            <w:tcW w:w="13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0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Released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31, 2024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total unrecognized compensation expense on phantom stock units was $5.1 million, which is expected to be recognized over a weighted average period of approximately 1.6 years. As of December 31, 2024 and 2023, we have recognized a phantom stock liability of $4.8 million and $4.4 million within wages and benefits payable in the Consolidated Balance Sheets.</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Defined Contribution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contribution plans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w:t>
            </w:r>
          </w:p>
        </w:tc>
      </w:tr>
    </w:tbl>
    <w:p>
      <w:pPr>
        <w:spacing w:after="0" w:line="3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guidance under the Base Erosion and Profit Shifting (BEPS) initiative aims to minimize perceived tax abuses and modernize global tax policy, including the implementation of a global minimum effective tax rate of 15%. In December 2022, the Council of the European Union adopted OECD Pillar 2 for implementation by European Union member states by December 31, 2023. The resulting legislation in most countries where Itron has significant operations is taking effect for calendar year 2024. The OECD continues to release more guidance on these rules and framework and we are evaluating the impact to our financial position. These enactments or amendments could adversely affect our tax rate and ultimately result in a negative impact on our operating results and cash flows. Based upon preliminary calculations for calendar year 2024, the Company anticipates it will meet the safe harbors in most jurisdictions, and any remaining top-up tax should be immaterial.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provision (benefit) for U.S. federal, state, and foreign taxes on income from continuing operations: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65,461</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w:t>
            </w:r>
          </w:p>
        </w:tc>
      </w:tr>
      <w:tr>
        <w:trPr>
          <w:trHeight w:val="207"/>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26,439</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(24,167)</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 and local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(23,832)</w:t>
            </w:r>
          </w:p>
        </w:tc>
      </w:tr>
      <w:tr>
        <w:trPr>
          <w:trHeight w:val="207"/>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(52,722)</w:t>
            </w:r>
          </w:p>
        </w:tc>
      </w:tr>
      <w:tr>
        <w:trPr>
          <w:trHeight w:val="259"/>
        </w:trPr>
        <w:tc>
          <w:tcPr>
            <w:tcW w:w="6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20,087</w:t>
            </w:r>
          </w:p>
        </w:tc>
      </w:tr>
      <w:tr>
        <w:trPr>
          <w:trHeight w:val="234"/>
        </w:trPr>
        <w:tc>
          <w:tcPr>
            <w:tcW w:w="6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provision (benefit) for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valuation allowance does not include the impacts of currency translation adjustments, acquisitions, or significant intercompany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 provision (benefit) as a percentage of income before tax was 15%, 23%, and 39% for 2024, 2023, and 2022. A reconciliation of income taxes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statutory rate of 21% to the consolidated actual tax rate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Domestic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230,120</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w:t>
            </w:r>
          </w:p>
        </w:tc>
      </w:tr>
      <w:tr>
        <w:trPr>
          <w:trHeight w:val="21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r>
      <w:tr>
        <w:trPr>
          <w:trHeight w:val="235"/>
        </w:trPr>
        <w:tc>
          <w:tcPr>
            <w:tcW w:w="6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income (loss)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127,386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federal income tax provision (benefit)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59,751</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Divestitures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earnings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(22,244)</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 including interest and penalties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tax rates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 provision (benefit), net of federal effect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tax provision on foreign earnings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goodwill impairment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Local foreign taxes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r>
      <w:tr>
        <w:trPr>
          <w:trHeight w:val="207"/>
        </w:trPr>
        <w:tc>
          <w:tcPr>
            <w:tcW w:w="60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provision (benefit) from income taxes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43,407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r>
      <w:tr>
        <w:trPr>
          <w:trHeight w:val="23"/>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Loss carryforwards</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397,686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419,327</w:t>
            </w:r>
          </w:p>
        </w:tc>
      </w:tr>
      <w:tr>
        <w:trPr>
          <w:trHeight w:val="216"/>
        </w:trPr>
        <w:tc>
          <w:tcPr>
            <w:tcW w:w="78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Tax credits</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23,441</w:t>
            </w:r>
          </w:p>
        </w:tc>
      </w:tr>
      <w:tr>
        <w:trPr>
          <w:trHeight w:val="216"/>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37,609</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plan benefits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Warranty reserves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64,959</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 valuation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12,264</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Capitalized research costs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151,418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113,465</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deferred tax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743,402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725,651</w:t>
            </w:r>
          </w:p>
        </w:tc>
      </w:tr>
      <w:tr>
        <w:trPr>
          <w:trHeight w:val="219"/>
        </w:trPr>
        <w:tc>
          <w:tcPr>
            <w:tcW w:w="78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(420,655)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(445,170)</w:t>
            </w:r>
          </w:p>
        </w:tc>
      </w:tr>
      <w:tr>
        <w:trPr>
          <w:trHeight w:val="207"/>
        </w:trPr>
        <w:tc>
          <w:tcPr>
            <w:tcW w:w="78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322,747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280,481</w:t>
            </w:r>
          </w:p>
        </w:tc>
      </w:tr>
      <w:tr>
        <w:trPr>
          <w:trHeight w:val="259"/>
        </w:trPr>
        <w:tc>
          <w:tcPr>
            <w:tcW w:w="7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(23,313)</w:t>
            </w:r>
          </w:p>
        </w:tc>
      </w:tr>
      <w:tr>
        <w:trPr>
          <w:trHeight w:val="213"/>
        </w:trPr>
        <w:tc>
          <w:tcPr>
            <w:tcW w:w="7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w:t>
            </w:r>
          </w:p>
        </w:tc>
      </w:tr>
      <w:tr>
        <w:trPr>
          <w:trHeight w:val="21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deferred tax liabilities,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r>
      <w:tr>
        <w:trPr>
          <w:trHeight w:val="207"/>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(33,967)</w:t>
            </w:r>
          </w:p>
        </w:tc>
      </w:tr>
      <w:tr>
        <w:trPr>
          <w:trHeight w:val="23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309,715</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246,514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left="340" w:hanging="332"/>
        <w:spacing w:after="0" w:line="232"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tax return purposes at December 31, 2024, we had U.S. federal loss carryforwards of $5.7 million, which begin to expire in the year 2025. At December 31, 2024, we have net operating loss carryforwards in Luxembourg of $1.3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2024, there was a valuation allowance of $420.7 million primarily associated with foreign loss carryforwards.</w:t>
      </w:r>
    </w:p>
    <w:p>
      <w:pPr>
        <w:spacing w:after="0" w:line="88" w:lineRule="exact"/>
        <w:rPr>
          <w:rFonts w:ascii="Times New Roman" w:cs="Times New Roman" w:eastAsia="Times New Roman" w:hAnsi="Times New Roman"/>
          <w:sz w:val="23"/>
          <w:szCs w:val="23"/>
          <w:color w:val="auto"/>
          <w:vertAlign w:val="superscript"/>
        </w:rPr>
      </w:pPr>
    </w:p>
    <w:p>
      <w:pPr>
        <w:ind w:left="340" w:hanging="332"/>
        <w:spacing w:after="0" w:line="220"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tax return purposes at December 31, 2024, we had: U.S. general business credits of $0.5 million, which begin to expire in 2040; U.S. foreign tax credits of $0.9 million, which begin to expire in 2034; and state tax credits of $43.2 million, which begin to expire in 2025.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valuation allowance for deferred tax assets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443,593</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adjustments</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(36,257)</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charged to costs and expenses</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20,087</w:t>
            </w: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 noncurrent</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420,655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427,423</w:t>
            </w:r>
          </w:p>
        </w:tc>
      </w:tr>
      <w:tr>
        <w:trPr>
          <w:trHeight w:val="20"/>
        </w:trPr>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valuation allowance, will be realized. The amount of deferred tax assets considered realizable, however, could be reduced in the near term if estimates of future taxable income during the carryforward periods are reduced.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provide U.S. deferred taxes on temporary differences related to our foreign investments that are considered permanent in duration. These temporary differences include undistributed foreign earnings of $38.2 million and $30.8 million at December 31, 2024 and 2023. Foreign taxes have been provided on these undistributed foreign earnings. As a result of recent changes in U.S. tax legislation, any repatriation of these earnings would not result in additional U.S. federal income tax.</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January 1, 2022</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139,529</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(23,164)</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2022</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130,144</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7"/>
        </w:trPr>
        <w:tc>
          <w:tcPr>
            <w:tcW w:w="9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2023</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130,067</w:t>
            </w:r>
          </w:p>
        </w:tc>
      </w:tr>
      <w:tr>
        <w:trPr>
          <w:trHeight w:val="259"/>
        </w:trPr>
        <w:tc>
          <w:tcPr>
            <w:tcW w:w="94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 to positions in prior years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 to positions in prior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increases to current period tax positions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decreases to current period tax positions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3"/>
        </w:trPr>
        <w:tc>
          <w:tcPr>
            <w:tcW w:w="9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Audit settlements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(19,727)</w:t>
            </w:r>
          </w:p>
        </w:tc>
      </w:tr>
      <w:tr>
        <w:trPr>
          <w:trHeight w:val="219"/>
        </w:trPr>
        <w:tc>
          <w:tcPr>
            <w:tcW w:w="9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related to lapsing of statute of limitations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r>
      <w:tr>
        <w:trPr>
          <w:trHeight w:val="213"/>
        </w:trPr>
        <w:tc>
          <w:tcPr>
            <w:tcW w:w="9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35"/>
        </w:trPr>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at December 31, 2024</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57"/>
        </w:trPr>
        <w:tc>
          <w:tcPr>
            <w:tcW w:w="60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w:t>
            </w: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106,122</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129,591</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w:t>
            </w: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certain unrecognized tax benefits are recognized they would create additional deferred tax assets. These assets would require a full valuation allowance in certain locations based upon present circumstances.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benefits and interest income on tax overpayments as components of income tax expense. The net interest and penalties expense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 (benefit)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file income tax returns in various jurisdictions. We are subject to income tax examination by tax authorities in our major tax jurisdictions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Tax Jurisdiction</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 Subject to Audit</w:t>
            </w:r>
          </w:p>
        </w:tc>
      </w:tr>
      <w:tr>
        <w:trPr>
          <w:trHeight w:val="21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2020</w:t>
            </w:r>
          </w:p>
        </w:tc>
      </w:tr>
      <w:tr>
        <w:trPr>
          <w:trHeight w:val="21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France</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2020</w:t>
            </w:r>
          </w:p>
        </w:tc>
      </w:tr>
      <w:tr>
        <w:trPr>
          <w:trHeight w:val="219"/>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2018</w:t>
            </w:r>
          </w:p>
        </w:tc>
      </w:tr>
      <w:tr>
        <w:trPr>
          <w:trHeight w:val="213"/>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2019</w:t>
            </w:r>
          </w:p>
        </w:tc>
      </w:tr>
      <w:tr>
        <w:trPr>
          <w:trHeight w:val="219"/>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Indonesia</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Subsequent to 2018</w:t>
            </w:r>
          </w:p>
        </w:tc>
      </w:tr>
      <w:tr>
        <w:trPr>
          <w:trHeight w:val="21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Italy</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Subsequent to 2018</w:t>
            </w: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above years are subject to audit based on the local jurisdiction's statute of limitations, tax attributes carrying over into the above years may also be adjusted upon audit.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7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(59,059)</w:t>
            </w:r>
          </w:p>
        </w:tc>
      </w:tr>
      <w:tr>
        <w:trPr>
          <w:trHeight w:val="234"/>
        </w:trPr>
        <w:tc>
          <w:tcPr>
            <w:tcW w:w="7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453,987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440,941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253,987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240,941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7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87,230</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84,318</w:t>
            </w:r>
          </w:p>
        </w:tc>
      </w:tr>
      <w:tr>
        <w:trPr>
          <w:trHeight w:val="21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78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363,097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271,164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were called, we would be obligated to reimburse the issuer of the standby LOC or bond. As of February 25, 2025, we are not aware of any valid claims against our outstanding standby LOCs or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32,022</w:t>
            </w:r>
          </w:p>
        </w:tc>
      </w:tr>
      <w:tr>
        <w:trPr>
          <w:trHeight w:val="213"/>
        </w:trPr>
        <w:tc>
          <w:tcPr>
            <w:tcW w:w="5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New product warranties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r>
      <w:tr>
        <w:trPr>
          <w:trHeight w:val="21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3"/>
        </w:trPr>
        <w:tc>
          <w:tcPr>
            <w:tcW w:w="5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Claims activity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w:t>
            </w:r>
          </w:p>
        </w:tc>
      </w:tr>
      <w:tr>
        <w:trPr>
          <w:trHeight w:val="219"/>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25,698</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18,203</w:t>
            </w:r>
          </w:p>
        </w:tc>
      </w:tr>
      <w:tr>
        <w:trPr>
          <w:trHeight w:val="209"/>
        </w:trPr>
        <w:tc>
          <w:tcPr>
            <w:tcW w:w="5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warranty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w:t>
            </w:r>
          </w:p>
        </w:tc>
      </w:tr>
      <w:tr>
        <w:trPr>
          <w:trHeight w:val="20"/>
        </w:trPr>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expense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r>
    </w:tbl>
    <w:p>
      <w:pPr>
        <w:spacing w:after="0" w:line="3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self-insured for a substantial portion of the cost of our U.S. employee group health insurance. We purchase insurance from a third-party,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costs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accrual, which is included in wages and benefits payable,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IBNR accrual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3,658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w:t>
      </w: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2023 Projects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expected to be substantially complete by early 2025.</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2023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2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 the Year Ended</w:t>
            </w:r>
          </w:p>
        </w:tc>
        <w:tc>
          <w:tcPr>
            <w:tcW w:w="200" w:type="dxa"/>
            <w:vAlign w:val="bottom"/>
          </w:tcPr>
          <w:p>
            <w:pPr>
              <w:spacing w:after="0"/>
              <w:rPr>
                <w:sz w:val="14"/>
                <w:szCs w:val="14"/>
                <w:color w:val="auto"/>
              </w:rPr>
            </w:pPr>
          </w:p>
        </w:tc>
        <w:tc>
          <w:tcPr>
            <w:tcW w:w="17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 or</w:t>
            </w:r>
          </w:p>
        </w:tc>
        <w:tc>
          <w:tcPr>
            <w:tcW w:w="1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2"/>
        </w:trPr>
        <w:tc>
          <w:tcPr>
            <w:tcW w:w="3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48,528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2021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Utility Solutions, includes activities to drive reductions in certain locations and functional support areas. These projects were substantially complete at the end of 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2021 Projects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Total Expected Costs at</w:t>
            </w:r>
          </w:p>
        </w:tc>
        <w:tc>
          <w:tcPr>
            <w:tcW w:w="2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00" w:type="dxa"/>
            <w:vAlign w:val="bottom"/>
          </w:tcPr>
          <w:p>
            <w:pPr>
              <w:spacing w:after="0"/>
              <w:rPr>
                <w:sz w:val="16"/>
                <w:szCs w:val="16"/>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 Recognized</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During the Year Ended</w:t>
            </w:r>
          </w:p>
        </w:tc>
        <w:tc>
          <w:tcPr>
            <w:tcW w:w="200" w:type="dxa"/>
            <w:vAlign w:val="bottom"/>
          </w:tcPr>
          <w:p>
            <w:pPr>
              <w:spacing w:after="0"/>
              <w:rPr>
                <w:sz w:val="14"/>
                <w:szCs w:val="14"/>
                <w:color w:val="auto"/>
              </w:rPr>
            </w:pPr>
          </w:p>
        </w:tc>
        <w:tc>
          <w:tcPr>
            <w:tcW w:w="178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0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7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35,816</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 or</w:t>
            </w:r>
          </w:p>
        </w:tc>
        <w:tc>
          <w:tcPr>
            <w:tcW w:w="1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w:t>
            </w:r>
          </w:p>
        </w:tc>
        <w:tc>
          <w:tcPr>
            <w:tcW w:w="1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12"/>
        </w:trPr>
        <w:tc>
          <w:tcPr>
            <w:tcW w:w="3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49,262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46,929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2023 Projects and the 2021 Projects during the year ended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00" w:type="dxa"/>
            <w:vAlign w:val="bottom"/>
          </w:tcPr>
          <w:p>
            <w:pPr>
              <w:spacing w:after="0"/>
              <w:rPr>
                <w:sz w:val="16"/>
                <w:szCs w:val="16"/>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160" w:type="dxa"/>
            <w:vAlign w:val="bottom"/>
          </w:tcPr>
          <w:p>
            <w:pPr>
              <w:spacing w:after="0"/>
              <w:rPr>
                <w:sz w:val="14"/>
                <w:szCs w:val="14"/>
                <w:color w:val="auto"/>
              </w:rPr>
            </w:pPr>
          </w:p>
        </w:tc>
        <w:tc>
          <w:tcPr>
            <w:tcW w:w="1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72,376</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(32,041)</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receipts</w:t>
            </w:r>
          </w:p>
        </w:tc>
        <w:tc>
          <w:tcPr>
            <w:tcW w:w="2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37"/>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December 31,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recognized within the Corporate unallocated segment and does not impact the results of our operating segments.</w:t>
      </w:r>
    </w:p>
    <w:p>
      <w:pPr>
        <w:spacing w:after="0" w:line="2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current portions of restructuring liabilities were $24.3 million and $21.0 million as of December 31, 2024 and 2023 and are classified within other current liabilities on the Consolidated Balance Sheets. The long-term portions of restructuring liabilities were $17.0 million and $51.4 million as of December 31, 2024 and 2023. The long-term portions of restructuring liabilities are classified within other long-term obligations on the Consolidated Balance Sheets and include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December 31, 2024 or 2023.</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Repurchase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September 19, 2024, Itron's Board of Directors authorized a repurchase up to $100 million of our common stock over an 18-month period (the 2024 Stock Repurchase Program). The repurchase program is intended to comply with Rule 10b-18 promulgated under the Securities Exchange Act of 1934, as amended. We repurchased no shares under the 2024 Stock Repurchase Program.</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11, 2023, Itron's Board of Directors authorized a repurchase up to $100 million of our common stock over an 18-month period (the 2023 Stock Repurchase Program). In June 2024, we repurchased 971,534 shares under the 2023 Stock Repurchase Program at an average price of $102.93 (excluding commissions) for a total of $100.0 million. This repurchase was completed in conjunction with the issuance of the 2024 convertible notes.</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2021 Call Option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paid an aggregate amount of $84.1 million for the 2021 call option transactions. The 2021 call option transactions cover, subject to anti-dilution adjustments substantially similar to those in the 2021 Notes, approximately 3.7 million shares of our common stock, the same number of shares initially underlying the 2021 Notes, at a strike price of approximately $126.00, subject to customary adjustments. The 2021 call option transactions will expire upon the maturity of the 2021 Notes, subject to earlier exercise or termination. The 2021 call option transactions are expected generally to reduce the potential dilutive effect of the conversion of our 2021 Notes and/or offset any cash payments we are required to make in excess of the principal amount of the converted notes, as the case may be, in the event that the market price per share of our common stock, as measured under the terms of the 2021 call option transactions, is greater than the strike price of the 2021 call option transactions. The 2021 call option transactions meet the criteria in ASC 815-40 to be classified within Stockholders' Equity, and therefore they are not revalued after their issuance.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2021 Notes and the 2021 call option transactions.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2021 Notes, and results in a $20.6 million deferred tax asset recognized through equity.</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Warrant Transactions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concurrently with entering into the 2021 call option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2024 Capped Call Transactions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the 2024 Notes, we entered into privately negotiated capped call transactions on our common stock with certain commercial banks. The 2024 capped call transactions cover, subject to anti-dilution adjustments substantially similar to those in the 2024 Notes, approximately 6.1 million shares of our common stock, the same number of shares initially underlying the convertible notes, at a strike price of approximately $131.2353, subject to customary adjustments. The cap price of the 2024 capped call transactions will initially be $205.86 per share, which represents a premium of 100% over the last reported stock price per share of the Company's common stock on June 17, 2024, and is subject to certain adjustments under the terms of the 2024 capped call transactions. The 2024 capped call transactions will expire upon the maturity of the 2024 Notes, subject to earlier exercise or termination.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made a tax election to integrate the 2024 Notes and the 2024 capped call transactions. We are retaining the identification statements in our books and records, together with a schedule providing the accruals on the synthetic debt instruments. The accounting impact of this tax election makes the capped call transactions deductible as original issue discount for tax purposes over the term of the 2024 Notes, and results in a $26.7 million deferred tax asset recognized through equity.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20" w:type="dxa"/>
            <w:vAlign w:val="bottom"/>
          </w:tcPr>
          <w:p>
            <w:pPr>
              <w:spacing w:after="0"/>
              <w:rPr>
                <w:sz w:val="16"/>
                <w:szCs w:val="16"/>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2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80" w:type="dxa"/>
            <w:vAlign w:val="bottom"/>
          </w:tcPr>
          <w:p>
            <w:pPr>
              <w:spacing w:after="0"/>
              <w:rPr>
                <w:sz w:val="16"/>
                <w:szCs w:val="16"/>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Pension Benefit</w:t>
            </w:r>
          </w:p>
        </w:tc>
        <w:tc>
          <w:tcPr>
            <w:tcW w:w="100" w:type="dxa"/>
            <w:vAlign w:val="bottom"/>
          </w:tcPr>
          <w:p>
            <w:pPr>
              <w:spacing w:after="0"/>
              <w:rPr>
                <w:sz w:val="16"/>
                <w:szCs w:val="16"/>
                <w:color w:val="auto"/>
              </w:rPr>
            </w:pPr>
          </w:p>
        </w:tc>
        <w:tc>
          <w:tcPr>
            <w:tcW w:w="15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4"/>
                <w:szCs w:val="14"/>
                <w:color w:val="auto"/>
              </w:rPr>
            </w:pPr>
          </w:p>
        </w:tc>
        <w:tc>
          <w:tcPr>
            <w:tcW w:w="15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4"/>
                <w:szCs w:val="14"/>
                <w:color w:val="auto"/>
              </w:rPr>
            </w:pPr>
          </w:p>
        </w:tc>
        <w:tc>
          <w:tcPr>
            <w:tcW w:w="16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on Derivative</w:t>
            </w: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00" w:type="dxa"/>
            <w:vAlign w:val="bottom"/>
          </w:tcPr>
          <w:p>
            <w:pPr>
              <w:spacing w:after="0"/>
              <w:rPr>
                <w:sz w:val="14"/>
                <w:szCs w:val="14"/>
                <w:color w:val="auto"/>
              </w:rPr>
            </w:pPr>
          </w:p>
        </w:tc>
        <w:tc>
          <w:tcPr>
            <w:tcW w:w="15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4"/>
        </w:trPr>
        <w:tc>
          <w:tcPr>
            <w:tcW w:w="2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1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(148,098)</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59,002</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53,424</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(83,193)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(94,674)</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0" w:type="dxa"/>
            <w:vAlign w:val="bottom"/>
          </w:tcPr>
          <w:p>
            <w:pPr>
              <w:spacing w:after="0"/>
              <w:rPr>
                <w:sz w:val="1"/>
                <w:szCs w:val="1"/>
                <w:color w:val="auto"/>
              </w:rPr>
            </w:pPr>
          </w:p>
        </w:tc>
      </w:tr>
      <w:tr>
        <w:trPr>
          <w:trHeight w:val="207"/>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42"/>
        </w:trPr>
        <w:tc>
          <w:tcPr>
            <w:tcW w:w="25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164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0" w:type="dxa"/>
            <w:vAlign w:val="bottom"/>
          </w:tcPr>
          <w:p>
            <w:pPr>
              <w:spacing w:after="0"/>
              <w:rPr>
                <w:sz w:val="1"/>
                <w:szCs w:val="1"/>
                <w:color w:val="auto"/>
              </w:rPr>
            </w:pPr>
          </w:p>
        </w:tc>
      </w:tr>
      <w:tr>
        <w:trPr>
          <w:trHeight w:val="213"/>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the divestiture transaction in 2022, outstanding amounts in AOCI were reclassified to net income (loss) on the sale of business with a corresponding reversal of the impairment loss originally booked in the prior period. We also substantially liquidated our legal entity in Russia during 2022 recognizing the reclassification of the currency translation adjustment from accumulated other comprehensive income (loss) related to the disposal of the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(30,238)</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(28,921)</w:t>
            </w:r>
          </w:p>
        </w:tc>
        <w:tc>
          <w:tcPr>
            <w:tcW w:w="0" w:type="dxa"/>
            <w:vAlign w:val="bottom"/>
          </w:tcPr>
          <w:p>
            <w:pPr>
              <w:spacing w:after="0"/>
              <w:rPr>
                <w:sz w:val="1"/>
                <w:szCs w:val="1"/>
                <w:color w:val="auto"/>
              </w:rPr>
            </w:pPr>
          </w:p>
        </w:tc>
      </w:tr>
      <w:tr>
        <w:trPr>
          <w:trHeight w:val="162"/>
        </w:trPr>
        <w:tc>
          <w:tcPr>
            <w:tcW w:w="6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disposal of business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53,625</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65"/>
        </w:trPr>
        <w:tc>
          <w:tcPr>
            <w:tcW w:w="60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disposal of business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(provision)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39"/>
        </w:trPr>
        <w:tc>
          <w:tcPr>
            <w:tcW w:w="6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w:t>
            </w:r>
          </w:p>
        </w:tc>
        <w:tc>
          <w:tcPr>
            <w:tcW w:w="0" w:type="dxa"/>
            <w:vAlign w:val="bottom"/>
          </w:tcPr>
          <w:p>
            <w:pPr>
              <w:spacing w:after="0"/>
              <w:rPr>
                <w:sz w:val="1"/>
                <w:szCs w:val="1"/>
                <w:color w:val="auto"/>
              </w:rPr>
            </w:pPr>
          </w:p>
        </w:tc>
      </w:tr>
      <w:tr>
        <w:trPr>
          <w:trHeight w:val="162"/>
        </w:trPr>
        <w:tc>
          <w:tcPr>
            <w:tcW w:w="6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 income (loss) on sale or</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57,321</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disposal of business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 cash flow hedges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 (loss)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23,170</w:t>
            </w:r>
          </w:p>
        </w:tc>
        <w:tc>
          <w:tcPr>
            <w:tcW w:w="0" w:type="dxa"/>
            <w:vAlign w:val="bottom"/>
          </w:tcPr>
          <w:p>
            <w:pPr>
              <w:spacing w:after="0"/>
              <w:rPr>
                <w:sz w:val="1"/>
                <w:szCs w:val="1"/>
                <w:color w:val="auto"/>
              </w:rPr>
            </w:pPr>
          </w:p>
        </w:tc>
      </w:tr>
      <w:tr>
        <w:trPr>
          <w:trHeight w:val="213"/>
        </w:trPr>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 (loss)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fair values at December 31, 2024 and 2023 do not reflect subsequent changes in the economy, interest rates, tax rates, and other variables that may affect the determination of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4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4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Credit facility</w:t>
            </w: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46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auto"/>
              </w:rPr>
              <w:t>—   $</w:t>
            </w:r>
          </w:p>
        </w:tc>
        <w:tc>
          <w:tcPr>
            <w:tcW w:w="15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Convertible notes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454,827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423,476</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facility - multicurrency revolving line of credit: </w:t>
      </w:r>
      <w:r>
        <w:rPr>
          <w:rFonts w:ascii="Times New Roman" w:cs="Times New Roman" w:eastAsia="Times New Roman" w:hAnsi="Times New Roman"/>
          <w:sz w:val="18"/>
          <w:szCs w:val="18"/>
          <w:color w:val="auto"/>
        </w:rPr>
        <w:t>The revolver is not traded publicly. The fair values, which are determined based upon a hypothetical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participant, are calculated using a discounted cash flow model with Level 2</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inputs, including estimates of incremental borrowing rates for debt with similar terms, maturities, and credit profiles. Refer to Note 6: Debt for a further discussion of our debt.</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The convertible notes are not listed on any securities exchange but may be actively traded. The fair value is estimated using 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as it is based on quoted prices for these instruments in active markets.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Each derivative asset and liability has a carrying value equal to fair value. The fair values of our derivative instruments are determined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 We define these segments based on the structure in which internally reported financial information is regularly provided to the chief operating decision maker (CODM) to analyze financial performance, make strategic decisions, and allocate resources. The Company's CODM is the chief executive officer.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Device Solutions – </w:t>
      </w:r>
      <w:r>
        <w:rPr>
          <w:rFonts w:ascii="Times New Roman" w:cs="Times New Roman" w:eastAsia="Times New Roman" w:hAnsi="Times New Roman"/>
          <w:sz w:val="18"/>
          <w:szCs w:val="18"/>
          <w:color w:val="auto"/>
        </w:rPr>
        <w:t>This segment primarily includes hardware products used for measurement, control, or sensing that can have communications capability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for use with our broader Itron systems, i.e., hardware-based products that may be part of a complete end-to-end solution. Examples from the Device Solutions portfolio include: standard endpoints that are shipped without Itron communications, such as our standard electricity, gas, and water meters for a variety of global markets and adhering to regulations and standards within those markets, as well as our heat and allocation products; communicating meters that may be sold as part of an Itron end-to-end solution and designed to meet market requirements; and the implementation and installation of communicating and non-communicating devices.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Networked Solutions – </w:t>
      </w:r>
      <w:r>
        <w:rPr>
          <w:rFonts w:ascii="Times New Roman" w:cs="Times New Roman" w:eastAsia="Times New Roman" w:hAnsi="Times New Roman"/>
          <w:sz w:val="18"/>
          <w:szCs w:val="18"/>
          <w:color w:val="auto"/>
        </w:rPr>
        <w:t>This segment primarily includes a combination of communicating devices (e.g., smart meters, modules, endpoints, and sensors),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infrastructure, network design services, and associated head-end management and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for electricity, water, and gas; distributed energy resource management (DERMs); grid edge devices; distribution automation communications; smart street lighting; smart city sensors and applications; and leak detection and applications for both gas and water systems. Our IIoT platform allows utility and smart city applications to be run and managed on a flexible multi-purpose network.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Outcomes – </w:t>
      </w:r>
      <w:r>
        <w:rPr>
          <w:rFonts w:ascii="Times New Roman" w:cs="Times New Roman" w:eastAsia="Times New Roman" w:hAnsi="Times New Roman"/>
          <w:sz w:val="18"/>
          <w:szCs w:val="18"/>
          <w:color w:val="auto"/>
        </w:rPr>
        <w:t>This segment primarily includes our value-added, enhanced software and services in which we enable grid edge intelligence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 analyze, and interpret raw, anonymized data using artificial intelligence, machine learning, statistical modeling, and other analytics. This allows us to help utilities improve decision making, maximize operational profitability, engage consumers, enhance resource efficiency, improve grid resiliency and reliability, and deliver value for utilities and smart cities. Outcomes supports high-value use cases, such as data management, grid operations, distributed intelligence, AMI operations, gas distribution and safety, water operations management, revenue assurance, DERMs, energy forecasting, consumer engagement, smart payment, and fleet energy resource management. Utilities leverage these outcomes to unlock the capabilities of their networks and devices, improve the productivity of their workforce, increase the reliability of their operations, manage and optimize the proliferation of distributed energy resources (DERs), address grid complexity, and enhance the customer experience. Revenue from these offerings are primarily recurring in nature and would include any direct management of Device Solutions, Networked Solutions, and other third-parties' products on behalf of our end customers.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assesses the segments' performance primarily by using each segment's revenues and gross profit (gross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No asset information for reportable segments is provided to the CODM. We do not manage the performance of the segments on a balance sheet basis.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assesses revenues and gross profit for each segment predominantly in the annual budget and periodic forecasting process. The CODM considers budget-to-actual and forecast-to-actual variances for these measures when making decisions about the allocation of operating and capital resources to each segment. The CODM primarily uses segment gross profit for evaluating pricing strategy and the performance of each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reporting segments and Corporate unallocated and the reconciliation to income before income taxes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4"/>
                <w:szCs w:val="14"/>
                <w:color w:val="auto"/>
              </w:rPr>
            </w:pPr>
          </w:p>
        </w:tc>
        <w:tc>
          <w:tcPr>
            <w:tcW w:w="13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1,546,278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2,131,379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103,797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309,458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2,440,837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353,113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1,052,295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1,601,520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839,317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00" w:type="dxa"/>
            <w:vAlign w:val="bottom"/>
            <w:tcBorders>
              <w:top w:val="single" w:sz="8" w:color="auto"/>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601,914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(317,383)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284,531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2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4"/>
                <w:szCs w:val="14"/>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1,331,546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1,863,489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118,745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188,391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349,809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950,566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1,459,725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713,908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65,690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484,957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(357,571)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127,386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4"/>
        </w:trPr>
        <w:tc>
          <w:tcPr>
            <w:tcW w:w="2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4"/>
                <w:szCs w:val="14"/>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right="26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433,354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1,002,156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1,500,243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117,112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172,853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1,119,268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376,932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757,293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1,273,375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46,247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(336,961)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(15,743)</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50,082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115,231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82,425</w:t>
            </w:r>
          </w:p>
        </w:tc>
        <w:tc>
          <w:tcPr>
            <w:tcW w:w="0" w:type="dxa"/>
            <w:vAlign w:val="bottom"/>
          </w:tcPr>
          <w:p>
            <w:pPr>
              <w:spacing w:after="0"/>
              <w:rPr>
                <w:sz w:val="1"/>
                <w:szCs w:val="1"/>
                <w:color w:val="auto"/>
              </w:rPr>
            </w:pPr>
          </w:p>
        </w:tc>
      </w:tr>
      <w:tr>
        <w:trPr>
          <w:trHeight w:val="2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3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387,351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260,547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398,609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151,820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67,040</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3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80" w:type="dxa"/>
            <w:vAlign w:val="bottom"/>
          </w:tcPr>
          <w:p>
            <w:pPr>
              <w:spacing w:after="0"/>
              <w:rPr>
                <w:sz w:val="14"/>
                <w:szCs w:val="14"/>
                <w:color w:val="auto"/>
              </w:rPr>
            </w:pPr>
          </w:p>
        </w:tc>
        <w:tc>
          <w:tcPr>
            <w:tcW w:w="1220" w:type="dxa"/>
            <w:vAlign w:val="bottom"/>
            <w:gridSpan w:val="2"/>
          </w:tcPr>
          <w:p>
            <w:pPr>
              <w:jc w:val="center"/>
              <w:ind w:right="300"/>
              <w:spacing w:after="0" w:line="168" w:lineRule="exact"/>
              <w:rPr>
                <w:sz w:val="20"/>
                <w:szCs w:val="20"/>
                <w:color w:val="auto"/>
              </w:rPr>
            </w:pPr>
            <w:r>
              <w:rPr>
                <w:rFonts w:ascii="Times New Roman" w:cs="Times New Roman" w:eastAsia="Times New Roman" w:hAnsi="Times New Roman"/>
                <w:sz w:val="16"/>
                <w:szCs w:val="16"/>
                <w:b w:val="1"/>
                <w:bCs w:val="1"/>
                <w:color w:val="auto"/>
              </w:rPr>
              <w:t>Networked</w:t>
            </w:r>
          </w:p>
        </w:tc>
        <w:tc>
          <w:tcPr>
            <w:tcW w:w="18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Unallocated</w:t>
            </w: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96,688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398,063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unallocated expenses</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116,678</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147,472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65,216</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one customer represented 10.7% of total company revenue. This revenue is included in both the Networked Solutions and Outcomes reporting segments. For all other periods presented, no single customer represented more than 10% of total company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United States and Canada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Europe, Middle East, and Africa</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Asia Pacific</w:t>
      </w:r>
    </w:p>
    <w:p>
      <w:pPr>
        <w:spacing w:after="0" w:line="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7"/>
        </w:trPr>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2,007,045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1,733,680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1,302,241</w:t>
            </w:r>
          </w:p>
        </w:tc>
      </w:tr>
      <w:tr>
        <w:trPr>
          <w:trHeight w:val="216"/>
        </w:trPr>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391,556</w:t>
            </w:r>
          </w:p>
        </w:tc>
      </w:tr>
      <w:tr>
        <w:trPr>
          <w:trHeight w:val="246"/>
        </w:trPr>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99,099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101,767</w:t>
            </w:r>
          </w:p>
        </w:tc>
      </w:tr>
      <w:tr>
        <w:trPr>
          <w:trHeight w:val="210"/>
        </w:trPr>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2,440,837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2,173,633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1,795,564</w:t>
            </w:r>
          </w:p>
        </w:tc>
      </w:tr>
      <w:tr>
        <w:trPr>
          <w:trHeight w:val="23"/>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-334010</wp:posOffset>
            </wp:positionV>
            <wp:extent cx="710628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-616585</wp:posOffset>
            </wp:positionV>
            <wp:extent cx="710628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1" w:right="339" w:bottom="1440" w:gutter="0" w:footer="0" w:header="0"/>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14"/>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80,035</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Outside United States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41,550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48,771</w:t>
            </w:r>
          </w:p>
        </w:tc>
      </w:tr>
      <w:tr>
        <w:trPr>
          <w:trHeight w:val="237"/>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4"/>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17,539</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29,271</w:t>
            </w:r>
          </w:p>
        </w:tc>
      </w:tr>
      <w:tr>
        <w:trPr>
          <w:trHeight w:val="235"/>
        </w:trPr>
        <w:tc>
          <w:tcPr>
            <w:tcW w:w="6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66,763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0" w:type="dxa"/>
            <w:vAlign w:val="bottom"/>
          </w:tcPr>
          <w:p>
            <w:pPr>
              <w:spacing w:after="0"/>
              <w:rPr>
                <w:sz w:val="1"/>
                <w:szCs w:val="1"/>
                <w:color w:val="auto"/>
              </w:rPr>
            </w:pPr>
          </w:p>
        </w:tc>
      </w:tr>
      <w:tr>
        <w:trPr>
          <w:trHeight w:val="214"/>
        </w:trPr>
        <w:tc>
          <w:tcPr>
            <w:tcW w:w="95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less contract assets</w:t>
            </w:r>
          </w:p>
        </w:tc>
        <w:tc>
          <w:tcPr>
            <w:tcW w:w="0" w:type="dxa"/>
            <w:vAlign w:val="bottom"/>
          </w:tcPr>
          <w:p>
            <w:pPr>
              <w:spacing w:after="0"/>
              <w:rPr>
                <w:sz w:val="1"/>
                <w:szCs w:val="1"/>
                <w:color w:val="auto"/>
              </w:rPr>
            </w:pPr>
          </w:p>
        </w:tc>
      </w:tr>
      <w:tr>
        <w:trPr>
          <w:trHeight w:val="211"/>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82,885</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(68,091)</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Cumulative catch-up adjustments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10,028</w:t>
            </w:r>
          </w:p>
        </w:tc>
        <w:tc>
          <w:tcPr>
            <w:tcW w:w="0" w:type="dxa"/>
            <w:vAlign w:val="bottom"/>
          </w:tcPr>
          <w:p>
            <w:pPr>
              <w:spacing w:after="0"/>
              <w:rPr>
                <w:sz w:val="1"/>
                <w:szCs w:val="1"/>
                <w:color w:val="auto"/>
              </w:rPr>
            </w:pPr>
          </w:p>
        </w:tc>
      </w:tr>
      <w:tr>
        <w:trPr>
          <w:trHeight w:val="213"/>
        </w:trPr>
        <w:tc>
          <w:tcPr>
            <w:tcW w:w="9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340,239</w:t>
            </w:r>
          </w:p>
        </w:tc>
        <w:tc>
          <w:tcPr>
            <w:tcW w:w="0" w:type="dxa"/>
            <w:vAlign w:val="bottom"/>
          </w:tcPr>
          <w:p>
            <w:pPr>
              <w:spacing w:after="0"/>
              <w:rPr>
                <w:sz w:val="1"/>
                <w:szCs w:val="1"/>
                <w:color w:val="auto"/>
              </w:rPr>
            </w:pPr>
          </w:p>
        </w:tc>
      </w:tr>
      <w:tr>
        <w:trPr>
          <w:trHeight w:val="21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(236,496)</w:t>
            </w:r>
          </w:p>
        </w:tc>
        <w:tc>
          <w:tcPr>
            <w:tcW w:w="0" w:type="dxa"/>
            <w:vAlign w:val="bottom"/>
          </w:tcPr>
          <w:p>
            <w:pPr>
              <w:spacing w:after="0"/>
              <w:rPr>
                <w:sz w:val="1"/>
                <w:szCs w:val="1"/>
                <w:color w:val="auto"/>
              </w:rPr>
            </w:pPr>
          </w:p>
        </w:tc>
      </w:tr>
      <w:tr>
        <w:trPr>
          <w:trHeight w:val="213"/>
        </w:trPr>
        <w:tc>
          <w:tcPr>
            <w:tcW w:w="9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37"/>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127,557</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2024, total contract assets were $80.1 million and total contract liabilities were $163.0 million. On December 31, 2024, total contract assets were $65.4 million and total contract liabilities were $193.0 million. The contract assets primarily relate to contracts that include a retention clause and allocations related to contracts with multiple performance obligations. The contract liabilities primarily relate to deferred revenue, such as extended warranty and maintenance agreements. The cumulative catch-up adjustments relate to contract modifications, measure-of-progress changes, and changes in the estimate of the transaction price.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$1.3 billion for the next 12 months and approximately $1.1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extended warranty period, and hardware, which is recognized as units are delivered. The estimate of when remaining performance obligations will be recognized requires significant judgment.</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Elpis2, Inc.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 2024, we completed the acquisition of 100% of the shares of Elpis2, Inc. (Elpis Squared), a privately held software and services company. This acquisition provides value to Itron through the leverage of Elpis Squared's utility grid analytics, services, and operational software platforms to enhance Itron's Outcomes offerings. The acquisition was deemed a business acquisition. The sales, results of operations, and acquisition-related costs associated with the acquisition were not material.</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for this acquisition is $34.1 million. The purchase price was allocated to assets acquired and liabilities assumed, primarily $15.0 million in finite-lived intangible assets and $19.3 million in goodwill. Since this was a stock acquisition, none of the goodwill is deductible for tax purposes. The purchase was funded through cash on hand. Refer to Note 4: Intangible Assets and Liabilities and Note 5: Goodwill for additional information</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factories, service and distribution locations, offices, and equipment under operating leases. Our operating leases have initial lease terms ranging from one to 10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4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18,798</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4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19,517</w:t>
            </w:r>
          </w:p>
        </w:tc>
      </w:tr>
      <w:tr>
        <w:trPr>
          <w:trHeight w:val="210"/>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28,957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41,186</w:t>
            </w:r>
          </w:p>
        </w:tc>
        <w:tc>
          <w:tcPr>
            <w:tcW w:w="0" w:type="dxa"/>
            <w:vAlign w:val="bottom"/>
          </w:tcPr>
          <w:p>
            <w:pPr>
              <w:spacing w:after="0"/>
              <w:rPr>
                <w:sz w:val="1"/>
                <w:szCs w:val="1"/>
                <w:color w:val="auto"/>
              </w:rPr>
            </w:pPr>
          </w:p>
        </w:tc>
      </w:tr>
      <w:tr>
        <w:trPr>
          <w:trHeight w:val="257"/>
        </w:trPr>
        <w:tc>
          <w:tcPr>
            <w:tcW w:w="7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14,981</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25,350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32,656</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47,637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 Operating leases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years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years</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under operating lease liabilities as of December 31, 2024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15,932</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13,657</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w:t>
            </w:r>
          </w:p>
        </w:tc>
      </w:tr>
      <w:tr>
        <w:trPr>
          <w:trHeight w:val="21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1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w:t>
            </w:r>
          </w:p>
        </w:tc>
      </w:tr>
      <w:tr>
        <w:trPr>
          <w:trHeight w:val="212"/>
        </w:trPr>
        <w:tc>
          <w:tcPr>
            <w:tcW w:w="9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payments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43,480</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37"/>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disagreements with our independent accountants on accounting and financial disclosure matters within the three year period ended December 31, 2024, or in any period subsequent to such date, through the date of this report.</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2024,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(2013 Framework). Based on our evaluation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Framework, management concluded that our internal control over financial reporting was effective as of December 31,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Deloitte &amp; Touche LLP, an independent registered public accounting firm, as stated in their report that is included in this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December 31, 2024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Itron, Inc.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Itron,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25,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the following Section 16 officers and directors, as defined in Rule 16a-1(f) of the Securities Exchange Act of 1934 (the Exchange Act), adopted, modified, or terminated Rule 10b5-1 trading arrangements (as defined in Item 408 of Regulation S-K of the Exchange Act):</w:t>
      </w:r>
    </w:p>
    <w:p>
      <w:pPr>
        <w:spacing w:after="0" w:line="203" w:lineRule="exact"/>
        <w:rPr>
          <w:sz w:val="20"/>
          <w:szCs w:val="20"/>
          <w:color w:val="auto"/>
        </w:rPr>
      </w:pPr>
    </w:p>
    <w:p>
      <w:pPr>
        <w:ind w:left="9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2024, Donald L. Reeves, Senior Vice President, Outcomes, adopted a new written trading plan to sell up to 4,170 shares of Itron, Inc. common stock over a period ending on November 7, 2025, subject to certain conditions.</w:t>
      </w:r>
    </w:p>
    <w:p>
      <w:pPr>
        <w:spacing w:after="0" w:line="29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"Proposal 1 – Election of Directors" appearing in our Proxy Statement for the Annual Meeting of Shareholders to be held on May 8, 2025 (the 2025 Proxy Statement) sets forth certain information with regard to our directors as required by Item 401 of Regulation S-K and is incorporated herein by reference.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section entitled "Corporate Governance" appearing in the 2025 Proxy Statement sets forth certain information with respect to the Registrant's code of conduct and policies related to ethical standards as required by Item 406 of Regulation S-K and is incorporated herein by reference. Our code of conduct and policies related to ethical standards can be accessed on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under the Sustainability &amp; Governance section.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procedures by which security holders may recommend nominees to Itron's board of directors during 2025, as set forth by Item 407(c)(3) of Regulation 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2025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"Compensation of Directors" and "Executive Compensation" appearing in the 2025 Proxy Statement set forth certain information with respect to the compensation of directors and management of Itron as required by Item 402 of Regulation S-K and are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2025 Proxy Statement sets forth certain information regarding members of the Compensation Committee required by Item 407(e)(4) of Regulation S-K and is incorporated herein by reference.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"Compensation Committee Report" appearing in the 2025 Proxy Statement sets forth certain information required by Item 407(e)(5) of Regulation S-K and is incorporated herein by reference.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"Equity Compensation Plan Information" appearing in the 2025 Proxy Statement sets forth certain information required by Item 201(d) of Regulation S-K and is incorporated herein by reference.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Management" appearing in the 2025 Proxy Statement sets forth certain information with respect to the ownership of our common stock as required by Item 403 of Regulation S-K and is incorporated herein by reference.</w:t>
      </w:r>
    </w:p>
    <w:p>
      <w:pPr>
        <w:spacing w:after="0" w:line="2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2025 Proxy Statement sets forth certain information required by Item 404 of Regulation S-K and is incorporated herein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"Corporate Governance" appearing in the 2025 Proxy Statement sets forth certain information with respect to director independence as required by Item 407(a) of Regulation S-K and is incorporated herein by reference.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entitled "Independent Registered Public Accounting Firm's Audit Fees and Services" appearing in the 2025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submitted in Part II, Item 8: Financial Statements and Supplementary Data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0" w:type="dxa"/>
            <w:vAlign w:val="bottom"/>
            <w:gridSpan w:val="21"/>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0" w:type="dxa"/>
            <w:vAlign w:val="bottom"/>
            <w:gridSpan w:val="21"/>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Articles of Incorporation of Itron, Inc. (Filed as Exhibit 3.1 to Itron, Inc.'s Annual Report on Form 10-K, filed 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March 27, 2003)</w:t>
              </w:r>
            </w:hyperlink>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Bylaws of Itron, Inc. (Filed as Exhibit 3.2 to Itron, Inc.'s Current Report on Form 8-K, filed on February 28,</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2022)</w:t>
              </w:r>
            </w:hyperlink>
          </w:p>
        </w:tc>
        <w:tc>
          <w:tcPr>
            <w:tcW w:w="7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Security Agreement dated August 5, 2011 among Itron, Inc. and Wells Fargo Bank, National Association (Filed as Exhibit 4.2 to Form</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8-K filed on August 8, 2011)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First Amendment to Security Agreement dated June 23, 2015 among Itron, Inc. and Wells Fargo Bank, National Association. (Filed as</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Exhibit 4.2 to Itron, Inc.'s Current Report on Form 8-K, filed on June 23, 2015)</w:t>
              </w:r>
            </w:hyperlink>
          </w:p>
        </w:tc>
        <w:tc>
          <w:tcPr>
            <w:tcW w:w="42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Indenture, dated as of December 22, 2017 among Itron, Inc., the guarantors from time to time party thereto and U.S. Bank National</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Association, as trustee. (Filed as Exhibit 4.1 to Itron, Inc.'s Current Report on Form 8-K, filed on December 22, 2017)</w:t>
              </w:r>
            </w:hyperlink>
          </w:p>
        </w:tc>
        <w:tc>
          <w:tcPr>
            <w:tcW w:w="154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Second Amended and Restated Credit Agreement dated January 5, 2018 among Itron, Inc. and a syndicate of banks led by Wells Fargo</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Bank, National Association, JPMorgan Chase Bank, N.A., J.P. Morgan Europe Limited, J.P. Morgan Securities PLC, BNP Paribas,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Silicon Valley Bank (Filed as Exhibit 4.1 to Itron, Inc.'s Current Report on Form 8-K, filed on January 12, 2018)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dated October 18, 2019, to the Second Amended and Restated Credit Agreement dated January 5, 2018 among Itron,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administrative agent. (Filed as Exhibit 4.1 to Itron, Inc.'s Current Report on Form 8-K, filed on October 24, 2019)</w:t>
              </w:r>
            </w:hyperlink>
          </w:p>
        </w:tc>
        <w:tc>
          <w:tcPr>
            <w:tcW w:w="174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2 dated October 19, 2020, to the Second Amended and Restated Credit Agreement dated January 5, 2018 among Itron,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certain foreign borrowers, guarantors, lenders and issuing parties thereto, and Wells Fargo Bank, National Association, as</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administrative agent. (Filed as Exhibit 4.1 to Itron, Inc's Quarterly Report on Form 10-Q filed on November 2, 2020)</w:t>
              </w:r>
            </w:hyperlink>
          </w:p>
        </w:tc>
        <w:tc>
          <w:tcPr>
            <w:tcW w:w="152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3, dated March 8, 2021, to the Credit Agreement, dated January 5, 2018 among Itron, Inc. and certain foreign</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borrowers, guarantors, lenders and issuing parties thereto, and Wells Fargo Bank, National Association, as administrative agent. (Filed</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as Exhibit 10.3 to Itron, Inc.'s Current Report on Form 8-K, filed on March 12, 2021)</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Indenture, dated as of March 12, 2021, by and between Itron, Inc. and U.S. Bank National Association, as trustee (Filed as Exhibit 4.1 to</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Itron, Inc.'s Current Report on Form 8-K, filed on March 12, 2021)</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0" w:type="dxa"/>
            <w:vAlign w:val="bottom"/>
            <w:gridSpan w:val="4"/>
            <w:shd w:val="clear" w:color="auto" w:fill="0000FF"/>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0.00% Convertible Senior Note due 2026 (Filed as Exhibit 4.2 to Itron, Inc.'s Current Report on Form 8-K, filed on March 12,</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22">
              <w:r>
                <w:rPr>
                  <w:rFonts w:ascii="Times New Roman" w:cs="Times New Roman" w:eastAsia="Times New Roman" w:hAnsi="Times New Roman"/>
                  <w:sz w:val="18"/>
                  <w:szCs w:val="18"/>
                  <w:color w:val="0000FF"/>
                  <w:w w:val="95"/>
                </w:rPr>
                <w:t>2021)</w:t>
              </w:r>
            </w:hyperlink>
          </w:p>
        </w:tc>
        <w:tc>
          <w:tcPr>
            <w:tcW w:w="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74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Convertible Note Hedge (Filed as Exhibit 10.1 to Itron, Inc.'s Current Report on Form 8-K, filed on March 12, 2021)</w:t>
              </w:r>
            </w:hyperlink>
          </w:p>
        </w:tc>
        <w:tc>
          <w:tcPr>
            <w:tcW w:w="0" w:type="dxa"/>
            <w:vAlign w:val="bottom"/>
          </w:tcPr>
          <w:p>
            <w:pPr>
              <w:spacing w:after="0"/>
              <w:rPr>
                <w:sz w:val="1"/>
                <w:szCs w:val="1"/>
                <w:color w:val="auto"/>
              </w:rPr>
            </w:pPr>
          </w:p>
        </w:tc>
      </w:tr>
      <w:tr>
        <w:trPr>
          <w:trHeight w:val="884"/>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top w:val="single" w:sz="8" w:color="0000FF"/>
            </w:tcBorders>
            <w:gridSpan w:val="5"/>
          </w:tcPr>
          <w:p>
            <w:pPr>
              <w:ind w:left="418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9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340" w:type="dxa"/>
            <w:vAlign w:val="bottom"/>
          </w:tcPr>
          <w:p>
            <w:pPr>
              <w:jc w:val="center"/>
              <w:ind w:right="1970"/>
              <w:spacing w:after="0"/>
              <w:rPr>
                <w:sz w:val="20"/>
                <w:szCs w:val="20"/>
                <w:color w:val="auto"/>
              </w:rPr>
            </w:pPr>
            <w:r>
              <w:rPr>
                <w:rFonts w:ascii="Times New Roman" w:cs="Times New Roman" w:eastAsia="Times New Roman" w:hAnsi="Times New Roman"/>
                <w:sz w:val="18"/>
                <w:szCs w:val="18"/>
                <w:u w:val="single" w:color="auto"/>
                <w:color w:val="0000FF"/>
                <w:w w:val="99"/>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127">
        <w:r>
          <w:rPr>
            <w:rFonts w:ascii="Times New Roman" w:cs="Times New Roman" w:eastAsia="Times New Roman" w:hAnsi="Times New Roman"/>
            <w:sz w:val="17"/>
            <w:szCs w:val="17"/>
            <w:u w:val="single" w:color="auto"/>
            <w:color w:val="0000FF"/>
          </w:rPr>
          <w:t>Form of Warrant Confirmation (Filed as Exhibit 10.2 to Itron, Inc.'s Current Report on Form 8-K, filed on March 12, 2021)</w:t>
        </w:r>
      </w:hyperlink>
    </w:p>
    <w:p>
      <w:pPr>
        <w:spacing w:after="0" w:line="185" w:lineRule="exact"/>
        <w:rPr>
          <w:sz w:val="20"/>
          <w:szCs w:val="20"/>
          <w:color w:val="auto"/>
        </w:rPr>
      </w:pPr>
    </w:p>
    <w:p>
      <w:pPr>
        <w:ind w:left="460"/>
        <w:spacing w:after="0"/>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128">
        <w:r>
          <w:rPr>
            <w:rFonts w:ascii="Times New Roman" w:cs="Times New Roman" w:eastAsia="Times New Roman" w:hAnsi="Times New Roman"/>
            <w:sz w:val="18"/>
            <w:szCs w:val="18"/>
            <w:u w:val="single" w:color="auto"/>
            <w:color w:val="0000FF"/>
          </w:rPr>
          <w:t>Description of Registrant's Securities (Filed as Exhibit 4.12 to Itron, Inc's Annual Report on Form 10-K, filed February 27, 2023)</w:t>
        </w:r>
      </w:hyperlink>
    </w:p>
    <w:p>
      <w:pPr>
        <w:spacing w:after="0" w:line="18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4.13       </w:t>
      </w:r>
      <w:hyperlink r:id="rId129">
        <w:r>
          <w:rPr>
            <w:rFonts w:ascii="Times New Roman" w:cs="Times New Roman" w:eastAsia="Times New Roman" w:hAnsi="Times New Roman"/>
            <w:sz w:val="18"/>
            <w:szCs w:val="18"/>
            <w:u w:val="single" w:color="auto"/>
            <w:color w:val="0000FF"/>
          </w:rPr>
          <w:t>Amendment No. 4, dated February 25, 2022,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as Exhibit 4.13 to Itron, Inc's Annual Report on Form 10-K, filed on February 28, 2022)</w:t>
        </w:r>
      </w:hyperlink>
    </w:p>
    <w:p>
      <w:pPr>
        <w:spacing w:after="0" w:line="16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w:t>
      </w:r>
      <w:hyperlink r:id="rId130">
        <w:r>
          <w:rPr>
            <w:rFonts w:ascii="Times New Roman" w:cs="Times New Roman" w:eastAsia="Times New Roman" w:hAnsi="Times New Roman"/>
            <w:sz w:val="18"/>
            <w:szCs w:val="18"/>
            <w:u w:val="single" w:color="auto"/>
            <w:color w:val="0000FF"/>
          </w:rPr>
          <w:t>Amendment No. 6, dated February 21, 2023,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as Exhibit 10.1 to Itron, Inc's Current Report on Form 8-K, filed on February 27, 2023)</w:t>
        </w:r>
      </w:hyperlink>
    </w:p>
    <w:p>
      <w:pPr>
        <w:spacing w:after="0" w:line="16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4.15       </w:t>
      </w:r>
      <w:hyperlink r:id="rId131">
        <w:r>
          <w:rPr>
            <w:rFonts w:ascii="Times New Roman" w:cs="Times New Roman" w:eastAsia="Times New Roman" w:hAnsi="Times New Roman"/>
            <w:sz w:val="18"/>
            <w:szCs w:val="18"/>
            <w:u w:val="single" w:color="auto"/>
            <w:color w:val="0000FF"/>
          </w:rPr>
          <w:t>Amendment No. 7, dated October 13, 2023,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as Exhibit 10.1 to Itron Inc.'s Current Report on Form 8-K, filed on October 16, 2023)</w:t>
        </w:r>
      </w:hyperlink>
    </w:p>
    <w:p>
      <w:pPr>
        <w:spacing w:after="0" w:line="165" w:lineRule="exact"/>
        <w:rPr>
          <w:sz w:val="20"/>
          <w:szCs w:val="20"/>
          <w:color w:val="auto"/>
        </w:rPr>
      </w:pPr>
    </w:p>
    <w:p>
      <w:pPr>
        <w:ind w:left="1360" w:hanging="89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132">
        <w:r>
          <w:rPr>
            <w:rFonts w:ascii="Times New Roman" w:cs="Times New Roman" w:eastAsia="Times New Roman" w:hAnsi="Times New Roman"/>
            <w:sz w:val="18"/>
            <w:szCs w:val="18"/>
            <w:u w:val="single" w:color="auto"/>
            <w:color w:val="0000FF"/>
          </w:rPr>
          <w:t>Indenture, dated as of June 21, 2024, by and between Itron, Inc. and U.S. Bank Trust Company, National Association, as trustee (Filed</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as Exhibit 4.1 to Itron, Inc.'s Current Report on Form 8-K, filed on June 21, 2024)</w:t>
        </w:r>
      </w:hyperlink>
    </w:p>
    <w:p>
      <w:pPr>
        <w:spacing w:after="0" w:line="172" w:lineRule="exact"/>
        <w:rPr>
          <w:sz w:val="20"/>
          <w:szCs w:val="20"/>
          <w:color w:val="auto"/>
        </w:rPr>
      </w:pPr>
    </w:p>
    <w:p>
      <w:pPr>
        <w:ind w:left="1360" w:hanging="897"/>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132">
        <w:r>
          <w:rPr>
            <w:rFonts w:ascii="Times New Roman" w:cs="Times New Roman" w:eastAsia="Times New Roman" w:hAnsi="Times New Roman"/>
            <w:sz w:val="18"/>
            <w:szCs w:val="18"/>
            <w:u w:val="single" w:color="auto"/>
            <w:color w:val="0000FF"/>
          </w:rPr>
          <w:t>Form of 1.375% Convertible Senior Note due 2030 (included in Exhibit 4.1) (Filed as Exhibit 4.2 to Itron, Inc.'s Current Report on</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Form 8-K, filed on June 21, 2024)</w:t>
        </w:r>
      </w:hyperlink>
    </w:p>
    <w:p>
      <w:pPr>
        <w:spacing w:after="0" w:line="172" w:lineRule="exact"/>
        <w:rPr>
          <w:sz w:val="20"/>
          <w:szCs w:val="20"/>
          <w:color w:val="auto"/>
        </w:rPr>
      </w:pPr>
    </w:p>
    <w:p>
      <w:pPr>
        <w:ind w:left="460"/>
        <w:spacing w:after="0"/>
        <w:tabs>
          <w:tab w:leader="none" w:pos="13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133">
        <w:r>
          <w:rPr>
            <w:rFonts w:ascii="Times New Roman" w:cs="Times New Roman" w:eastAsia="Times New Roman" w:hAnsi="Times New Roman"/>
            <w:sz w:val="17"/>
            <w:szCs w:val="17"/>
            <w:u w:val="single" w:color="auto"/>
            <w:color w:val="0000FF"/>
          </w:rPr>
          <w:t>Form of Capped Call Confirmation (Filed as Exhibit 10.1 to Itron, Inc.'s Current Report on Form 8-K, filed on June 21, 2024)</w:t>
        </w:r>
      </w:hyperlink>
    </w:p>
    <w:p>
      <w:pPr>
        <w:spacing w:after="0" w:line="18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4.19       </w:t>
      </w:r>
      <w:hyperlink r:id="rId134">
        <w:r>
          <w:rPr>
            <w:rFonts w:ascii="Times New Roman" w:cs="Times New Roman" w:eastAsia="Times New Roman" w:hAnsi="Times New Roman"/>
            <w:sz w:val="18"/>
            <w:szCs w:val="18"/>
            <w:u w:val="single" w:color="auto"/>
            <w:color w:val="0000FF"/>
          </w:rPr>
          <w:t>Amendment No. 8, dated June 14, 2024, to the Credit Agreement, dated January 5, 2018 among Itron, Inc. and certain foreign</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 (Filed as</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Exhibit 10.2 to Itron, Inc.'s Current Report on Form 8-K, filed on June 21, 2024)</w:t>
        </w:r>
      </w:hyperlink>
    </w:p>
    <w:p>
      <w:pPr>
        <w:spacing w:after="0" w:line="153" w:lineRule="exact"/>
        <w:rPr>
          <w:sz w:val="20"/>
          <w:szCs w:val="20"/>
          <w:color w:val="auto"/>
        </w:rPr>
      </w:pPr>
    </w:p>
    <w:p>
      <w:pPr>
        <w:ind w:left="460"/>
        <w:spacing w:after="0"/>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135">
        <w:r>
          <w:rPr>
            <w:rFonts w:ascii="Times New Roman" w:cs="Times New Roman" w:eastAsia="Times New Roman" w:hAnsi="Times New Roman"/>
            <w:sz w:val="18"/>
            <w:szCs w:val="18"/>
            <w:u w:val="single" w:color="auto"/>
            <w:color w:val="0000FF"/>
          </w:rPr>
          <w:t xml:space="preserve">Form of Amendment to Warrant Confirmation (Filed as Exhibit 10.2 to Itron, Inc's </w:t>
        </w:r>
      </w:hyperlink>
      <w:r>
        <w:rPr>
          <w:rFonts w:ascii="Times New Roman" w:cs="Times New Roman" w:eastAsia="Times New Roman" w:hAnsi="Times New Roman"/>
          <w:sz w:val="18"/>
          <w:szCs w:val="18"/>
          <w:u w:val="single" w:color="auto"/>
          <w:color w:val="0000FF"/>
        </w:rPr>
        <w:t xml:space="preserve">Quarterly </w:t>
      </w:r>
      <w:hyperlink r:id="rId135">
        <w:r>
          <w:rPr>
            <w:rFonts w:ascii="Times New Roman" w:cs="Times New Roman" w:eastAsia="Times New Roman" w:hAnsi="Times New Roman"/>
            <w:sz w:val="18"/>
            <w:szCs w:val="18"/>
            <w:u w:val="single" w:color="auto"/>
            <w:color w:val="0000FF"/>
          </w:rPr>
          <w:t>Report on Form 10-Q, filed on August 1,</w:t>
        </w:r>
      </w:hyperlink>
    </w:p>
    <w:p>
      <w:pPr>
        <w:ind w:left="136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2024)</w:t>
        </w:r>
      </w:hyperlink>
    </w:p>
    <w:p>
      <w:pPr>
        <w:spacing w:after="0" w:line="178"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36">
        <w:r>
          <w:rPr>
            <w:rFonts w:ascii="Times New Roman" w:cs="Times New Roman" w:eastAsia="Times New Roman" w:hAnsi="Times New Roman"/>
            <w:sz w:val="18"/>
            <w:szCs w:val="18"/>
            <w:u w:val="single" w:color="auto"/>
            <w:color w:val="0000FF"/>
          </w:rPr>
          <w:t>Form of Second Amended and Restated Change in Control Severance Agreement for Executive Officers. (Filed as Exhibit 10.1 to Itron,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Inc's Annual Report on Form 10-K, filed on February 26, 2024)</w:t>
        </w:r>
      </w:hyperlink>
    </w:p>
    <w:p>
      <w:pPr>
        <w:spacing w:after="0" w:line="172"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37">
        <w:r>
          <w:rPr>
            <w:rFonts w:ascii="Times New Roman" w:cs="Times New Roman" w:eastAsia="Times New Roman" w:hAnsi="Times New Roman"/>
            <w:sz w:val="18"/>
            <w:szCs w:val="18"/>
            <w:u w:val="single" w:color="auto"/>
            <w:color w:val="0000FF"/>
          </w:rPr>
          <w:t>Second Amended and Restated Change in Control Severance Agreement, dated May 12, 2022, by and between Itron, Inc. and Thomas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L. Deitrich (Filed as Exhibit 10.2 to Itron, Inc.'s Quarterly Report on Form 10-Q, filed on August 4, 2022)</w:t>
        </w:r>
      </w:hyperlink>
    </w:p>
    <w:p>
      <w:pPr>
        <w:spacing w:after="0" w:line="172"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38">
        <w:r>
          <w:rPr>
            <w:rFonts w:ascii="Times New Roman" w:cs="Times New Roman" w:eastAsia="Times New Roman" w:hAnsi="Times New Roman"/>
            <w:sz w:val="18"/>
            <w:szCs w:val="18"/>
            <w:u w:val="single" w:color="auto"/>
            <w:color w:val="0000FF"/>
          </w:rPr>
          <w:t>Form of Indemnification Agreements between Itron, Inc. and certain directors and officers. (Filed as Exhibit 10.3 to Itron, Inc's Annual</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Report on Form 10-K, filed on February 26, 2024)</w:t>
        </w:r>
      </w:hyperlink>
    </w:p>
    <w:p>
      <w:pPr>
        <w:spacing w:after="0" w:line="172"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39">
        <w:r>
          <w:rPr>
            <w:rFonts w:ascii="Times New Roman" w:cs="Times New Roman" w:eastAsia="Times New Roman" w:hAnsi="Times New Roman"/>
            <w:sz w:val="18"/>
            <w:szCs w:val="18"/>
            <w:u w:val="single" w:color="auto"/>
            <w:color w:val="0000FF"/>
          </w:rPr>
          <w:t>Second Amended and Restated 2010 Stock Incentive Plan. (Filed as Exhibit 10.4 to Itron, Inc's Annual Report on Form 10-K, filed on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February 26, 2024)</w:t>
        </w:r>
      </w:hyperlink>
    </w:p>
    <w:p>
      <w:pPr>
        <w:spacing w:after="0" w:line="172" w:lineRule="exact"/>
        <w:rPr>
          <w:sz w:val="20"/>
          <w:szCs w:val="20"/>
          <w:color w:val="auto"/>
        </w:rPr>
      </w:pPr>
    </w:p>
    <w:p>
      <w:pPr>
        <w:ind w:left="1360" w:right="2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40">
        <w:r>
          <w:rPr>
            <w:rFonts w:ascii="Times New Roman" w:cs="Times New Roman" w:eastAsia="Times New Roman" w:hAnsi="Times New Roman"/>
            <w:sz w:val="18"/>
            <w:szCs w:val="18"/>
            <w:u w:val="single" w:color="auto"/>
            <w:color w:val="0000FF"/>
          </w:rPr>
          <w:t>Amended and Restated 2012 Employee Stock Purchase Plan. (Filed as Exhibit 10.21 to Itron, Inc.'s Annual Report on Form 10-K, filed</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on February 24, 2021)</w:t>
        </w:r>
      </w:hyperlink>
    </w:p>
    <w:p>
      <w:pPr>
        <w:spacing w:after="0" w:line="172"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10.6       </w:t>
      </w:r>
      <w:hyperlink r:id="rId141">
        <w:r>
          <w:rPr>
            <w:rFonts w:ascii="Times New Roman" w:cs="Times New Roman" w:eastAsia="Times New Roman" w:hAnsi="Times New Roman"/>
            <w:sz w:val="18"/>
            <w:szCs w:val="18"/>
            <w:u w:val="single" w:color="auto"/>
            <w:color w:val="0000FF"/>
          </w:rPr>
          <w:t>Cooperation Agreement by and among Itron, Inc., Coppersmith Capital Management LLC, Scopia Management, Inc. and certain of their</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FF"/>
          </w:rPr>
          <w:t>specified affiliates, Jerome J. Lande and Peter Mainz, dated as of December 9, 2015. (Filed as Exhibit 10.1 to Itron, Inc.'s Current</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Report on Form 8-K, filed on December 11, 2015)</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3340" w:type="dxa"/>
            <w:vAlign w:val="bottom"/>
          </w:tcPr>
          <w:p>
            <w:pPr>
              <w:jc w:val="center"/>
              <w:ind w:right="1970"/>
              <w:spacing w:after="0"/>
              <w:rPr>
                <w:sz w:val="20"/>
                <w:szCs w:val="20"/>
                <w:color w:val="auto"/>
              </w:rPr>
            </w:pPr>
            <w:r>
              <w:rPr>
                <w:rFonts w:ascii="Times New Roman" w:cs="Times New Roman" w:eastAsia="Times New Roman" w:hAnsi="Times New Roman"/>
                <w:sz w:val="18"/>
                <w:szCs w:val="18"/>
                <w:u w:val="single" w:color="auto"/>
                <w:color w:val="0000FF"/>
                <w:w w:val="99"/>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10.7       </w:t>
      </w:r>
      <w:hyperlink r:id="rId144">
        <w:r>
          <w:rPr>
            <w:rFonts w:ascii="Times New Roman" w:cs="Times New Roman" w:eastAsia="Times New Roman" w:hAnsi="Times New Roman"/>
            <w:sz w:val="18"/>
            <w:szCs w:val="18"/>
            <w:u w:val="single" w:color="auto"/>
            <w:color w:val="0000FF"/>
          </w:rPr>
          <w:t>Amendment to Cooperation Agreement by and among Itron, Inc., Coppersmith Capital Management LLC, Scopia Management, Inc.</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0000FF"/>
          </w:rPr>
          <w:t>and certain of their specified affiliates, Jerome J. Lande and Peter Mainz. (Filed as Exhibit 10.2 to Itron, Inc.'s Quarterly Report on Form</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10-Q, filed on November 3, 2016)</w:t>
        </w:r>
      </w:hyperlink>
    </w:p>
    <w:p>
      <w:pPr>
        <w:spacing w:after="0" w:line="165" w:lineRule="exact"/>
        <w:rPr>
          <w:sz w:val="20"/>
          <w:szCs w:val="20"/>
          <w:color w:val="auto"/>
        </w:rPr>
      </w:pPr>
    </w:p>
    <w:p>
      <w:pPr>
        <w:jc w:val="right"/>
        <w:ind w:left="46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10.8       </w:t>
      </w:r>
      <w:hyperlink r:id="rId145">
        <w:r>
          <w:rPr>
            <w:rFonts w:ascii="Times New Roman" w:cs="Times New Roman" w:eastAsia="Times New Roman" w:hAnsi="Times New Roman"/>
            <w:sz w:val="18"/>
            <w:szCs w:val="18"/>
            <w:u w:val="single" w:color="auto"/>
            <w:color w:val="0000FF"/>
          </w:rPr>
          <w:t>First Amendment to Cooperation Agreement, dated November 1, 2017, by and among Itron, Inc., Scopia Management, Inc. and certain</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of their specified affiliates, Jerome J. Lande and certain other individuals. (Filed as Exhibit 10.1 to Itron, Inc.'s Current Report on Form</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8-K, filed on November 2, 2017)</w:t>
        </w:r>
      </w:hyperlink>
    </w:p>
    <w:p>
      <w:pPr>
        <w:spacing w:after="0" w:line="165" w:lineRule="exact"/>
        <w:rPr>
          <w:sz w:val="20"/>
          <w:szCs w:val="20"/>
          <w:color w:val="auto"/>
        </w:rPr>
      </w:pPr>
    </w:p>
    <w:p>
      <w:pPr>
        <w:ind w:left="1360" w:hanging="942"/>
        <w:spacing w:after="0" w:line="237" w:lineRule="auto"/>
        <w:tabs>
          <w:tab w:leader="none" w:pos="13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46">
        <w:r>
          <w:rPr>
            <w:rFonts w:ascii="Times New Roman" w:cs="Times New Roman" w:eastAsia="Times New Roman" w:hAnsi="Times New Roman"/>
            <w:sz w:val="18"/>
            <w:szCs w:val="18"/>
            <w:u w:val="single" w:color="auto"/>
            <w:color w:val="0000FF"/>
          </w:rPr>
          <w:t>Employment Agreement between Itron, Inc. and Thomas L. Deitrich, dated July 16, 2019. (Filed as Exhibit 10.1 to Itron, Inc.'s Current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Report on Form 8-K, filed on July 22, 2019)</w:t>
        </w:r>
      </w:hyperlink>
    </w:p>
    <w:p>
      <w:pPr>
        <w:spacing w:after="0" w:line="172" w:lineRule="exact"/>
        <w:rPr>
          <w:sz w:val="20"/>
          <w:szCs w:val="20"/>
          <w:color w:val="auto"/>
        </w:rPr>
      </w:pPr>
    </w:p>
    <w:p>
      <w:pPr>
        <w:jc w:val="right"/>
        <w:ind w:left="38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10.10*      </w:t>
      </w:r>
      <w:hyperlink r:id="rId147">
        <w:r>
          <w:rPr>
            <w:rFonts w:ascii="Times New Roman" w:cs="Times New Roman" w:eastAsia="Times New Roman" w:hAnsi="Times New Roman"/>
            <w:sz w:val="18"/>
            <w:szCs w:val="18"/>
            <w:u w:val="single" w:color="auto"/>
            <w:color w:val="0000FF"/>
          </w:rPr>
          <w:t>Form of Long-Term Performance RSU Award Notice and Agreement for U.S Participants for use in connection with Itron, Inc.'s Second</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0000FF"/>
          </w:rPr>
          <w:t>Amended and Restated 2010 Stock Incentive Plan. (Filed as Exhibit 10.39 to Itron, Inc's Annual report on Form 10-K, filed on February</w:t>
        </w:r>
      </w:hyperlink>
    </w:p>
    <w:p>
      <w:pPr>
        <w:spacing w:after="0" w:line="2" w:lineRule="exact"/>
        <w:rPr>
          <w:sz w:val="20"/>
          <w:szCs w:val="20"/>
          <w:color w:val="auto"/>
        </w:rPr>
      </w:pPr>
    </w:p>
    <w:p>
      <w:pPr>
        <w:ind w:left="136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26, 2020)</w:t>
        </w:r>
      </w:hyperlink>
    </w:p>
    <w:p>
      <w:pPr>
        <w:sectPr>
          <w:pgSz w:w="11900" w:h="16838" w:orient="portrait"/>
          <w:cols w:equalWidth="0" w:num="1">
            <w:col w:w="11220"/>
          </w:cols>
          <w:pgMar w:left="320" w:top="121" w:right="359" w:bottom="1440" w:gutter="0" w:footer="0" w:header="0"/>
        </w:sectPr>
      </w:pP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10.11*</w:t>
      </w: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10.12*</w:t>
      </w: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10.13*</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10.14*</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10.15*</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10.16*</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10.17*</w:t>
      </w:r>
    </w:p>
    <w:p>
      <w:pPr>
        <w:spacing w:after="0" w:line="2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10.18*</w:t>
      </w:r>
    </w:p>
    <w:p>
      <w:pPr>
        <w:spacing w:after="0" w:line="1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19.1</w:t>
      </w:r>
    </w:p>
    <w:p>
      <w:pPr>
        <w:spacing w:after="0" w:line="17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21.1</w:t>
      </w:r>
    </w:p>
    <w:p>
      <w:pPr>
        <w:spacing w:after="0" w:line="1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23.1</w:t>
      </w:r>
    </w:p>
    <w:p>
      <w:pPr>
        <w:spacing w:after="0" w:line="1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31.1</w:t>
      </w:r>
    </w:p>
    <w:p>
      <w:pPr>
        <w:spacing w:after="0" w:line="1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31.2</w:t>
      </w:r>
    </w:p>
    <w:p>
      <w:pPr>
        <w:spacing w:after="0" w:line="18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RSU Award Notice and Agreement for all Participants for use in connection with Itron, Inc.'s Second Amended and Restated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2010 Stock Incentive Plan. (Filed as Exhibit 10.36 to Itron. Inc.'s Annual Report on Form 10-K, filed on February 24, 2021)</w:t>
        </w:r>
      </w:hyperlink>
    </w:p>
    <w:p>
      <w:pPr>
        <w:spacing w:after="0" w:line="172"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Amended and Restated 2012 Employee Stock Purchase Plan. (Filed as Appendix A to Itron, Inc.'s Proxy Statement for the 2023 Annual</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Meeting of Shareholders, filed on March 21, 2023)</w:t>
        </w:r>
      </w:hyperlink>
    </w:p>
    <w:p>
      <w:pPr>
        <w:spacing w:after="0" w:line="1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2023 Itron Incentive Plan (Filed as Exhibit 10.29 to Itron, Inc's Annual Report on Form 10-K, filed on February 26, 2024)</w:t>
        </w:r>
      </w:hyperlink>
    </w:p>
    <w:p>
      <w:pPr>
        <w:spacing w:after="0" w:line="1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Executive Officer Severance Pay Policy (Filed as Exhibit 10.30 to Itron, Inc's Annual Report on Form 10-K, filed on February 26, 2024)</w:t>
        </w:r>
      </w:hyperlink>
    </w:p>
    <w:p>
      <w:pPr>
        <w:spacing w:after="0" w:line="185"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Itron, Inc. Executive Deferred Compensation Plan (Filed as Exhibit 10.32 to Itron, Inc's Annual Report on Form 10-K, filed on February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26, 2024)</w:t>
        </w:r>
      </w:hyperlink>
    </w:p>
    <w:p>
      <w:pPr>
        <w:spacing w:after="0" w:line="15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Third Amended and Restated 2010 Stock Incentive Plan. (Filed as Exhibit 10.4 to Itron, Inc's Quarterly Report on Form 10-Q, filed on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August 1, 2024)</w:t>
        </w:r>
      </w:hyperlink>
    </w:p>
    <w:p>
      <w:pPr>
        <w:spacing w:after="0" w:line="15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Third Amendment to the Executive Deferred Compensation Plan. (Filed as Exhibit 10.5 to Itron, Inc's Quarterly Report on Form 10-Q,</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filed on August 1, 2024)</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2024 Itron Incentive Plan (filed with this report)</w:t>
      </w:r>
    </w:p>
    <w:p>
      <w:pPr>
        <w:spacing w:after="0" w:line="17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Insider Trading Policy (Filed as Exhibit 10.31 to Itron, Inc's Annual Report on Form 10-K, filed on February 26, 2024)</w:t>
        </w:r>
      </w:hyperlink>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Itron, Inc. (filed with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Independent Registered Public Accounting Firm. (filed with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Pursuant to Section 302 of the Sarbanes-Oxley Act of 2002. (filed with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Pursuant to Section 302 of the Sarbanes-Oxley Act of 2002. (filed with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Pursuant to Section 906 of the Sarbanes-Oxley Act of 2002. (furnished with this report)</w:t>
      </w:r>
    </w:p>
    <w:p>
      <w:pPr>
        <w:spacing w:after="0" w:line="171" w:lineRule="exact"/>
        <w:rPr>
          <w:sz w:val="20"/>
          <w:szCs w:val="20"/>
          <w:color w:val="auto"/>
        </w:rPr>
      </w:pPr>
    </w:p>
    <w:p>
      <w:pPr>
        <w:sectPr>
          <w:pgSz w:w="11900" w:h="16838" w:orient="portrait"/>
          <w:cols w:equalWidth="0" w:num="2">
            <w:col w:w="860" w:space="500"/>
            <w:col w:w="9860"/>
          </w:cols>
          <w:pgMar w:left="320" w:top="121" w:right="359"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9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w w:val="95"/>
              </w:rPr>
              <w:t>97.1</w:t>
            </w:r>
          </w:p>
        </w:tc>
        <w:tc>
          <w:tcPr>
            <w:tcW w:w="98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Incentive Compensation Recovery (Clawback) Policy (Filed as Exhibit 97.1 to Itron, Inc's Annual Report on Form 10-K, filed on</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9860" w:type="dxa"/>
            <w:vAlign w:val="bottom"/>
            <w:gridSpan w:val="2"/>
            <w:vMerge w:val="restart"/>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February 26, 2024)</w:t>
              </w:r>
            </w:hyperlink>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9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340" w:type="dxa"/>
            <w:vAlign w:val="bottom"/>
          </w:tcPr>
          <w:p>
            <w:pPr>
              <w:jc w:val="center"/>
              <w:ind w:right="1970"/>
              <w:spacing w:after="0"/>
              <w:rPr>
                <w:sz w:val="20"/>
                <w:szCs w:val="20"/>
                <w:color w:val="auto"/>
              </w:rPr>
            </w:pPr>
            <w:r>
              <w:rPr>
                <w:rFonts w:ascii="Times New Roman" w:cs="Times New Roman" w:eastAsia="Times New Roman" w:hAnsi="Times New Roman"/>
                <w:sz w:val="18"/>
                <w:szCs w:val="18"/>
                <w:u w:val="single" w:color="auto"/>
                <w:color w:val="0000FF"/>
                <w:w w:val="99"/>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84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0" w:type="dxa"/>
            <w:vAlign w:val="bottom"/>
          </w:tcPr>
          <w:p>
            <w:pPr>
              <w:spacing w:after="0"/>
              <w:rPr>
                <w:sz w:val="1"/>
                <w:szCs w:val="1"/>
                <w:color w:val="auto"/>
              </w:rPr>
            </w:pPr>
          </w:p>
        </w:tc>
      </w:tr>
      <w:tr>
        <w:trPr>
          <w:trHeight w:val="243"/>
        </w:trPr>
        <w:tc>
          <w:tcPr>
            <w:tcW w:w="33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360" w:hanging="873"/>
        <w:spacing w:after="0" w:line="224"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Annual Report on Form 10-K for the year ended December 31, 2024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59"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5" w:lineRule="exact"/>
        <w:rPr>
          <w:sz w:val="20"/>
          <w:szCs w:val="20"/>
          <w:color w:val="auto"/>
        </w:rPr>
      </w:pPr>
    </w:p>
    <w:p>
      <w:pPr>
        <w:ind w:left="1360" w:hanging="783"/>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25th day of February, 2025.</w:t>
      </w:r>
    </w:p>
    <w:p>
      <w:pPr>
        <w:spacing w:after="0" w:line="14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ITRON, INC.</w:t>
      </w:r>
    </w:p>
    <w:p>
      <w:pPr>
        <w:spacing w:after="0" w:line="293" w:lineRule="exact"/>
        <w:rPr>
          <w:sz w:val="20"/>
          <w:szCs w:val="20"/>
          <w:color w:val="auto"/>
        </w:rPr>
      </w:pPr>
    </w:p>
    <w:p>
      <w:pPr>
        <w:ind w:left="382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17145</wp:posOffset>
            </wp:positionV>
            <wp:extent cx="45091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12"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25th day of February,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ind w:right="1248"/>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220" w:type="dxa"/>
            <w:vAlign w:val="bottom"/>
          </w:tcPr>
          <w:p>
            <w:pPr>
              <w:spacing w:after="0"/>
              <w:rPr>
                <w:sz w:val="18"/>
                <w:szCs w:val="18"/>
                <w:color w:val="auto"/>
              </w:rPr>
            </w:pPr>
          </w:p>
        </w:tc>
        <w:tc>
          <w:tcPr>
            <w:tcW w:w="710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378"/>
        </w:trPr>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THOMAS L. DEITRICH</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(Principal Executive Officer), 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68"/>
              <w:spacing w:after="0"/>
              <w:rPr>
                <w:sz w:val="20"/>
                <w:szCs w:val="20"/>
                <w:color w:val="auto"/>
              </w:rPr>
            </w:pPr>
            <w:r>
              <w:rPr>
                <w:rFonts w:ascii="Times New Roman" w:cs="Times New Roman" w:eastAsia="Times New Roman" w:hAnsi="Times New Roman"/>
                <w:sz w:val="14"/>
                <w:szCs w:val="14"/>
                <w:b w:val="1"/>
                <w:bCs w:val="1"/>
                <w:color w:val="auto"/>
              </w:rPr>
              <w:t>Thomas L. Deitrich</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2720" w:type="dxa"/>
            <w:vAlign w:val="bottom"/>
            <w:gridSpan w:val="2"/>
          </w:tcPr>
          <w:p>
            <w:pPr>
              <w:jc w:val="center"/>
              <w:ind w:right="1068"/>
              <w:spacing w:after="0"/>
              <w:rPr>
                <w:sz w:val="20"/>
                <w:szCs w:val="20"/>
                <w:color w:val="auto"/>
              </w:rPr>
            </w:pPr>
            <w:r>
              <w:rPr>
                <w:rFonts w:ascii="Times New Roman" w:cs="Times New Roman" w:eastAsia="Times New Roman" w:hAnsi="Times New Roman"/>
                <w:sz w:val="14"/>
                <w:szCs w:val="14"/>
                <w:color w:val="auto"/>
              </w:rPr>
              <w:t>/s/  JOAN S. HOOPER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Joan S. Hooper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DAVID M. WRIGHT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Vice President, Corporate Controller and Chief Accounting Officer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David M. Wright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gridSpan w:val="2"/>
          </w:tcPr>
          <w:p>
            <w:pPr>
              <w:jc w:val="center"/>
              <w:ind w:right="808"/>
              <w:spacing w:after="0"/>
              <w:rPr>
                <w:sz w:val="20"/>
                <w:szCs w:val="20"/>
                <w:color w:val="auto"/>
              </w:rPr>
            </w:pPr>
            <w:r>
              <w:rPr>
                <w:rFonts w:ascii="Times New Roman" w:cs="Times New Roman" w:eastAsia="Times New Roman" w:hAnsi="Times New Roman"/>
                <w:sz w:val="14"/>
                <w:szCs w:val="14"/>
                <w:color w:val="auto"/>
              </w:rPr>
              <w:t>MARY C. HEMMINGSEN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2720" w:type="dxa"/>
            <w:vAlign w:val="bottom"/>
            <w:gridSpan w:val="2"/>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Mary C. Hemmingsen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FRANK M. JAEHNERT</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Frank M. Jaehnert</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5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JEROME J. LANDE</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Jerome J. Lande</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TIMOTHY M. LEYDEN</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2720" w:type="dxa"/>
            <w:vAlign w:val="bottom"/>
            <w:gridSpan w:val="2"/>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Timothy M. Leyden</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/s/</w:t>
            </w:r>
          </w:p>
        </w:tc>
        <w:tc>
          <w:tcPr>
            <w:tcW w:w="2720" w:type="dxa"/>
            <w:vAlign w:val="bottom"/>
            <w:gridSpan w:val="2"/>
          </w:tcPr>
          <w:p>
            <w:pPr>
              <w:jc w:val="center"/>
              <w:ind w:right="788"/>
              <w:spacing w:after="0"/>
              <w:rPr>
                <w:sz w:val="20"/>
                <w:szCs w:val="20"/>
                <w:color w:val="auto"/>
              </w:rPr>
            </w:pPr>
            <w:r>
              <w:rPr>
                <w:rFonts w:ascii="Times New Roman" w:cs="Times New Roman" w:eastAsia="Times New Roman" w:hAnsi="Times New Roman"/>
                <w:sz w:val="14"/>
                <w:szCs w:val="14"/>
                <w:color w:val="auto"/>
              </w:rPr>
              <w:t>SANJAY MIRCHANDANI</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2720" w:type="dxa"/>
            <w:vAlign w:val="bottom"/>
            <w:gridSpan w:val="2"/>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Sanjay Mirchandani</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0"/>
              </w:rPr>
              <w:t>/s/</w:t>
            </w:r>
          </w:p>
        </w:tc>
        <w:tc>
          <w:tcPr>
            <w:tcW w:w="25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SANTIAGO PEREZ</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68"/>
              <w:spacing w:after="0"/>
              <w:rPr>
                <w:sz w:val="20"/>
                <w:szCs w:val="20"/>
                <w:color w:val="auto"/>
              </w:rPr>
            </w:pPr>
            <w:r>
              <w:rPr>
                <w:rFonts w:ascii="Times New Roman" w:cs="Times New Roman" w:eastAsia="Times New Roman" w:hAnsi="Times New Roman"/>
                <w:sz w:val="14"/>
                <w:szCs w:val="14"/>
                <w:b w:val="1"/>
                <w:bCs w:val="1"/>
                <w:color w:val="auto"/>
              </w:rPr>
              <w:t>Santiago Perez</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DIANA D. TREMBLAY</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Chair of the Board</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48"/>
              <w:spacing w:after="0"/>
              <w:rPr>
                <w:sz w:val="20"/>
                <w:szCs w:val="20"/>
                <w:color w:val="auto"/>
              </w:rPr>
            </w:pPr>
            <w:r>
              <w:rPr>
                <w:rFonts w:ascii="Times New Roman" w:cs="Times New Roman" w:eastAsia="Times New Roman" w:hAnsi="Times New Roman"/>
                <w:sz w:val="14"/>
                <w:szCs w:val="14"/>
                <w:b w:val="1"/>
                <w:bCs w:val="1"/>
                <w:color w:val="auto"/>
              </w:rPr>
              <w:t>Diana D. Tremblay</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2540" w:type="dxa"/>
            <w:vAlign w:val="bottom"/>
          </w:tcPr>
          <w:p>
            <w:pPr>
              <w:jc w:val="center"/>
              <w:ind w:right="988"/>
              <w:spacing w:after="0"/>
              <w:rPr>
                <w:sz w:val="20"/>
                <w:szCs w:val="20"/>
                <w:color w:val="auto"/>
              </w:rPr>
            </w:pPr>
            <w:r>
              <w:rPr>
                <w:rFonts w:ascii="Times New Roman" w:cs="Times New Roman" w:eastAsia="Times New Roman" w:hAnsi="Times New Roman"/>
                <w:sz w:val="14"/>
                <w:szCs w:val="14"/>
                <w:color w:val="auto"/>
              </w:rPr>
              <w:t>LYNDA L. ZIEGLER</w:t>
            </w:r>
          </w:p>
        </w:tc>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jc w:val="center"/>
              <w:ind w:right="1268"/>
              <w:spacing w:after="0"/>
              <w:rPr>
                <w:sz w:val="20"/>
                <w:szCs w:val="20"/>
                <w:color w:val="auto"/>
              </w:rPr>
            </w:pPr>
            <w:r>
              <w:rPr>
                <w:rFonts w:ascii="Times New Roman" w:cs="Times New Roman" w:eastAsia="Times New Roman" w:hAnsi="Times New Roman"/>
                <w:sz w:val="14"/>
                <w:szCs w:val="14"/>
                <w:b w:val="1"/>
                <w:bCs w:val="1"/>
                <w:color w:val="auto"/>
              </w:rPr>
              <w:t>Lynda L. Ziegler</w:t>
            </w:r>
          </w:p>
        </w:tc>
        <w:tc>
          <w:tcPr>
            <w:tcW w:w="220" w:type="dxa"/>
            <w:vAlign w:val="bottom"/>
          </w:tcPr>
          <w:p>
            <w:pPr>
              <w:spacing w:after="0"/>
              <w:rPr>
                <w:sz w:val="15"/>
                <w:szCs w:val="15"/>
                <w:color w:val="auto"/>
              </w:rPr>
            </w:pPr>
          </w:p>
        </w:tc>
        <w:tc>
          <w:tcPr>
            <w:tcW w:w="7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746240" cy="2708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6746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Overview</w:t>
      </w:r>
    </w:p>
    <w:p>
      <w:pPr>
        <w:spacing w:after="0" w:line="3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Itron Incentive Plan (“IIP”, or “Plan”) provides a cash payout (the “IIP Award”) to eligible participants based on attainment of financial metrics, quantitative strategic goals (“Performance Metrics”), and an assessment of individual performance. The period of January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through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(“Performance Period”) is used to measure results. The Performance Metrics are established to measure the degree of business achievement during the Performance Period and approved in December of the preceding year. The Performance Metrics are set forth in Exhibit A.</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Following the completion of the Performance Period, actual performance relative to the Performance Metrics will be assessed. Each participant’s individual performance will also be assessed the following January and used to adjust their individual IIP Award payout through the application of an Individual Performance Factor (“IPF”). The IIP Award, if any, will be determined in accordance with the Award formula as defined in Exhibit A.</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Eligibility</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Participation in the Plan is reviewed annually and is based on the position that the employee holds at that time. Final approval of IIP eligibility and IIP Award payments are approved by the SVP HR and/or President &amp; CEO as delegated by the Compensation Committee of the Board of Directors.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Except as set forth below, each IIP participant must be an eligible employee as of the first day of the Performance Period and be actively employed by Itron during the Performance Period and on the date IIP Awards, if any, are paid. IIP Participants who do not actively work during the entire Performance Period, but are employed on the payout date, will receive a reduced payout which will be pro-rated for the absence period, unless any such deductions are prohibited by applicable law or stated otherwise in this Plan.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Any employee who becomes an eligible employee because of a new hire (including as the result of an acquisition or merger) after the first day of the Performance Period may become eligible to participate in the Plan and receive an IIP Award. The IIP Award will be pro-rated based on the number of calendar days that the employee qualified as an eligible employee during the Performance Period. Similarly, if during the Performance Period an eligible employee is transferred to another role for which different performance measures apply, the IIP Award, if any, will be calculated by considering the performance measures for each role. The time will be pro-rated based on the actual time that the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spent in each role during the Performance Period. Any employee who becomes an eligible employee because of a promotion after the first day of a Performance Period may become eligible to participate in the Plan and receive an IIP Award. The entire Performance Period shall be used as the basis for any payment under the Plan. Participants must be in an IIP eligible position on or before October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Performance Period to be eligible for payment under the Plan.</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Award Opportunities</w:t>
      </w:r>
    </w:p>
    <w:p>
      <w:pPr>
        <w:spacing w:after="0" w:line="3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Each IIP participant shall have the opportunity to earn an IIP Award based upon the achievement of predetermined Performance Metrics, and an assessment of a participant’s individual performance. Each IIP participant shall be assigned a percentage of their base salary (“target percentage”) commensurate with their position’s organizational level that will be used in calculating the amount of their IIP Target Award, if any. The IIP participant’s base salary and target percentage as of December 31</w:t>
      </w:r>
      <w:r>
        <w:rPr>
          <w:rFonts w:ascii="Arial" w:cs="Arial" w:eastAsia="Arial" w:hAnsi="Arial"/>
          <w:sz w:val="25"/>
          <w:szCs w:val="25"/>
          <w:color w:val="auto"/>
          <w:vertAlign w:val="superscript"/>
        </w:rPr>
        <w:t>st</w:t>
      </w:r>
      <w:r>
        <w:rPr>
          <w:rFonts w:ascii="Arial" w:cs="Arial" w:eastAsia="Arial" w:hAnsi="Arial"/>
          <w:sz w:val="20"/>
          <w:szCs w:val="20"/>
          <w:color w:val="auto"/>
        </w:rPr>
        <w:t>, 2024, will be used for purposes of the IIP calculation.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If the overall EBITDA threshold as defined in Exhibit A is met for the Performance Period, the financial objectives of the IIP Award will be considered for payment. The definition of each metric and its measurement is provided in Exhibit B. Quantitative Strategic Goals are not subject to the EBITDA threshold. Maximum payout percentages for each element of the 2024 Performance Metrics of the IIP are also set forth in Exhibit A.</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Plan also includes an IPF that is applied based on the participant’s annual performance as defined in Exhibit A. The participant’s manager will assess the participant’s individual performance and an IPF will be assigned reflecting the manager’s assessment by applying a multiplier (range of 0.0 – 1.5) against the calculated payout.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Adjustments: </w:t>
      </w:r>
      <w:r>
        <w:rPr>
          <w:rFonts w:ascii="Arial" w:cs="Arial" w:eastAsia="Arial" w:hAnsi="Arial"/>
          <w:sz w:val="20"/>
          <w:szCs w:val="20"/>
          <w:color w:val="auto"/>
        </w:rPr>
        <w:t>To the extent applicable, the Compensation Committee or Designee may take into account such adjustments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or excluding, without limitation, one or more of the following: foreign exchange rates, items that are extraordinary or unusual in nature or infrequent in occurrence, including one-time or non-recurring items; items related to a change in accounting principles under GAAP; items related to changes in law or regulatory requirements; items related to financing activities; expenses for restructuring or productivity initiatives; other non-operating items; items related to acquisitions, including transaction-related charges and amortization; items attributable to the business operations of any entity acquired by the Company during the Performance Period; items related to the disposal of a business or segment of a business; items related to discontinued operations that do not qualify as a segment of a business under GAAP; expenses related to natural disasters, pandemics, and other disasters; litigation related expenses; taxes; stock-based compensation; non-cash items; and any other items of significant income or expense which are determined to be appropriate adjustments.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Payouts</w:t>
      </w:r>
    </w:p>
    <w:p>
      <w:pPr>
        <w:spacing w:after="0" w:line="4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Awarded, IIP payments will be communicated and paid to U.S. IIP Participants within a reasonable period after the end of the Performance Period and in any event on or before March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following the end of the Performance Period. For non-U.S. IIP participants, the IIP will be paid before the end of the first quarter or the first pay period in the second quarter based on payroll processing requirements. Any corrections or revisions to an IIP Participant’s IIP Award must be requested by the IIP Participant or their manager before May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year in which the IIP Award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Tax Consequences</w:t>
      </w:r>
    </w:p>
    <w:p>
      <w:pPr>
        <w:spacing w:after="0" w:line="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shall have the right to deduct applicable taxes from any IIP Award and withhold, at the time of delivery of the IIP Award, if any, under the IIP, an appropriate amount for payment of taxes required by applicable law or to take such other action as may be necessary or advisable in the opinion of the Company to satisfy all tax withholding obligations of the IIP participants.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Section 409A. The IIP is intended to satisfy the short-term deferral exception to the application of Internal Revenue Code Section 409A (26 U.S. Code § 409A). To the extent any provision of the IIP becomes subject to Internal Revenue Code Section 409A and the applicable regulations and guidance issued thereunder, it shall be construed, and payments made hereunder, as the Compensation Committee or Designee deems necessary to comply with Internal Revenue Code Section 409A.</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Changes in Employment / Earning of Award</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Death or Disability</w:t>
      </w:r>
    </w:p>
    <w:p>
      <w:pPr>
        <w:spacing w:after="0" w:line="231" w:lineRule="exact"/>
        <w:rPr>
          <w:sz w:val="20"/>
          <w:szCs w:val="20"/>
          <w:color w:val="auto"/>
        </w:rPr>
      </w:pPr>
    </w:p>
    <w:p>
      <w:pPr>
        <w:ind w:right="540"/>
        <w:spacing w:after="0" w:line="271" w:lineRule="auto"/>
        <w:rPr>
          <w:sz w:val="20"/>
          <w:szCs w:val="20"/>
          <w:color w:val="auto"/>
        </w:rPr>
      </w:pPr>
      <w:r>
        <w:rPr>
          <w:rFonts w:ascii="Arial" w:cs="Arial" w:eastAsia="Arial" w:hAnsi="Arial"/>
          <w:sz w:val="20"/>
          <w:szCs w:val="20"/>
          <w:color w:val="auto"/>
        </w:rPr>
        <w:t>IIP participants whose employment relationship with Itron terminates because of death or disability will be eligible to earn a prorated IIP Award based on the actual IIP Award payouts.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w:t>
      </w:r>
    </w:p>
    <w:p>
      <w:pPr>
        <w:spacing w:after="0" w:line="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IIP participants whose employment relationship with Itron terminates because of retirement will be eligible for the IIP Award if employed through the completion of the Performance Period. The IIP participant does not have to be employed at the time the IIP Award is distributed. Retirement in the United States shall mean the earlier of age 65 or age 55 with at least 10 years of service with Itron. Retirement in other jurisdictions/locations shall be determined in accordance with the applicable provisions of the law in the country of employment of the IIP Participant.</w:t>
      </w:r>
    </w:p>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both cases, the IIP Award, if any, will be paid at the time when other IIP participants receive their respective IIP Awards, if any. For those IIP participants whose employment terminates as a result of death, the IIP Award, if any, will be issued to the employee’s estate, unless required otherwise by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Reductions in Force</w:t>
      </w:r>
    </w:p>
    <w:p>
      <w:pPr>
        <w:spacing w:after="0" w:line="243" w:lineRule="exact"/>
        <w:rPr>
          <w:sz w:val="20"/>
          <w:szCs w:val="20"/>
          <w:color w:val="auto"/>
        </w:rPr>
      </w:pPr>
    </w:p>
    <w:p>
      <w:pPr>
        <w:jc w:val="both"/>
        <w:ind w:left="660"/>
        <w:spacing w:after="0" w:line="255" w:lineRule="auto"/>
        <w:rPr>
          <w:sz w:val="20"/>
          <w:szCs w:val="20"/>
          <w:color w:val="auto"/>
        </w:rPr>
      </w:pPr>
      <w:r>
        <w:rPr>
          <w:rFonts w:ascii="Arial" w:cs="Arial" w:eastAsia="Arial" w:hAnsi="Arial"/>
          <w:sz w:val="20"/>
          <w:szCs w:val="20"/>
          <w:b w:val="1"/>
          <w:bCs w:val="1"/>
          <w:color w:val="auto"/>
        </w:rPr>
        <w:t xml:space="preserve">After the Completion of the Performance Period: </w:t>
      </w:r>
      <w:r>
        <w:rPr>
          <w:rFonts w:ascii="Arial" w:cs="Arial" w:eastAsia="Arial" w:hAnsi="Arial"/>
          <w:sz w:val="20"/>
          <w:szCs w:val="20"/>
          <w:color w:val="auto"/>
        </w:rPr>
        <w:t>Unless otherwise required by mandatory provisions of local law,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event an IIP participant’s employment with Itron terminates due to a reduction in force after the completion of the Performance Period but prior to the payout of the IIP Award, the IIP participant will be entitled to receive the IIP Award, if and when any such IIP Award is earned and payable in accordance with the terms of this Plan. The IIP Award, if any, will be paid at the time when other IIP participants receive their respective IIP Awards.</w:t>
      </w:r>
    </w:p>
    <w:p>
      <w:pPr>
        <w:spacing w:after="0" w:line="196"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b w:val="1"/>
          <w:bCs w:val="1"/>
          <w:color w:val="auto"/>
        </w:rPr>
        <w:t xml:space="preserve">Prior to the Completion of the Performance Period: </w:t>
      </w:r>
      <w:r>
        <w:rPr>
          <w:rFonts w:ascii="Arial" w:cs="Arial" w:eastAsia="Arial" w:hAnsi="Arial"/>
          <w:sz w:val="20"/>
          <w:szCs w:val="20"/>
          <w:color w:val="auto"/>
        </w:rPr>
        <w:t>Unless otherwise required by mandatory provisions of local law,</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an IIP participant’s employment with Itron terminates due to a reduction in force prior the completion of the Performance Period, the IIP participant will not be entitled to receive any portion of the IIP Award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 xml:space="preserve">All Other Types of Terminations or Resignations: </w:t>
      </w:r>
      <w:r>
        <w:rPr>
          <w:rFonts w:ascii="Arial" w:cs="Arial" w:eastAsia="Arial" w:hAnsi="Arial"/>
          <w:sz w:val="20"/>
          <w:szCs w:val="20"/>
          <w:color w:val="auto"/>
        </w:rPr>
        <w:t>IIP participants who voluntarily resign or whose employment is terminated</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reason other than death,disability, or retirement prior to the distribution of the IIP Award, if any, shall not be eligible to earn or receive an IIP Award, unless required by mandatory provisions of local law. In those countries where payment of a prorated IIP Award is required when employment is terminated for reasons other than death,disability, or retirement prior to the distribution of the IIP Award, the IIP participant will be eligible to earn an IIP Award on a prorated basis depending on the actual number of days employed during the Performance Period. In such case, the IIP Award, if any, will be calculated based on achievement of the Performance Metrics as determined upon completion of the Performance Period and application of the IPF, in accordance with the Plan and the Award formula. Determination of the IPF will be based upon the performance assessment completed and documented on or around the last date of employment of the IIP participant.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Performance Period</w:t>
      </w:r>
    </w:p>
    <w:p>
      <w:pPr>
        <w:spacing w:after="0" w:line="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the commencement of any Performance Period or any designated fiscal period or period of service, the administrator will (a) designate the IIP participant to receive such Award, and (b) select the Performance Metrics (as defined) applicable to the Performance Period.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Following the completion of the Performance Period, the administrator will certify whether and the extent to which the applicable Performance Metrics have been achieved for such Performance Period.</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Notwithstanding anything to the contrary as set forth herein, as set forth in Exhibit A, the administrator will approve the initial Performance Metrics that must be achieved to fund any bonus payments for participants. If the EBITDA threshold metric is achieved, the financial metrics bonus pool will be funded at the annual operating level to determine payouts. The administrator may also make performance-based adjustments. The Quantitative Strategic Goals are Pass / Fail for 0% or 100% payout and not subject to the EBITDA threshold metric.</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Repayment/Clawback/Recovery</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If participant is subject to another Company compensation recovery policy, payment made under the Itron Incentive Plan shall be subject to repayment in accordance with the provisions of the relevant policy. In addition, payment made under the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Other Conditions</w:t>
      </w:r>
    </w:p>
    <w:p>
      <w:pPr>
        <w:spacing w:after="0" w:line="3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Eligibility for, or actual participation in, the IIP shall not, and is in no way intended to, create an agreement of employment for a definite term. Nothing herein shall, or is intended to, (i) obligate the Company to offer any employee participation in the IIP or similar arrangement in the future, and/or (ii) act as a modification of any employee’s existing terms and conditions of employment. Except as expressly set forth herein, the IIP shall be subject to and administered in accordance with the terms and conditions of the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Governance</w:t>
      </w:r>
    </w:p>
    <w:p>
      <w:pPr>
        <w:spacing w:after="0" w:line="3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The Compensation Committee or Designee shall be responsible for the administration and governance of the Plan. The decisions made by the Compensation Committee or Designee shall be conclusive and binding on all IIP participants.</w:t>
      </w:r>
    </w:p>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 the maximum extent permitted by the applicable law, the Plan shall apply on a global scale to all subsidiaries of Itron, Inc. worldwide. If any of the provisions of the IIP contravenes a mandatory law in a particular country, such mandatory law shall apply in that country.</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FF0000"/>
        </w:rPr>
        <w:t>Amendment, Modification, Payments or Termination of the Plan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Itron reserves the right to amend, modify, payments, or terminate the Plan at any time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Exhibit A</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0000"/>
        </w:rPr>
        <w:t>2024 Itron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30" w:type="dxa"/>
        <w:tblCellMar>
          <w:top w:w="0" w:type="dxa"/>
          <w:left w:w="0" w:type="dxa"/>
          <w:bottom w:w="0" w:type="dxa"/>
          <w:right w:w="0" w:type="dxa"/>
        </w:tblCellMar>
      </w:tblPr>
      <w:tr>
        <w:trPr>
          <w:trHeight w:val="229"/>
        </w:trPr>
        <w:tc>
          <w:tcPr>
            <w:tcW w:w="7960" w:type="dxa"/>
            <w:vAlign w:val="bottom"/>
            <w:tcBorders>
              <w:left w:val="single" w:sz="8" w:color="auto"/>
              <w:right w:val="single" w:sz="8" w:color="auto"/>
            </w:tcBorders>
            <w:shd w:val="clear" w:color="auto" w:fill="000000"/>
          </w:tcPr>
          <w:p>
            <w:pPr>
              <w:ind w:left="2280"/>
              <w:spacing w:after="0"/>
              <w:rPr>
                <w:sz w:val="20"/>
                <w:szCs w:val="20"/>
                <w:color w:val="auto"/>
              </w:rPr>
            </w:pPr>
            <w:r>
              <w:rPr>
                <w:rFonts w:ascii="Arial" w:cs="Arial" w:eastAsia="Arial" w:hAnsi="Arial"/>
                <w:sz w:val="18"/>
                <w:szCs w:val="18"/>
                <w:color w:val="FFFFFF"/>
              </w:rPr>
              <w:t>Performance Metrics</w:t>
            </w:r>
          </w:p>
        </w:tc>
        <w:tc>
          <w:tcPr>
            <w:tcW w:w="1740" w:type="dxa"/>
            <w:vAlign w:val="bottom"/>
            <w:tcBorders>
              <w:right w:val="single" w:sz="8" w:color="auto"/>
            </w:tcBorders>
            <w:shd w:val="clear" w:color="auto" w:fill="000000"/>
          </w:tcPr>
          <w:p>
            <w:pPr>
              <w:ind w:left="440"/>
              <w:spacing w:after="0"/>
              <w:rPr>
                <w:sz w:val="20"/>
                <w:szCs w:val="20"/>
                <w:color w:val="auto"/>
              </w:rPr>
            </w:pPr>
            <w:r>
              <w:rPr>
                <w:rFonts w:ascii="Arial" w:cs="Arial" w:eastAsia="Arial" w:hAnsi="Arial"/>
                <w:sz w:val="18"/>
                <w:szCs w:val="18"/>
                <w:color w:val="FFFFFF"/>
              </w:rPr>
              <w:t>Weighting</w:t>
            </w:r>
          </w:p>
        </w:tc>
      </w:tr>
      <w:tr>
        <w:trPr>
          <w:trHeight w:val="288"/>
        </w:trPr>
        <w:tc>
          <w:tcPr>
            <w:tcW w:w="7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Segments, Total Company, Consolidated Adjusted EBITDA $</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23"/>
        </w:trPr>
        <w:tc>
          <w:tcPr>
            <w:tcW w:w="796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268"/>
        </w:trPr>
        <w:tc>
          <w:tcPr>
            <w:tcW w:w="7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All Segments, Total Company, Consolidated Revenue $</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36"/>
        </w:trPr>
        <w:tc>
          <w:tcPr>
            <w:tcW w:w="796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268"/>
        </w:trPr>
        <w:tc>
          <w:tcPr>
            <w:tcW w:w="79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Quantitative Strategic Goals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w:t>
            </w:r>
          </w:p>
        </w:tc>
      </w:tr>
      <w:tr>
        <w:trPr>
          <w:trHeight w:val="36"/>
        </w:trPr>
        <w:tc>
          <w:tcPr>
            <w:tcW w:w="7960" w:type="dxa"/>
            <w:vAlign w:val="bottom"/>
            <w:tcBorders>
              <w:left w:val="single" w:sz="8" w:color="auto"/>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r>
      <w:tr>
        <w:trPr>
          <w:trHeight w:val="284"/>
        </w:trPr>
        <w:tc>
          <w:tcPr>
            <w:tcW w:w="7960" w:type="dxa"/>
            <w:vAlign w:val="bottom"/>
            <w:tcBorders>
              <w:left w:val="single" w:sz="8" w:color="auto"/>
              <w:bottom w:val="single" w:sz="8" w:color="DADADA"/>
              <w:right w:val="single" w:sz="8" w:color="auto"/>
            </w:tcBorders>
            <w:shd w:val="clear" w:color="auto" w:fill="DADADA"/>
          </w:tcPr>
          <w:p>
            <w:pPr>
              <w:ind w:left="80"/>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bottom w:val="single" w:sz="8" w:color="DADADA"/>
              <w:right w:val="single" w:sz="8" w:color="auto"/>
            </w:tcBorders>
            <w:shd w:val="clear" w:color="auto" w:fill="DADADA"/>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20"/>
        </w:trPr>
        <w:tc>
          <w:tcPr>
            <w:tcW w:w="79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Metrics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Ranges for financial metrics payout go from 0% to 150%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Quantitative Strategic Goals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Ranges for payout is Pass / Fail for 0% to 100%</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Award Formula</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Annual Salary * Target IIP% * Performance Objective Weighting * Performance Objective Attainments* IPF</w:t>
      </w:r>
    </w:p>
    <w:p>
      <w:pPr>
        <w:spacing w:after="0" w:line="236" w:lineRule="exact"/>
        <w:rPr>
          <w:sz w:val="20"/>
          <w:szCs w:val="20"/>
          <w:color w:val="auto"/>
        </w:rPr>
      </w:pPr>
    </w:p>
    <w:p>
      <w:pPr>
        <w:spacing w:after="0" w:line="284" w:lineRule="auto"/>
        <w:rPr>
          <w:sz w:val="20"/>
          <w:szCs w:val="20"/>
          <w:color w:val="auto"/>
        </w:rPr>
      </w:pPr>
      <w:r>
        <w:rPr>
          <w:rFonts w:ascii="Arial" w:cs="Arial" w:eastAsia="Arial" w:hAnsi="Arial"/>
          <w:sz w:val="20"/>
          <w:szCs w:val="20"/>
          <w:b w:val="1"/>
          <w:bCs w:val="1"/>
          <w:color w:val="auto"/>
        </w:rPr>
        <w:t>The Total Company Adjusted EBITDA dollar threshold of 70% must be achieved before the Financial Performance Objectives of the 2024 IIP are payable. The Quantitative Strategic Goals are not subject to the Financial Threshold.</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The final determination of the IIP Award and its payout are subject to approval by the Senior Vice President Human Resources and/or President &amp; CEO as delegated by the Compensation Committee of the Itron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2024 ITRON INCENTIVE PLAN (IIP)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0000"/>
        </w:rPr>
        <w:t>Exhibit 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0000"/>
        </w:rPr>
        <w:t>Definitions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PERIOD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January 1, 2024 through December 31, 2024</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Metrics &amp; Goals</w:t>
      </w:r>
    </w:p>
    <w:p>
      <w:pPr>
        <w:spacing w:after="0" w:line="258" w:lineRule="exact"/>
        <w:rPr>
          <w:sz w:val="20"/>
          <w:szCs w:val="20"/>
          <w:color w:val="auto"/>
        </w:rPr>
      </w:pPr>
    </w:p>
    <w:p>
      <w:pPr>
        <w:ind w:left="660" w:right="680"/>
        <w:spacing w:after="0" w:line="271" w:lineRule="auto"/>
        <w:rPr>
          <w:sz w:val="20"/>
          <w:szCs w:val="20"/>
          <w:color w:val="auto"/>
        </w:rPr>
      </w:pPr>
      <w:r>
        <w:rPr>
          <w:rFonts w:ascii="Arial" w:cs="Arial" w:eastAsia="Arial" w:hAnsi="Arial"/>
          <w:sz w:val="20"/>
          <w:szCs w:val="20"/>
          <w:color w:val="auto"/>
        </w:rPr>
        <w:t>The elements of financial metrics and Quantitative Strategic Goals are collectively referred to as the Performance Metrics.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Metrics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Company Consolidated Adjusted EBITDA</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Total Company Adjusted EBITDA (GAAP Net Income or loss minus interest income, plus interest expense, plus depreciation and amortization, plus restructuring expense, plus acquisition-related expenses plus goodwill impairment and excluding income tax provisions or benefits).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Company Consolidated Revenue</w:t>
      </w:r>
    </w:p>
    <w:p>
      <w:pPr>
        <w:spacing w:after="0" w:line="2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Total Company Consolidated Revenues as recognized in accordance with U.S. generally accepted accounting principles (US GAAP).</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Plan Threshold</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financial threshold of Total Company Adjusted EBITDA dollar attainment is pre-determined for the Financial Objective Performance Period. This established threshold must be achieved for any of the Financial Performance Objectives of the Plan to be earned.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Quantitative Strategic Goals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GGI Bookings: pass/fail &gt; 240MUSD annual GGI Bookings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GHG Reduction: pass/fail on &gt; 5% (for Scope 1 + 2) reduction in GHG Emissions Intensity from 2023 level</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Individual Performance Factor (IPF)</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An annual assessment of the participant’s performance by the participant’s manager. The IPF is applied to the calculated Performance Metrics Award result and will vary by each participant based on their individual performance. The IPF can range from zero (0) to one point five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of 7</w:t>
      </w:r>
    </w:p>
    <w:p>
      <w:pPr>
        <w:spacing w:after="0"/>
        <w:rPr>
          <w:sz w:val="20"/>
          <w:szCs w:val="20"/>
          <w:color w:val="auto"/>
        </w:rPr>
      </w:pPr>
      <w:r>
        <w:rPr>
          <w:rFonts w:ascii="Arial" w:cs="Arial" w:eastAsia="Arial" w:hAnsi="Arial"/>
          <w:sz w:val="20"/>
          <w:szCs w:val="20"/>
          <w:b w:val="1"/>
          <w:bCs w:val="1"/>
          <w:color w:val="FF0000"/>
        </w:rPr>
        <w:t>CONFIDENTIAL</w:t>
      </w:r>
    </w:p>
    <w:p>
      <w:pPr>
        <w:sectPr>
          <w:pgSz w:w="11900" w:h="16838" w:orient="portrait"/>
          <w:cols w:equalWidth="0" w:num="1">
            <w:col w:w="11240"/>
          </w:cols>
          <w:pgMar w:left="320" w:top="7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SUBSIDIARIES OF THE REGISTRANT AT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Itron, Inc. Domestic Subsidiaries</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r>
      <w:tr>
        <w:trPr>
          <w:trHeight w:val="245"/>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Itron Global Holdings LLC</w:t>
            </w:r>
          </w:p>
        </w:tc>
        <w:tc>
          <w:tcPr>
            <w:tcW w:w="416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International,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Networked Solutions,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SSN Holdings, LLC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Cautivo Insurance, Inc.</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4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Australasia Pty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Austria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Belgium S.A.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Canada, Inc.</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Spring Networks International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(Suzhou)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(Suzhou)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Czech Republic s.r.o.</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Asais Conseil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France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France S.A.S.</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Holding Germany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Zähler &amp; Systemtechnik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Unterstutzungskasse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Allmess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Unterstutzungseinrichtung GmbH</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Labs Kft</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India Private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Spring Networks India LLP</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Mecoindo (J.V.)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Management Services Ireland,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Italia SpA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Japan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Global SARL</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Metertek Sdn Bhd (J.V. 100% indirectly owned)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Servicios, S.A. de C.V.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Nederland B.V.</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New Zealand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Polska SP ZOO</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Portugal, Unipessoal, LDA.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Sistemas de Medição Lda.</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Singapore Pte. Ltd. - South Korea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Measurement and Systems (Proprietary)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Belgium S.A. - Rwandan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Systems Singapore Pte.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Spain SLU</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Sweden AB</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bl>
    <w:p>
      <w:pPr>
        <w:sectPr>
          <w:pgSz w:w="11900" w:h="16838" w:orient="portrait"/>
          <w:cols w:equalWidth="0" w:num="1">
            <w:col w:w="11200"/>
          </w:cols>
          <w:pgMar w:left="360" w:top="117"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Itron, Inc. International Subsidiaries</w:t>
            </w:r>
          </w:p>
        </w:tc>
        <w:tc>
          <w:tcPr>
            <w:tcW w:w="384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45"/>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(Thailand) Co.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Ukraine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Ukrgas Meters Company (J.V. Majority)</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France S.A.S - Dubai Branch Office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Metering Solutions UK Limited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Itron Development UK Ltd.</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200"/>
          </w:cols>
          <w:pgMar w:left="360" w:top="918" w:right="1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333-277397 on Form S-3, and Nos. 333-40356, 333-97571, 333-89966, 333-110703, 333-115987, 333-125461, 333-134749, 333-143048, 333-166601, 333-193970, 333-195633, 333-218086, 333-222480, 333-226020, and 333-279291 on Form S-8 of our reports dated February 25, 2025, relating to the financial statements of Itron, Inc. and the effectiveness of Itron, Inc.'s internal control over financial reporting appearing in this Annual Report on Form 10-K for the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73" w:lineRule="auto"/>
        <w:tabs>
          <w:tab w:leader="none" w:pos="9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3488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right="63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Itron,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60"/>
        <w:spacing w:after="0"/>
        <w:tabs>
          <w:tab w:leader="none" w:pos="2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17145</wp:posOffset>
            </wp:positionV>
            <wp:extent cx="32404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2"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6"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of Itron, Inc. (the Company) on Form 10-K for the year ended December 31, 2024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248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2"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February 25, 2025</w:t>
      </w:r>
    </w:p>
    <w:p>
      <w:pPr>
        <w:spacing w:after="0" w:line="22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2486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Joan S. Hooper</w:t>
      </w: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12"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b w:val="1"/>
          <w:bCs w:val="1"/>
          <w:color w:val="auto"/>
        </w:rPr>
        <w:t>February 25,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upperLetter"/>
      <w:start w:val="15"/>
    </w:lvl>
  </w:abstractNum>
  <w:abstractNum w:abstractNumId="10">
    <w:nsid w:val="62BBD95A"/>
    <w:multiLevelType w:val="hybridMultilevel"/>
    <w:lvl w:ilvl="0">
      <w:lvlJc w:val="left"/>
      <w:lvlText w:val="(%1)"/>
      <w:numFmt w:val="upperLetter"/>
      <w:start w:val="1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lvl w:ilvl="1">
      <w:lvlJc w:val="left"/>
      <w:lvlText w:val="\endash "/>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280"/>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jpe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13" Type="http://schemas.openxmlformats.org/officeDocument/2006/relationships/hyperlink" Target="https://www.sec.gov/Archives/edgar/data/780571/000103221003000460/dex31.txt" TargetMode="External"/><Relationship Id="rId114" Type="http://schemas.openxmlformats.org/officeDocument/2006/relationships/hyperlink" Target="https://www.sec.gov/Archives/edgar/data/780571/000119312522055079/d315685dex32.htm" TargetMode="External"/><Relationship Id="rId115" Type="http://schemas.openxmlformats.org/officeDocument/2006/relationships/hyperlink" Target="https://www.sec.gov/Archives/edgar/data/780571/000078057111000007/itriex-428811.htm" TargetMode="External"/><Relationship Id="rId116" Type="http://schemas.openxmlformats.org/officeDocument/2006/relationships/hyperlink" Target="https://www.sec.gov/Archives/edgar/data/780571/000078057115000024/itriex-426232015.htm" TargetMode="External"/><Relationship Id="rId117" Type="http://schemas.openxmlformats.org/officeDocument/2006/relationships/hyperlink" Target="https://www.sec.gov/Archives/edgar/data/780571/000119312517377716/d455839dex41.htm" TargetMode="External"/><Relationship Id="rId118" Type="http://schemas.openxmlformats.org/officeDocument/2006/relationships/hyperlink" Target="https://www.sec.gov/Archives/edgar/data/780571/000078057118000004/ex41secondamendedandrestat.htm" TargetMode="External"/><Relationship Id="rId119" Type="http://schemas.openxmlformats.org/officeDocument/2006/relationships/hyperlink" Target="https://www.sec.gov/Archives/edgar/data/780571/000115752319002091/a52116724ex4_1.htm" TargetMode="External"/><Relationship Id="rId120" Type="http://schemas.openxmlformats.org/officeDocument/2006/relationships/hyperlink" Target="https://www.sec.gov/Archives/edgar/data/780571/000078057120000025/itriex-4109302020.htm" TargetMode="External"/><Relationship Id="rId121" Type="http://schemas.openxmlformats.org/officeDocument/2006/relationships/hyperlink" Target="https://www.sec.gov/Archives/edgar/data/780571/000119312521079864/d143502dex103.htm" TargetMode="External"/><Relationship Id="rId122" Type="http://schemas.openxmlformats.org/officeDocument/2006/relationships/hyperlink" Target="https://www.sec.gov/Archives/edgar/data/780571/000119312521079864/d143502dex41.htm" TargetMode="External"/><Relationship Id="rId123" Type="http://schemas.openxmlformats.org/officeDocument/2006/relationships/hyperlink" Target="https://www.sec.gov/Archives/edgar/data/780571/000119312521079864/d143502dex101.htm" TargetMode="External"/><Relationship Id="rId127" Type="http://schemas.openxmlformats.org/officeDocument/2006/relationships/hyperlink" Target="https://www.sec.gov/Archives/edgar/data/780571/000119312521079864/d143502dex102.htm" TargetMode="External"/><Relationship Id="rId128" Type="http://schemas.openxmlformats.org/officeDocument/2006/relationships/hyperlink" Target="https://www.sec.gov/Archives/edgar/data/780571/000078057123000010/itriex-41212312022exdescri.htm" TargetMode="External"/><Relationship Id="rId129" Type="http://schemas.openxmlformats.org/officeDocument/2006/relationships/hyperlink" Target="https://www.sec.gov/Archives/edgar/data/780571/000078057122000004/itriex-41312312021creditam.htm" TargetMode="External"/><Relationship Id="rId130" Type="http://schemas.openxmlformats.org/officeDocument/2006/relationships/hyperlink" Target="https://www.sec.gov/Archives/edgar/data/780571/000115752323000359/a53346520ex10_1.htm" TargetMode="External"/><Relationship Id="rId131" Type="http://schemas.openxmlformats.org/officeDocument/2006/relationships/hyperlink" Target="https://www.sec.gov/Archives/edgar/data/780571/000115752323001489/a53608845ex10_1.htm" TargetMode="External"/><Relationship Id="rId132" Type="http://schemas.openxmlformats.org/officeDocument/2006/relationships/hyperlink" Target="https://www.sec.gov/Archives/edgar/data/780571/000119312524165689/d124505dex41.htm" TargetMode="External"/><Relationship Id="rId133" Type="http://schemas.openxmlformats.org/officeDocument/2006/relationships/hyperlink" Target="https://www.sec.gov/Archives/edgar/data/780571/000119312524165689/d124505dex101.htm" TargetMode="External"/><Relationship Id="rId134" Type="http://schemas.openxmlformats.org/officeDocument/2006/relationships/hyperlink" Target="https://www.sec.gov/Archives/edgar/data/780571/000119312524165689/d124505dex102.htm" TargetMode="External"/><Relationship Id="rId135" Type="http://schemas.openxmlformats.org/officeDocument/2006/relationships/hyperlink" Target="https://www.sec.gov/Archives/edgar/data/780571/000078057124000043/ex102itron-formofwarrantam.htm" TargetMode="External"/><Relationship Id="rId136" Type="http://schemas.openxmlformats.org/officeDocument/2006/relationships/hyperlink" Target="https://www.sec.gov/Archives/edgar/data/780571/000078057124000006/itriex-101itronsecondamend.htm" TargetMode="External"/><Relationship Id="rId137" Type="http://schemas.openxmlformats.org/officeDocument/2006/relationships/hyperlink" Target="https://www.sec.gov/Archives/edgar/data/780571/000078057122000020/itriex-102deitrichthomasci.htm" TargetMode="External"/><Relationship Id="rId138" Type="http://schemas.openxmlformats.org/officeDocument/2006/relationships/hyperlink" Target="https://www.sec.gov/Archives/edgar/data/780571/000078057124000006/itriex-103indemnificationa.htm" TargetMode="External"/><Relationship Id="rId139" Type="http://schemas.openxmlformats.org/officeDocument/2006/relationships/hyperlink" Target="https://www.sec.gov/Archives/edgar/data/780571/000078057124000006/itriex-104secondamendedand.htm" TargetMode="External"/><Relationship Id="rId140" Type="http://schemas.openxmlformats.org/officeDocument/2006/relationships/hyperlink" Target="https://www.sec.gov/Archives/edgar/data/780571/000078057121000009/itriex-102120201231exespp.htm" TargetMode="External"/><Relationship Id="rId141" Type="http://schemas.openxmlformats.org/officeDocument/2006/relationships/hyperlink" Target="https://www.sec.gov/Archives/edgar/data/780571/000078057115000037/itriex101cooperationagreem.htm" TargetMode="External"/><Relationship Id="rId144" Type="http://schemas.openxmlformats.org/officeDocument/2006/relationships/hyperlink" Target="https://www.sec.gov/Archives/edgar/data/780571/000078057116000072/itriex-10209302016.htm" TargetMode="External"/><Relationship Id="rId145" Type="http://schemas.openxmlformats.org/officeDocument/2006/relationships/hyperlink" Target="https://www.sec.gov/Archives/edgar/data/780571/000078057117000031/itriex-1011112017.htm" TargetMode="External"/><Relationship Id="rId146" Type="http://schemas.openxmlformats.org/officeDocument/2006/relationships/hyperlink" Target="https://www.sec.gov/Archives/edgar/data/780571/000115752319001549/a52016210ex10_1.htm" TargetMode="External"/><Relationship Id="rId147" Type="http://schemas.openxmlformats.org/officeDocument/2006/relationships/hyperlink" Target="https://www.sec.gov/Archives/edgar/data/780571/000078057120000004/itriex-103912312019.htm" TargetMode="External"/><Relationship Id="rId148" Type="http://schemas.openxmlformats.org/officeDocument/2006/relationships/hyperlink" Target="https://www.sec.gov/Archives/edgar/data/780571/000078057121000009/itriex-103620201231exrsuaw.htm" TargetMode="External"/><Relationship Id="rId149" Type="http://schemas.openxmlformats.org/officeDocument/2006/relationships/hyperlink" Target="https://www.sec.gov/Archives/edgar/data/780571/000114036123012718/ny20005713x1_def14a.htm#tOTI" TargetMode="External"/><Relationship Id="rId150" Type="http://schemas.openxmlformats.org/officeDocument/2006/relationships/hyperlink" Target="https://www.sec.gov/Archives/edgar/data/780571/000078057124000006/itriex-10292023itronincent.htm" TargetMode="External"/><Relationship Id="rId151" Type="http://schemas.openxmlformats.org/officeDocument/2006/relationships/hyperlink" Target="https://www.sec.gov/Archives/edgar/data/780571/000078057124000006/itriex-1030executiveoffice.htm" TargetMode="External"/><Relationship Id="rId152" Type="http://schemas.openxmlformats.org/officeDocument/2006/relationships/hyperlink" Target="https://www.sec.gov/Archives/edgar/data/780571/000078057124000006/itriex-1032edcpplandocumen.htm" TargetMode="External"/><Relationship Id="rId153" Type="http://schemas.openxmlformats.org/officeDocument/2006/relationships/hyperlink" Target="https://www.sec.gov/Archives/edgar/data/780571/000078057124000043/ex104itronthirdamendedandr.htm" TargetMode="External"/><Relationship Id="rId154" Type="http://schemas.openxmlformats.org/officeDocument/2006/relationships/hyperlink" Target="https://www.sec.gov/Archives/edgar/data/780571/000078057124000043/ex105edcpamendment-thirdam.htm" TargetMode="External"/><Relationship Id="rId155" Type="http://schemas.openxmlformats.org/officeDocument/2006/relationships/hyperlink" Target="https://www.sec.gov/Archives/edgar/data/780571/000078057124000006/itriex-1031insidertradingp.htm" TargetMode="External"/><Relationship Id="rId156" Type="http://schemas.openxmlformats.org/officeDocument/2006/relationships/hyperlink" Target="https://www.sec.gov/Archives/edgar/data/780571/000078057124000006/itriex-971compensationr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2025-02-25T12:24:11Z</dcterms:created>
  <dcterms:modified xsi:type="dcterms:W3CDTF">2025-02-25T12:24:11Z</dcterms:modified>
</cp:coreProperties>
</file>