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____________________________________________________</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16)*</w:t>
      </w:r>
    </w:p>
    <w:p>
      <w:pPr>
        <w:spacing w:after="0" w:line="35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____________________________________________________</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Itron,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and Class of Securities)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465741106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Samantha Nasello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Scopia Capital Management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152 West 57th St., 33rd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370-0303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Statement)</w:t>
      </w:r>
    </w:p>
    <w:p>
      <w:pPr>
        <w:spacing w:after="0" w:line="116"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____________________________________________________</w:t>
      </w:r>
    </w:p>
    <w:p>
      <w:pPr>
        <w:spacing w:after="0" w:line="27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234"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6" w:lineRule="exact"/>
        <w:rPr>
          <w:sz w:val="24"/>
          <w:szCs w:val="24"/>
          <w:color w:val="auto"/>
        </w:rPr>
      </w:pPr>
    </w:p>
    <w:p>
      <w:pPr>
        <w:ind w:left="460" w:right="1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3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040" w:hanging="982"/>
        <w:spacing w:after="0" w:line="440"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Scopia Capital Management LP</w:t>
      </w:r>
    </w:p>
    <w:p>
      <w:pPr>
        <w:ind w:left="1080" w:hanging="98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2,823,264</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7.2%*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300" w:hanging="232"/>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39,349,003 shares of Common Stock of Itron, Inc. (the “Issuer”) outstanding as of April 30, 2019, as reported in the Issuer’s Form 10-Q filed with the Securities and Exchange Commission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44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Reporting Persons: Scopia Management, Inc.</w:t>
      </w:r>
    </w:p>
    <w:p>
      <w:pPr>
        <w:ind w:left="1080" w:hanging="98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2,823,264</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7.2%*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414"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Name of Reporting Persons: Matthew Sirovich</w:t>
      </w:r>
    </w:p>
    <w:p>
      <w:pPr>
        <w:ind w:left="1080" w:hanging="98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2,824,466</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7.2%*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39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 Jeremy Mindich</w:t>
      </w:r>
    </w:p>
    <w:p>
      <w:pPr>
        <w:ind w:left="1080" w:hanging="98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2,823,264</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2,823,917</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7.2%*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16 to Schedule 13D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constitutes Amendment No. 16 to the Schedule 13D filed by the undersigned (“Amendment No. 16”). This Amendment No. 16 amends the Schedule 13D as specifically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contained herein but not otherwise defined shall have the meanings ascribed to such terms in the Schedule 13D, as amended.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given in response to each item shall be deemed incorporated by reference in all other items, as applicable.</w:t>
      </w:r>
    </w:p>
    <w:p>
      <w:pPr>
        <w:spacing w:after="0" w:line="355" w:lineRule="exact"/>
        <w:rPr>
          <w:sz w:val="20"/>
          <w:szCs w:val="20"/>
          <w:color w:val="auto"/>
        </w:rPr>
      </w:pPr>
    </w:p>
    <w:p>
      <w:pPr>
        <w:ind w:right="4800"/>
        <w:spacing w:after="0" w:line="378" w:lineRule="auto"/>
        <w:rPr>
          <w:sz w:val="20"/>
          <w:szCs w:val="20"/>
          <w:color w:val="auto"/>
        </w:rPr>
      </w:pPr>
      <w:r>
        <w:rPr>
          <w:rFonts w:ascii="Arial" w:cs="Arial" w:eastAsia="Arial" w:hAnsi="Arial"/>
          <w:sz w:val="18"/>
          <w:szCs w:val="18"/>
          <w:b w:val="1"/>
          <w:bCs w:val="1"/>
          <w:color w:val="auto"/>
        </w:rPr>
        <w:t xml:space="preserve">ITEM 3. SOURCE AND AMOUNT OF FUNDS OR OTHER CONSIDERATION </w:t>
      </w:r>
      <w:r>
        <w:rPr>
          <w:rFonts w:ascii="Arial" w:cs="Arial" w:eastAsia="Arial" w:hAnsi="Arial"/>
          <w:sz w:val="18"/>
          <w:szCs w:val="18"/>
          <w:color w:val="auto"/>
        </w:rPr>
        <w:t>Item 3 of the Schedule 13D is hereby amended and restated as follows:</w:t>
      </w:r>
    </w:p>
    <w:p>
      <w:pPr>
        <w:spacing w:after="0" w:line="257" w:lineRule="auto"/>
        <w:rPr>
          <w:sz w:val="20"/>
          <w:szCs w:val="20"/>
          <w:color w:val="auto"/>
        </w:rPr>
      </w:pPr>
      <w:r>
        <w:rPr>
          <w:rFonts w:ascii="Arial" w:cs="Arial" w:eastAsia="Arial" w:hAnsi="Arial"/>
          <w:sz w:val="18"/>
          <w:szCs w:val="18"/>
          <w:color w:val="auto"/>
        </w:rPr>
        <w:t>The aggregate purchase price of the shares of common stock, no par value per share, of the Issuer (“Common Stock”) directly held by the Investment Vehicles reported herein was $102,383,505.35. The shares of Common Stock directly held by the Investment Vehicles were purchased with the working capital of the Investment Vehicles (which may, at any given time, include margin loans made by brokerage firms in the ordinary course of business). All shares of Common Stock reported herein were purchased in open market transactions through a broker unless as otherwise previously disclosed in this Schedule 13D, as amended.</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and superseded, as the case may be, as follows: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Amendment No. 16 is being filed to report dispositions of beneficial ownership of shares of Common Stock in an amount equal to one percent or more of the Issuer’s outstanding Common Stock since the Reporting Persons’ previous Schedule 13D amendment. The disclosure in Item 5(c) below regarding transactions in the Issuer’s Common Stock effected during the previous 60 days is incorporated by reference herein. Consistent with their investment purpose, the Reporting Persons may make, or cause, further dispositions of Common Stock from time to time and may acquire, or cause to be acquired, additional shares of Common Stock, in each case depending on market conditions and other factors.</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17" w:lineRule="exact"/>
        <w:rPr>
          <w:sz w:val="20"/>
          <w:szCs w:val="20"/>
          <w:color w:val="auto"/>
        </w:rPr>
      </w:pPr>
    </w:p>
    <w:p>
      <w:pPr>
        <w:ind w:right="40" w:firstLine="8"/>
        <w:spacing w:after="0" w:line="342"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and (b) Items 7 through 11 and 13 of each of the cover pages of this Schedule 13D are incorporated herein by reference. Such information is 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t>The Investment Vehicles have delegated to Scopia Capital sole voting and investment power over the securities held by the Investment Vehicles pursuant to their respective Investment Management Agreements with Scopia Capital. 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July 1, 2019, one of the Investment Vehicles transferred 388,222 shares of Common Stock of the Issuer in an in-kind pro rata distribution for no consideration to an investor in such Investment Vehicle. None of the Reporting Persons nor any Investment Vehicle retained voting and investment power over the securities transferred to the investor.</w:t>
      </w:r>
    </w:p>
    <w:p>
      <w:pPr>
        <w:spacing w:after="0" w:line="181" w:lineRule="exact"/>
        <w:rPr>
          <w:sz w:val="20"/>
          <w:szCs w:val="20"/>
          <w:color w:val="auto"/>
        </w:rPr>
      </w:pPr>
    </w:p>
    <w:p>
      <w:pPr>
        <w:ind w:right="280" w:firstLine="8"/>
        <w:spacing w:after="0" w:line="26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or previously disclosed in the Schedule 13D, there have been no transactions in shares of Common Stock during the 60 days prior to the date hereof by any of the Reporting Persons. The information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incorporated herein by reference.</w:t>
      </w:r>
    </w:p>
    <w:p>
      <w:pPr>
        <w:spacing w:after="0" w:line="181" w:lineRule="exact"/>
        <w:rPr>
          <w:rFonts w:ascii="Arial" w:cs="Arial" w:eastAsia="Arial" w:hAnsi="Arial"/>
          <w:sz w:val="18"/>
          <w:szCs w:val="18"/>
          <w:color w:val="auto"/>
        </w:rPr>
      </w:pPr>
    </w:p>
    <w:p>
      <w:pPr>
        <w:jc w:val="both"/>
        <w:ind w:right="300" w:firstLine="8"/>
        <w:spacing w:after="0" w:line="276"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otherwise disclosed,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pacing w:after="0" w:line="172"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3, 2019</w:t>
      </w: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3100"/>
              <w:spacing w:after="0"/>
              <w:rPr>
                <w:sz w:val="20"/>
                <w:szCs w:val="20"/>
                <w:color w:val="auto"/>
              </w:rPr>
            </w:pPr>
            <w:r>
              <w:rPr>
                <w:rFonts w:ascii="Arial" w:cs="Arial" w:eastAsia="Arial" w:hAnsi="Arial"/>
                <w:sz w:val="18"/>
                <w:szCs w:val="18"/>
                <w:color w:val="auto"/>
              </w:rPr>
              <w:t>By:</w:t>
            </w:r>
          </w:p>
        </w:tc>
        <w:tc>
          <w:tcPr>
            <w:tcW w:w="7580" w:type="dxa"/>
            <w:vAlign w:val="bottom"/>
            <w:gridSpan w:val="3"/>
          </w:tcPr>
          <w:p>
            <w:pPr>
              <w:spacing w:after="0"/>
              <w:rPr>
                <w:sz w:val="20"/>
                <w:szCs w:val="20"/>
                <w:color w:val="auto"/>
              </w:rPr>
            </w:pPr>
            <w:r>
              <w:rPr>
                <w:rFonts w:ascii="Arial" w:cs="Arial" w:eastAsia="Arial" w:hAnsi="Arial"/>
                <w:sz w:val="18"/>
                <w:szCs w:val="18"/>
                <w:color w:val="auto"/>
              </w:rPr>
              <w:t>Scopia Management, Inc., its general partner</w:t>
            </w:r>
          </w:p>
        </w:tc>
      </w:tr>
      <w:tr>
        <w:trPr>
          <w:trHeight w:val="392"/>
        </w:trPr>
        <w:tc>
          <w:tcPr>
            <w:tcW w:w="3840" w:type="dxa"/>
            <w:vAlign w:val="bottom"/>
          </w:tcPr>
          <w:p>
            <w:pPr>
              <w:ind w:left="310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Matthew Sirovich</w:t>
            </w:r>
          </w:p>
        </w:tc>
        <w:tc>
          <w:tcPr>
            <w:tcW w:w="6080" w:type="dxa"/>
            <w:vAlign w:val="bottom"/>
          </w:tcPr>
          <w:p>
            <w:pPr>
              <w:spacing w:after="0"/>
              <w:rPr>
                <w:sz w:val="24"/>
                <w:szCs w:val="24"/>
                <w:color w:val="auto"/>
              </w:rPr>
            </w:pPr>
          </w:p>
        </w:tc>
      </w:tr>
      <w:tr>
        <w:trPr>
          <w:trHeight w:val="222"/>
        </w:trPr>
        <w:tc>
          <w:tcPr>
            <w:tcW w:w="3840" w:type="dxa"/>
            <w:vAlign w:val="bottom"/>
          </w:tcPr>
          <w:p>
            <w:pPr>
              <w:ind w:left="3100"/>
              <w:spacing w:after="0"/>
              <w:rPr>
                <w:sz w:val="20"/>
                <w:szCs w:val="20"/>
                <w:color w:val="auto"/>
              </w:rPr>
            </w:pPr>
            <w:r>
              <w:rPr>
                <w:rFonts w:ascii="Arial" w:cs="Arial" w:eastAsia="Arial" w:hAnsi="Arial"/>
                <w:sz w:val="18"/>
                <w:szCs w:val="18"/>
                <w:color w:val="auto"/>
              </w:rPr>
              <w:t>Name:</w:t>
            </w:r>
          </w:p>
        </w:tc>
        <w:tc>
          <w:tcPr>
            <w:tcW w:w="7580" w:type="dxa"/>
            <w:vAlign w:val="bottom"/>
            <w:gridSpan w:val="3"/>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3840" w:type="dxa"/>
            <w:vAlign w:val="bottom"/>
          </w:tcPr>
          <w:p>
            <w:pPr>
              <w:ind w:left="3100"/>
              <w:spacing w:after="0"/>
              <w:rPr>
                <w:sz w:val="20"/>
                <w:szCs w:val="20"/>
                <w:color w:val="auto"/>
              </w:rPr>
            </w:pPr>
            <w:r>
              <w:rPr>
                <w:rFonts w:ascii="Arial" w:cs="Arial" w:eastAsia="Arial" w:hAnsi="Arial"/>
                <w:sz w:val="18"/>
                <w:szCs w:val="18"/>
                <w:color w:val="auto"/>
              </w:rPr>
              <w:t>Title:</w:t>
            </w:r>
          </w:p>
        </w:tc>
        <w:tc>
          <w:tcPr>
            <w:tcW w:w="758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4"/>
          </w:tcPr>
          <w:p>
            <w:pPr>
              <w:ind w:left="3100"/>
              <w:spacing w:after="0"/>
              <w:rPr>
                <w:sz w:val="20"/>
                <w:szCs w:val="20"/>
                <w:color w:val="auto"/>
              </w:rPr>
            </w:pPr>
            <w:r>
              <w:rPr>
                <w:rFonts w:ascii="Arial" w:cs="Arial" w:eastAsia="Arial" w:hAnsi="Arial"/>
                <w:sz w:val="18"/>
                <w:szCs w:val="18"/>
                <w:b w:val="1"/>
                <w:bCs w:val="1"/>
                <w:color w:val="auto"/>
              </w:rPr>
              <w:t>SCOPIA MANAGEMENT, INC.</w:t>
            </w:r>
          </w:p>
        </w:tc>
      </w:tr>
      <w:tr>
        <w:trPr>
          <w:trHeight w:val="392"/>
        </w:trPr>
        <w:tc>
          <w:tcPr>
            <w:tcW w:w="3840" w:type="dxa"/>
            <w:vAlign w:val="bottom"/>
          </w:tcPr>
          <w:p>
            <w:pPr>
              <w:ind w:left="310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Matthew Sirovich</w:t>
            </w:r>
          </w:p>
        </w:tc>
        <w:tc>
          <w:tcPr>
            <w:tcW w:w="6080" w:type="dxa"/>
            <w:vAlign w:val="bottom"/>
          </w:tcPr>
          <w:p>
            <w:pPr>
              <w:spacing w:after="0"/>
              <w:rPr>
                <w:sz w:val="24"/>
                <w:szCs w:val="24"/>
                <w:color w:val="auto"/>
              </w:rPr>
            </w:pPr>
          </w:p>
        </w:tc>
      </w:tr>
      <w:tr>
        <w:trPr>
          <w:trHeight w:val="222"/>
        </w:trPr>
        <w:tc>
          <w:tcPr>
            <w:tcW w:w="3840" w:type="dxa"/>
            <w:vAlign w:val="bottom"/>
          </w:tcPr>
          <w:p>
            <w:pPr>
              <w:ind w:left="3100"/>
              <w:spacing w:after="0"/>
              <w:rPr>
                <w:sz w:val="20"/>
                <w:szCs w:val="20"/>
                <w:color w:val="auto"/>
              </w:rPr>
            </w:pPr>
            <w:r>
              <w:rPr>
                <w:rFonts w:ascii="Arial" w:cs="Arial" w:eastAsia="Arial" w:hAnsi="Arial"/>
                <w:sz w:val="18"/>
                <w:szCs w:val="18"/>
                <w:color w:val="auto"/>
              </w:rPr>
              <w:t>Name:</w:t>
            </w:r>
          </w:p>
        </w:tc>
        <w:tc>
          <w:tcPr>
            <w:tcW w:w="7580" w:type="dxa"/>
            <w:vAlign w:val="bottom"/>
            <w:gridSpan w:val="3"/>
          </w:tcPr>
          <w:p>
            <w:pPr>
              <w:spacing w:after="0"/>
              <w:rPr>
                <w:sz w:val="20"/>
                <w:szCs w:val="20"/>
                <w:color w:val="auto"/>
              </w:rPr>
            </w:pPr>
            <w:r>
              <w:rPr>
                <w:rFonts w:ascii="Arial" w:cs="Arial" w:eastAsia="Arial" w:hAnsi="Arial"/>
                <w:sz w:val="18"/>
                <w:szCs w:val="18"/>
                <w:color w:val="auto"/>
              </w:rPr>
              <w:t>Matthew Sirovich</w:t>
            </w:r>
          </w:p>
        </w:tc>
      </w:tr>
      <w:tr>
        <w:trPr>
          <w:trHeight w:val="230"/>
        </w:trPr>
        <w:tc>
          <w:tcPr>
            <w:tcW w:w="3840" w:type="dxa"/>
            <w:vAlign w:val="bottom"/>
          </w:tcPr>
          <w:p>
            <w:pPr>
              <w:ind w:left="3100"/>
              <w:spacing w:after="0"/>
              <w:rPr>
                <w:sz w:val="20"/>
                <w:szCs w:val="20"/>
                <w:color w:val="auto"/>
              </w:rPr>
            </w:pPr>
            <w:r>
              <w:rPr>
                <w:rFonts w:ascii="Arial" w:cs="Arial" w:eastAsia="Arial" w:hAnsi="Arial"/>
                <w:sz w:val="18"/>
                <w:szCs w:val="18"/>
                <w:color w:val="auto"/>
              </w:rPr>
              <w:t>Title:</w:t>
            </w:r>
          </w:p>
        </w:tc>
        <w:tc>
          <w:tcPr>
            <w:tcW w:w="758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392"/>
        </w:trPr>
        <w:tc>
          <w:tcPr>
            <w:tcW w:w="3840" w:type="dxa"/>
            <w:vAlign w:val="bottom"/>
          </w:tcPr>
          <w:p>
            <w:pPr>
              <w:ind w:left="310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Matthew Sirovich</w:t>
            </w:r>
          </w:p>
        </w:tc>
        <w:tc>
          <w:tcPr>
            <w:tcW w:w="6080" w:type="dxa"/>
            <w:vAlign w:val="bottom"/>
          </w:tcPr>
          <w:p>
            <w:pPr>
              <w:spacing w:after="0"/>
              <w:rPr>
                <w:sz w:val="24"/>
                <w:szCs w:val="24"/>
                <w:color w:val="auto"/>
              </w:rPr>
            </w:pPr>
          </w:p>
        </w:tc>
      </w:tr>
      <w:tr>
        <w:trPr>
          <w:trHeight w:val="412"/>
        </w:trPr>
        <w:tc>
          <w:tcPr>
            <w:tcW w:w="3840" w:type="dxa"/>
            <w:vAlign w:val="bottom"/>
          </w:tcPr>
          <w:p>
            <w:pPr>
              <w:ind w:left="3100"/>
              <w:spacing w:after="0"/>
              <w:rPr>
                <w:sz w:val="20"/>
                <w:szCs w:val="20"/>
                <w:color w:val="auto"/>
              </w:rPr>
            </w:pPr>
            <w:r>
              <w:rPr>
                <w:rFonts w:ascii="Arial" w:cs="Arial" w:eastAsia="Arial" w:hAnsi="Arial"/>
                <w:sz w:val="18"/>
                <w:szCs w:val="18"/>
                <w:color w:val="auto"/>
              </w:rPr>
              <w:t>By:</w:t>
            </w:r>
          </w:p>
        </w:tc>
        <w:tc>
          <w:tcPr>
            <w:tcW w:w="7580" w:type="dxa"/>
            <w:vAlign w:val="bottom"/>
            <w:gridSpan w:val="3"/>
          </w:tcPr>
          <w:p>
            <w:pPr>
              <w:spacing w:after="0"/>
              <w:rPr>
                <w:sz w:val="20"/>
                <w:szCs w:val="20"/>
                <w:color w:val="auto"/>
              </w:rPr>
            </w:pPr>
            <w:r>
              <w:rPr>
                <w:rFonts w:ascii="Arial" w:cs="Arial" w:eastAsia="Arial" w:hAnsi="Arial"/>
                <w:sz w:val="18"/>
                <w:szCs w:val="18"/>
                <w:color w:val="auto"/>
              </w:rPr>
              <w:t>/s/ Jeremy Mindich</w:t>
            </w:r>
          </w:p>
        </w:tc>
      </w:tr>
      <w:tr>
        <w:trPr>
          <w:trHeight w:val="554"/>
        </w:trPr>
        <w:tc>
          <w:tcPr>
            <w:tcW w:w="384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as previously disclosed in the Schedule 13D, the following table sets forth all transactions by the Reporting Persons (on behalf of the Investment Vehicles) with respect to shares of Common Stock effected in the last 60 days, inclusive of any transactions effected through 4:00 p.m., New York City time, on July 2, 2019. Except as otherwise noted below, all such transactions were sales of Common Stock effected in the open market, and the table excludes commissions paid in per share prices.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Scopia Capital Management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Shares of Common</w:t>
            </w:r>
          </w:p>
        </w:tc>
        <w:tc>
          <w:tcPr>
            <w:tcW w:w="4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42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Price Per</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r>
      <w:tr>
        <w:trPr>
          <w:trHeight w:val="24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Nature of Transaction</w:t>
            </w:r>
          </w:p>
        </w:tc>
        <w:tc>
          <w:tcPr>
            <w:tcW w:w="3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Purchased/(Sold)</w:t>
            </w:r>
          </w:p>
        </w:tc>
        <w:tc>
          <w:tcPr>
            <w:tcW w:w="420" w:type="dxa"/>
            <w:vAlign w:val="bottom"/>
          </w:tcPr>
          <w:p>
            <w:pPr>
              <w:spacing w:after="0"/>
              <w:rPr>
                <w:sz w:val="20"/>
                <w:szCs w:val="20"/>
                <w:color w:val="auto"/>
              </w:rPr>
            </w:pP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 ($)</w:t>
            </w:r>
          </w:p>
        </w:tc>
        <w:tc>
          <w:tcPr>
            <w:tcW w:w="4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 / Sale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(37,055)</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$59.6932</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6/10/2019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(27,854)</w:t>
            </w:r>
          </w:p>
        </w:tc>
        <w:tc>
          <w:tcPr>
            <w:tcW w:w="2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$59.8660</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6/11/2019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(14,488)</w:t>
            </w:r>
          </w:p>
        </w:tc>
        <w:tc>
          <w:tcPr>
            <w:tcW w:w="2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$59.6910</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6/12/2019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(27,714)</w:t>
            </w:r>
          </w:p>
        </w:tc>
        <w:tc>
          <w:tcPr>
            <w:tcW w:w="2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$59.9081</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6/13/2019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(27,501)</w:t>
            </w:r>
          </w:p>
        </w:tc>
        <w:tc>
          <w:tcPr>
            <w:tcW w:w="2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$59.3382</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6/14/2019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(22,326)</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$60.0492</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6/17/2019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(9,602)</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$61.9843</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6/18/2019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(15,637)</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$61.5859</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6/18/2019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(27,417)</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$62.1201</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6/19/2019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(17,363)</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$62.3126</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6/20/2019</w:t>
            </w: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(24,900)</w:t>
            </w:r>
          </w:p>
        </w:tc>
        <w:tc>
          <w:tcPr>
            <w:tcW w:w="4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50"/>
              <w:spacing w:after="0" w:line="201" w:lineRule="exact"/>
              <w:rPr>
                <w:sz w:val="20"/>
                <w:szCs w:val="20"/>
                <w:color w:val="auto"/>
              </w:rPr>
            </w:pPr>
            <w:r>
              <w:rPr>
                <w:rFonts w:ascii="Arial" w:cs="Arial" w:eastAsia="Arial" w:hAnsi="Arial"/>
                <w:sz w:val="18"/>
                <w:szCs w:val="18"/>
                <w:color w:val="auto"/>
                <w:w w:val="87"/>
              </w:rPr>
              <w:t>$61.5464</w:t>
            </w:r>
          </w:p>
        </w:tc>
        <w:tc>
          <w:tcPr>
            <w:tcW w:w="44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6/21/2019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(18,648)</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$60.7256</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6/24/2019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(21,992)</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$60.9086</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6/25/2019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(14,922)</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$60.9400</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6/26/2019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(36,596)</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$61.8500</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6/27/2019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(28,560)</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$62.0439</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6/28/2019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(44,170)</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$63.2343</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7/1/2019</w:t>
            </w: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(4,571)</w:t>
            </w:r>
          </w:p>
        </w:tc>
        <w:tc>
          <w:tcPr>
            <w:tcW w:w="4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87"/>
              </w:rPr>
              <w:t>$62.9318</w:t>
            </w:r>
          </w:p>
        </w:tc>
        <w:tc>
          <w:tcPr>
            <w:tcW w:w="44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7/2/2019</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2019-12-01T04:33:24Z</dcterms:created>
  <dcterms:modified xsi:type="dcterms:W3CDTF">2019-12-01T04:33:24Z</dcterms:modified>
</cp:coreProperties>
</file>