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3062605</wp:posOffset>
            </wp:positionH>
            <wp:positionV relativeFrom="paragraph">
              <wp:posOffset>274955</wp:posOffset>
            </wp:positionV>
            <wp:extent cx="113157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157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February 27,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26035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300" w:type="dxa"/>
        <w:tblCellMar>
          <w:top w:w="0" w:type="dxa"/>
          <w:left w:w="0" w:type="dxa"/>
          <w:bottom w:w="0" w:type="dxa"/>
          <w:right w:w="0" w:type="dxa"/>
        </w:tblCellMar>
      </w:tblPr>
      <w:tr>
        <w:trPr>
          <w:trHeight w:val="241"/>
        </w:trPr>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380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0"/>
              </w:rPr>
              <w:t>000-22418</w:t>
            </w:r>
          </w:p>
        </w:tc>
        <w:tc>
          <w:tcPr>
            <w:tcW w:w="54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60" w:type="dxa"/>
            <w:vAlign w:val="bottom"/>
          </w:tcPr>
          <w:p>
            <w:pPr>
              <w:spacing w:after="0"/>
              <w:rPr>
                <w:sz w:val="18"/>
                <w:szCs w:val="18"/>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40" w:type="dxa"/>
            <w:vAlign w:val="bottom"/>
          </w:tcPr>
          <w:p>
            <w:pPr>
              <w:spacing w:after="0"/>
              <w:rPr>
                <w:sz w:val="18"/>
                <w:szCs w:val="18"/>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326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2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240" w:type="dxa"/>
            <w:vAlign w:val="bottom"/>
            <w:tcBorders>
              <w:bottom w:val="single" w:sz="8" w:color="auto"/>
            </w:tcBorders>
          </w:tcPr>
          <w:p>
            <w:pPr>
              <w:spacing w:after="0"/>
              <w:rPr>
                <w:sz w:val="24"/>
                <w:szCs w:val="24"/>
                <w:color w:val="auto"/>
              </w:rPr>
            </w:pPr>
          </w:p>
        </w:tc>
      </w:tr>
      <w:tr>
        <w:trPr>
          <w:trHeight w:val="230"/>
        </w:trPr>
        <w:tc>
          <w:tcPr>
            <w:tcW w:w="3260" w:type="dxa"/>
            <w:vAlign w:val="bottom"/>
          </w:tcPr>
          <w:p>
            <w:pPr>
              <w:spacing w:after="0"/>
              <w:rPr>
                <w:sz w:val="20"/>
                <w:szCs w:val="20"/>
                <w:color w:val="auto"/>
              </w:rPr>
            </w:pPr>
          </w:p>
        </w:tc>
        <w:tc>
          <w:tcPr>
            <w:tcW w:w="434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(Address of Principal Executive Offices, Zip Code)</w:t>
            </w:r>
          </w:p>
        </w:tc>
        <w:tc>
          <w:tcPr>
            <w:tcW w:w="3240" w:type="dxa"/>
            <w:vAlign w:val="bottom"/>
          </w:tcPr>
          <w:p>
            <w:pPr>
              <w:spacing w:after="0"/>
              <w:rPr>
                <w:sz w:val="20"/>
                <w:szCs w:val="20"/>
                <w:color w:val="auto"/>
              </w:rPr>
            </w:pPr>
          </w:p>
        </w:tc>
      </w:tr>
      <w:tr>
        <w:trPr>
          <w:trHeight w:val="465"/>
        </w:trPr>
        <w:tc>
          <w:tcPr>
            <w:tcW w:w="32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b w:val="1"/>
                <w:bCs w:val="1"/>
                <w:color w:val="auto"/>
                <w:w w:val="90"/>
              </w:rPr>
              <w:t>(509) 924-9900</w:t>
            </w:r>
          </w:p>
        </w:tc>
        <w:tc>
          <w:tcPr>
            <w:tcW w:w="5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r>
        <w:trPr>
          <w:trHeight w:val="230"/>
        </w:trPr>
        <w:tc>
          <w:tcPr>
            <w:tcW w:w="3260" w:type="dxa"/>
            <w:vAlign w:val="bottom"/>
          </w:tcPr>
          <w:p>
            <w:pPr>
              <w:spacing w:after="0"/>
              <w:rPr>
                <w:sz w:val="20"/>
                <w:szCs w:val="20"/>
                <w:color w:val="auto"/>
              </w:rPr>
            </w:pPr>
          </w:p>
        </w:tc>
        <w:tc>
          <w:tcPr>
            <w:tcW w:w="434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(Registrant’s Telephone Number, Including Area Code)</w:t>
            </w:r>
          </w:p>
        </w:tc>
        <w:tc>
          <w:tcPr>
            <w:tcW w:w="32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299720</wp:posOffset>
            </wp:positionV>
            <wp:extent cx="6877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2"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(17 CFR §230.405) or Rule 12b-2 of the Securities Exchange Act of 1934 (17 CFR §240.12b-2).</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w:t>
      </w:r>
    </w:p>
    <w:p>
      <w:pPr>
        <w:spacing w:after="0" w:line="279" w:lineRule="exact"/>
        <w:rPr>
          <w:sz w:val="24"/>
          <w:szCs w:val="24"/>
          <w:color w:val="auto"/>
        </w:rPr>
      </w:pPr>
    </w:p>
    <w:p>
      <w:pPr>
        <w:ind w:right="14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40" w:lineRule="exact"/>
        <w:rPr>
          <w:sz w:val="20"/>
          <w:szCs w:val="20"/>
          <w:color w:val="auto"/>
        </w:rPr>
      </w:pPr>
    </w:p>
    <w:p>
      <w:pPr>
        <w:ind w:left="1380" w:right="180"/>
        <w:spacing w:after="0" w:line="308" w:lineRule="auto"/>
        <w:rPr>
          <w:sz w:val="20"/>
          <w:szCs w:val="20"/>
          <w:color w:val="auto"/>
        </w:rPr>
      </w:pPr>
      <w:r>
        <w:rPr>
          <w:rFonts w:ascii="Arial" w:cs="Arial" w:eastAsia="Arial" w:hAnsi="Arial"/>
          <w:sz w:val="17"/>
          <w:szCs w:val="17"/>
          <w:color w:val="auto"/>
        </w:rPr>
        <w:t>On February 27, 2019, Itron, Inc. issued a press release announcing its financial results for the three and twelve months ended December 31, 2018. A copy of this press release and accompanying financial statements are attached as Exhibit 99.1.</w:t>
      </w:r>
    </w:p>
    <w:p>
      <w:pPr>
        <w:spacing w:after="0" w:line="201" w:lineRule="exact"/>
        <w:rPr>
          <w:sz w:val="20"/>
          <w:szCs w:val="20"/>
          <w:color w:val="auto"/>
        </w:rPr>
      </w:pPr>
    </w:p>
    <w:p>
      <w:pPr>
        <w:ind w:left="1380" w:right="180"/>
        <w:spacing w:after="0" w:line="312" w:lineRule="auto"/>
        <w:rPr>
          <w:sz w:val="20"/>
          <w:szCs w:val="20"/>
          <w:color w:val="auto"/>
        </w:rPr>
      </w:pPr>
      <w:r>
        <w:rPr>
          <w:rFonts w:ascii="Arial" w:cs="Arial" w:eastAsia="Arial" w:hAnsi="Arial"/>
          <w:sz w:val="16"/>
          <w:szCs w:val="16"/>
          <w:color w:val="auto"/>
        </w:rPr>
        <w:t>The information in Item 2.02 of this Report and the attached exhibit shall not be deemed "filed" for purposes of Section 18 of the Securities Exchange Act of 1934, as amended (the "Exchange Act"), nor shall it be deemed incorporated by reference in any filing under the Securities Act of 1933, as amended, or the Exchange Act, except as shall be expressly stated by specific reference in such filing.</w:t>
      </w:r>
    </w:p>
    <w:p>
      <w:pPr>
        <w:spacing w:after="0" w:line="19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3" w:lineRule="exact"/>
        <w:rPr>
          <w:sz w:val="20"/>
          <w:szCs w:val="20"/>
          <w:color w:val="auto"/>
        </w:rPr>
      </w:pPr>
    </w:p>
    <w:p>
      <w:pPr>
        <w:ind w:left="1380" w:hanging="677"/>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140"/>
        <w:spacing w:after="0"/>
        <w:tabs>
          <w:tab w:leader="none" w:pos="14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140"/>
        <w:spacing w:after="0"/>
        <w:tabs>
          <w:tab w:leader="none" w:pos="1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27, 2019. *</w:t>
      </w:r>
    </w:p>
    <w:p>
      <w:pPr>
        <w:spacing w:after="0" w:line="200" w:lineRule="exact"/>
        <w:rPr>
          <w:sz w:val="20"/>
          <w:szCs w:val="20"/>
          <w:color w:val="auto"/>
        </w:rPr>
      </w:pPr>
    </w:p>
    <w:p>
      <w:pPr>
        <w:spacing w:after="0" w:line="32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*This exhibit is intended to be furnished and shall not be deemed "filed" for purposes of the Exchange Act.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information presented in this Current Report on Form 8-K contains forward-looking statements within in the meaning of the Private Securities Litigation Reform Act of 1995. These statements relate to our expectations about revenues, operations, financial performance, earnings, earnings per share, cash flows and restructuring activities including headcount reductions and other cost savings initiatives.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our ability to execute on our restructuring plan,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2017 and other reports on file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ITRON, INC.</w:t>
      </w:r>
    </w:p>
    <w:p>
      <w:pPr>
        <w:spacing w:after="0" w:line="279" w:lineRule="exact"/>
        <w:rPr>
          <w:sz w:val="20"/>
          <w:szCs w:val="20"/>
          <w:color w:val="auto"/>
        </w:rPr>
      </w:pPr>
    </w:p>
    <w:p>
      <w:pPr>
        <w:spacing w:after="0"/>
        <w:tabs>
          <w:tab w:leader="none" w:pos="5700" w:val="left"/>
          <w:tab w:leader="none" w:pos="8020" w:val="left"/>
        </w:tabs>
        <w:rPr>
          <w:sz w:val="20"/>
          <w:szCs w:val="20"/>
          <w:color w:val="auto"/>
        </w:rPr>
      </w:pPr>
      <w:r>
        <w:rPr>
          <w:rFonts w:ascii="Arial" w:cs="Arial" w:eastAsia="Arial" w:hAnsi="Arial"/>
          <w:sz w:val="18"/>
          <w:szCs w:val="18"/>
          <w:color w:val="auto"/>
        </w:rPr>
        <w:t>Dated: February 27,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Joan S. Hooper</w:t>
      </w:r>
    </w:p>
    <w:p>
      <w:pPr>
        <w:spacing w:after="0" w:line="36"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160"/>
          </w:cols>
          <w:pgMar w:left="240" w:top="121" w:right="49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64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Dated February 27, 2019.</w:t>
        </w:r>
      </w:hyperlink>
    </w:p>
    <w:p>
      <w:pPr>
        <w:sectPr>
          <w:pgSz w:w="11900" w:h="16838" w:orient="portrait"/>
          <w:cols w:equalWidth="0" w:num="1">
            <w:col w:w="10079"/>
          </w:cols>
          <w:pgMar w:left="38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Announces Fourth Quarter and Full Year 2018 Financial Results and 2019 Guidance</w:t>
      </w:r>
    </w:p>
    <w:p>
      <w:pPr>
        <w:spacing w:after="0" w:line="212"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LIBERTY LAKE, Wash.--(BUSINESS WIRE)--February 27, 2019--Itron, Inc. (NASDAQ:ITRI), which is innovating the way utilities and cities manage energy and water, announced today financial results for its fourth quarter and full year ended Dec. 31, 2018. Highlights for the quarter and full year include: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full year revenue of $587 million and $2.4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full year gross margin of 30.1 percent and 30.7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GAAP net income of $24 million and full year GAAP loss of $99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GAAP diluted earnings per share of $0.60 and full year GAAP loss per share of $2.53;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full year non-GAAP diluted earnings per share of $0.88 and $2.65;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Quarterly and full year Adjusted EBITDA of $59 million and $236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“A solid fourth quarter performance concluded the year as we transition to our new operating segments,” said Philip Mezey, Itron’s president and chief executive officer. “While we did experience some challenges during 2018, we have made significant progress on our strategic initiatives, restructuring programs and integration efforts to deliver long-term value for our customers and investors.”</w:t>
      </w:r>
    </w:p>
    <w:p>
      <w:pPr>
        <w:spacing w:after="0" w:line="185"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“Looking ahead to 2019, we continue to execute on our strategy as we optimize our operations and drive progress on the technology roadmap,” continued Mezey. “We remain focused on delivering our financial and customer commitments as an energy, water and smart city leader.”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Fourth Quarter Consolidated Financial Results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(All comparisons made are against the prior year period unless otherwise noted)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Revenue</w:t>
      </w:r>
    </w:p>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Total revenue of $587 million increased 7 percent, or 9 percent excluding the impact of changes in foreign currency exchange rates, compared with the fourth quarter of 2017, driven by growth in the Networked Solutions segment.</w:t>
      </w:r>
    </w:p>
    <w:p>
      <w:pPr>
        <w:spacing w:after="0" w:line="173" w:lineRule="exact"/>
        <w:rPr>
          <w:sz w:val="20"/>
          <w:szCs w:val="20"/>
          <w:color w:val="auto"/>
        </w:rPr>
      </w:pPr>
    </w:p>
    <w:p>
      <w:pPr>
        <w:ind w:right="140"/>
        <w:spacing w:after="0" w:line="258" w:lineRule="auto"/>
        <w:rPr>
          <w:sz w:val="20"/>
          <w:szCs w:val="20"/>
          <w:color w:val="auto"/>
        </w:rPr>
      </w:pPr>
      <w:r>
        <w:rPr>
          <w:rFonts w:ascii="Arial" w:cs="Arial" w:eastAsia="Arial" w:hAnsi="Arial"/>
          <w:sz w:val="21"/>
          <w:szCs w:val="21"/>
          <w:color w:val="auto"/>
        </w:rPr>
        <w:t>By segment, Networked Solutions revenue increased 20 percent driven by strong North America deployments. Device Solutions revenue decreased 5 percent driven by lower shipments in EMEA, and Outcomes decreased 8 percent on an unfavorable year over year comparison as several large software projects were completed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Gross Margin</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Consolidated gross margin of 30.1 percent decreased 170 basis points compared with the fourth quarter of 2017 driven primarily by higher special warranty costs.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Operating Income, Net Income and Earnings per Share (EPS)</w:t>
      </w:r>
    </w:p>
    <w:p>
      <w:pPr>
        <w:spacing w:after="0" w:line="206"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GAAP operating income decreased to $29 million compared with $48 million in the fourth quarter of 2017 primarily driven by higher operating expenses from the acquisition of Silver Spring Networks. Non-GAAP operating income decreased to $49 million compared with $56 million in 2017 due to higher operating expenses from the acquisition of Silver Spring Networks in 2018.</w:t>
      </w:r>
    </w:p>
    <w:p>
      <w:pPr>
        <w:spacing w:after="0" w:line="134"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GAAP net income attributable to Itron, Inc. for the quarter was $24 million, or $0.60 per diluted share, compared with net income of $2 million, or $0.05 per diluted share, in 2017. The higher GAAP net income and EPS were primarily driven by a GAAP tax benefit due to favorable discrete tax items.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Non-GAAP net income of $35 million, or $0.88 per diluted share, decreased compared with $40 million, or $1.01 per diluted share, in 2017. The decrease reflects lower non-GAAP operating income, partially offset by a Non-GAAP tax benefit driven by favorable discrete tax items.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Cash Flow</w:t>
      </w:r>
    </w:p>
    <w:p>
      <w:pPr>
        <w:spacing w:after="0" w:line="206" w:lineRule="exact"/>
        <w:rPr>
          <w:sz w:val="20"/>
          <w:szCs w:val="20"/>
          <w:color w:val="auto"/>
        </w:rPr>
      </w:pPr>
    </w:p>
    <w:p>
      <w:pPr>
        <w:ind w:right="320"/>
        <w:spacing w:after="0" w:line="328" w:lineRule="auto"/>
        <w:rPr>
          <w:sz w:val="20"/>
          <w:szCs w:val="20"/>
          <w:color w:val="auto"/>
        </w:rPr>
      </w:pPr>
      <w:r>
        <w:rPr>
          <w:rFonts w:ascii="Arial" w:cs="Arial" w:eastAsia="Arial" w:hAnsi="Arial"/>
          <w:sz w:val="19"/>
          <w:szCs w:val="19"/>
          <w:color w:val="auto"/>
        </w:rPr>
        <w:t>In the fourth quarter, cash provided by operating activities of $42 million and free cash flow of $25 million decreased compared with the fourth quarter of 2017. The decrease in cash flow was primarily driven by the timing of working capital.</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Measures</w:t>
      </w:r>
    </w:p>
    <w:p>
      <w:pPr>
        <w:spacing w:after="0" w:line="212"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Bookings were $786 million in the fourth quarter. This is a book to bill ratio of 1.3 for the quarter and over 1 to 1 for the full year. Total backlog was $3.2 billion and 12-month backlog was $1.3 billion at the end of the quarter, a year-over-year increase of 81 percent and 45 percent,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Guidance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Itron’s guidance for the full year 2019 is as follows: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between $2.35 and $2.75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Non-GAAP diluted EPS between $2.35 and $2.75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60"/>
        <w:spacing w:after="0"/>
        <w:rPr>
          <w:sz w:val="20"/>
          <w:szCs w:val="20"/>
          <w:color w:val="auto"/>
        </w:rPr>
      </w:pPr>
      <w:r>
        <w:rPr>
          <w:rFonts w:ascii="Arial" w:cs="Arial" w:eastAsia="Arial" w:hAnsi="Arial"/>
          <w:sz w:val="22"/>
          <w:szCs w:val="22"/>
          <w:color w:val="auto"/>
        </w:rPr>
        <w:t>Guidance assumes an average euro to U.S. dollar foreign currency exchange rate of $1.14 in 2019, diluted weighted average shares outstanding of approximately 40.65 million for the year, a non-GAAP effective tax rate for the year of approximately 31 percent and total interest expense of $50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 w:name="page7"/>
    <w:bookmarkEnd w:id="6"/>
    <w:p>
      <w:pPr>
        <w:ind w:right="180"/>
        <w:spacing w:after="0" w:line="252" w:lineRule="auto"/>
        <w:rPr>
          <w:sz w:val="20"/>
          <w:szCs w:val="20"/>
          <w:color w:val="auto"/>
        </w:rPr>
      </w:pPr>
      <w:r>
        <w:rPr>
          <w:rFonts w:ascii="Arial" w:cs="Arial" w:eastAsia="Arial" w:hAnsi="Arial"/>
          <w:sz w:val="21"/>
          <w:szCs w:val="21"/>
          <w:color w:val="auto"/>
        </w:rPr>
        <w:t>A reconciliation of forward-looking non-GAAP diluted EPS to the GAAP diluted EPS has not been provided because we are unable to predict with reasonable certainty the potential amount or timing of restructuring and acquisition and integration related expenses and their related tax effects without unreasonable effort. These items are uncertain, depend on various factors and could have a material impact on GAAP results for the guidance period.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Conference Call</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 xml:space="preserve">Itron will host a conference call to discuss the financial results and guidance contained in this release at 5:00 p.m. EST on Feb. 27, 2019. The call will be webcast in a listen-only mode. Webcast information and conference call materials will be made available 10 minutes before the start of the call and will be accessible on Itron’s website at </w:t>
      </w:r>
      <w:r>
        <w:rPr>
          <w:rFonts w:ascii="Arial" w:cs="Arial" w:eastAsia="Arial" w:hAnsi="Arial"/>
          <w:sz w:val="19"/>
          <w:szCs w:val="19"/>
          <w:u w:val="single" w:color="auto"/>
          <w:color w:val="auto"/>
        </w:rPr>
        <w:t>http://investors.itron.com/events.cfm</w:t>
      </w:r>
      <w:r>
        <w:rPr>
          <w:rFonts w:ascii="Arial" w:cs="Arial" w:eastAsia="Arial" w:hAnsi="Arial"/>
          <w:sz w:val="19"/>
          <w:szCs w:val="19"/>
          <w:color w:val="auto"/>
        </w:rPr>
        <w:t xml:space="preserve">. A replay of the audio webcast will be made available at </w:t>
      </w:r>
      <w:r>
        <w:rPr>
          <w:rFonts w:ascii="Arial" w:cs="Arial" w:eastAsia="Arial" w:hAnsi="Arial"/>
          <w:sz w:val="19"/>
          <w:szCs w:val="19"/>
          <w:u w:val="single" w:color="auto"/>
          <w:color w:val="auto"/>
        </w:rPr>
        <w:t>http://investors.itron.com/events.cfm</w:t>
      </w:r>
      <w:r>
        <w:rPr>
          <w:rFonts w:ascii="Arial" w:cs="Arial" w:eastAsia="Arial" w:hAnsi="Arial"/>
          <w:sz w:val="19"/>
          <w:szCs w:val="19"/>
          <w:color w:val="auto"/>
        </w:rPr>
        <w:t>. A telephone replay of the conference call will be available through Mar. 4, 2019. To access the telephone replay, dial (888) 203-1112 (domestic) or (719) 457-0820 (international) and enter passcode 9539336.</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 xml:space="preserve">Itron enables utilities and cities to safely, securely and reliably deliver critical infrastructure services to communities in more than 100 countries. Our portfolio of smart networks, software, services, meters and sensors helps our customers better manage electricity, gas and water resources for the people they serve. By working with our customers to ensure their success, we help improve the quality of life, ensure the safety and promote the well-being of millions of people around the globe. Itron is dedicated to creating a more resourceful world. Join us: </w:t>
      </w:r>
      <w:r>
        <w:rPr>
          <w:rFonts w:ascii="Arial" w:cs="Arial" w:eastAsia="Arial" w:hAnsi="Arial"/>
          <w:sz w:val="21"/>
          <w:szCs w:val="21"/>
          <w:u w:val="single" w:color="auto"/>
          <w:color w:val="auto"/>
        </w:rPr>
        <w:t>www.itron.com</w:t>
      </w:r>
      <w:r>
        <w:rPr>
          <w:rFonts w:ascii="Arial" w:cs="Arial" w:eastAsia="Arial" w:hAnsi="Arial"/>
          <w:sz w:val="21"/>
          <w:szCs w:val="21"/>
          <w:color w:val="auto"/>
        </w:rPr>
        <w:t>.</w:t>
      </w:r>
    </w:p>
    <w:p>
      <w:pPr>
        <w:spacing w:after="0" w:line="179" w:lineRule="exact"/>
        <w:rPr>
          <w:sz w:val="20"/>
          <w:szCs w:val="20"/>
          <w:color w:val="auto"/>
        </w:rPr>
      </w:pPr>
    </w:p>
    <w:p>
      <w:pPr>
        <w:ind w:right="220"/>
        <w:spacing w:after="0" w:line="328" w:lineRule="auto"/>
        <w:rPr>
          <w:sz w:val="20"/>
          <w:szCs w:val="20"/>
          <w:color w:val="auto"/>
        </w:rPr>
      </w:pPr>
      <w:r>
        <w:rPr>
          <w:rFonts w:ascii="Arial" w:cs="Arial" w:eastAsia="Arial" w:hAnsi="Arial"/>
          <w:sz w:val="19"/>
          <w:szCs w:val="19"/>
          <w:color w:val="auto"/>
        </w:rPr>
        <w:t>Itron® and OpenWay® are registered trademarks of Itron, Inc. All third-party trademarks are property of their respective owners and any usage herein does not suggest or imply any relationship between Itron and the third party unless expressly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27202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Forward-Looking Statements</w:t>
      </w:r>
    </w:p>
    <w:p>
      <w:pPr>
        <w:spacing w:after="0" w:line="213"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This release contains forward-looking statements within in the meaning of the Private Securities Litigation Reform Act of 1995. These statements relate to our expectations about revenues, operations, financial performance, earnings, earnings per share and cash flows.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 31, 2017 and other reports on file with the Securities and Exchange Commission. Itron undertakes no obligation to update or revise any information in this press release.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To supplement our consolidated financial statements presented in accordance with GAAP, we use certain non-GAAP financial measures, including non-GAAP operating expense, non-GAAP operating income, non-GAAP net income, non-GAAP diluted EPS, adjusted EBITDA, adjusted EBITDA margin,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The company believes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2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280" w:type="dxa"/>
            <w:vAlign w:val="bottom"/>
          </w:tcPr>
          <w:p>
            <w:pPr>
              <w:spacing w:after="0"/>
              <w:rPr>
                <w:sz w:val="15"/>
                <w:szCs w:val="15"/>
                <w:color w:val="auto"/>
              </w:rPr>
            </w:pPr>
          </w:p>
        </w:tc>
        <w:tc>
          <w:tcPr>
            <w:tcW w:w="2060" w:type="dxa"/>
            <w:vAlign w:val="bottom"/>
            <w:gridSpan w:val="3"/>
            <w:vMerge w:val="restart"/>
          </w:tcPr>
          <w:p>
            <w:pPr>
              <w:jc w:val="right"/>
              <w:ind w:right="448"/>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80" w:type="dxa"/>
            <w:vAlign w:val="bottom"/>
            <w:gridSpan w:val="3"/>
            <w:vMerge w:val="restart"/>
          </w:tcPr>
          <w:p>
            <w:pPr>
              <w:jc w:val="right"/>
              <w:ind w:right="64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38"/>
        </w:trPr>
        <w:tc>
          <w:tcPr>
            <w:tcW w:w="6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4"/>
        </w:trPr>
        <w:tc>
          <w:tcPr>
            <w:tcW w:w="6020" w:type="dxa"/>
            <w:vAlign w:val="bottom"/>
          </w:tcPr>
          <w:p>
            <w:pPr>
              <w:spacing w:after="0"/>
              <w:rPr>
                <w:sz w:val="20"/>
                <w:szCs w:val="20"/>
                <w:color w:val="auto"/>
              </w:rPr>
            </w:pPr>
            <w:r>
              <w:rPr>
                <w:rFonts w:ascii="Arial" w:cs="Arial" w:eastAsia="Arial" w:hAnsi="Arial"/>
                <w:sz w:val="14"/>
                <w:szCs w:val="14"/>
                <w:color w:val="auto"/>
              </w:rPr>
              <w:t>Revenues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20" w:type="dxa"/>
            <w:vAlign w:val="bottom"/>
          </w:tcPr>
          <w:p>
            <w:pPr>
              <w:ind w:left="220"/>
              <w:spacing w:after="0"/>
              <w:rPr>
                <w:sz w:val="20"/>
                <w:szCs w:val="20"/>
                <w:color w:val="auto"/>
              </w:rPr>
            </w:pPr>
            <w:r>
              <w:rPr>
                <w:rFonts w:ascii="Arial" w:cs="Arial" w:eastAsia="Arial" w:hAnsi="Arial"/>
                <w:sz w:val="14"/>
                <w:szCs w:val="14"/>
                <w:color w:val="auto"/>
              </w:rPr>
              <w:t>Product revenues</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516,718</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492,863</w:t>
            </w:r>
          </w:p>
        </w:tc>
        <w:tc>
          <w:tcPr>
            <w:tcW w:w="5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2,095,458</w:t>
            </w:r>
          </w:p>
        </w:tc>
        <w:tc>
          <w:tcPr>
            <w:tcW w:w="5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1,813,925</w:t>
            </w:r>
          </w:p>
        </w:tc>
        <w:tc>
          <w:tcPr>
            <w:tcW w:w="0" w:type="dxa"/>
            <w:vAlign w:val="bottom"/>
          </w:tcPr>
          <w:p>
            <w:pPr>
              <w:spacing w:after="0"/>
              <w:rPr>
                <w:sz w:val="1"/>
                <w:szCs w:val="1"/>
                <w:color w:val="auto"/>
              </w:rPr>
            </w:pPr>
          </w:p>
        </w:tc>
      </w:tr>
      <w:tr>
        <w:trPr>
          <w:trHeight w:val="181"/>
        </w:trPr>
        <w:tc>
          <w:tcPr>
            <w:tcW w:w="6020" w:type="dxa"/>
            <w:vAlign w:val="bottom"/>
          </w:tcPr>
          <w:p>
            <w:pPr>
              <w:ind w:left="220"/>
              <w:spacing w:after="0"/>
              <w:rPr>
                <w:sz w:val="20"/>
                <w:szCs w:val="20"/>
                <w:color w:val="auto"/>
              </w:rPr>
            </w:pPr>
            <w:r>
              <w:rPr>
                <w:rFonts w:ascii="Arial" w:cs="Arial" w:eastAsia="Arial" w:hAnsi="Arial"/>
                <w:sz w:val="14"/>
                <w:szCs w:val="14"/>
                <w:color w:val="auto"/>
              </w:rPr>
              <w:t>Service revenues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70,326</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57,913</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280,659</w:t>
            </w: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204,272</w:t>
            </w:r>
          </w:p>
        </w:tc>
        <w:tc>
          <w:tcPr>
            <w:tcW w:w="0" w:type="dxa"/>
            <w:vAlign w:val="bottom"/>
          </w:tcPr>
          <w:p>
            <w:pPr>
              <w:spacing w:after="0"/>
              <w:rPr>
                <w:sz w:val="1"/>
                <w:szCs w:val="1"/>
                <w:color w:val="auto"/>
              </w:rPr>
            </w:pPr>
          </w:p>
        </w:tc>
      </w:tr>
      <w:tr>
        <w:trPr>
          <w:trHeight w:val="169"/>
        </w:trPr>
        <w:tc>
          <w:tcPr>
            <w:tcW w:w="6020" w:type="dxa"/>
            <w:vAlign w:val="bottom"/>
          </w:tcPr>
          <w:p>
            <w:pPr>
              <w:ind w:left="420"/>
              <w:spacing w:after="0"/>
              <w:rPr>
                <w:sz w:val="20"/>
                <w:szCs w:val="20"/>
                <w:color w:val="auto"/>
              </w:rPr>
            </w:pPr>
            <w:r>
              <w:rPr>
                <w:rFonts w:ascii="Arial" w:cs="Arial" w:eastAsia="Arial" w:hAnsi="Arial"/>
                <w:sz w:val="14"/>
                <w:szCs w:val="14"/>
                <w:color w:val="auto"/>
              </w:rPr>
              <w:t>Total revenues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587,044</w:t>
            </w: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550,776</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2,376,117</w:t>
            </w: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2,018,197</w:t>
            </w:r>
          </w:p>
        </w:tc>
        <w:tc>
          <w:tcPr>
            <w:tcW w:w="0" w:type="dxa"/>
            <w:vAlign w:val="bottom"/>
          </w:tcPr>
          <w:p>
            <w:pPr>
              <w:spacing w:after="0"/>
              <w:rPr>
                <w:sz w:val="1"/>
                <w:szCs w:val="1"/>
                <w:color w:val="auto"/>
              </w:rPr>
            </w:pPr>
          </w:p>
        </w:tc>
      </w:tr>
      <w:tr>
        <w:trPr>
          <w:trHeight w:val="164"/>
        </w:trPr>
        <w:tc>
          <w:tcPr>
            <w:tcW w:w="6020" w:type="dxa"/>
            <w:vAlign w:val="bottom"/>
          </w:tcPr>
          <w:p>
            <w:pPr>
              <w:spacing w:after="0"/>
              <w:rPr>
                <w:sz w:val="20"/>
                <w:szCs w:val="20"/>
                <w:color w:val="auto"/>
              </w:rPr>
            </w:pPr>
            <w:r>
              <w:rPr>
                <w:rFonts w:ascii="Arial" w:cs="Arial" w:eastAsia="Arial" w:hAnsi="Arial"/>
                <w:sz w:val="14"/>
                <w:szCs w:val="14"/>
                <w:color w:val="auto"/>
              </w:rPr>
              <w:t>Cost of revenues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20" w:type="dxa"/>
            <w:vAlign w:val="bottom"/>
          </w:tcPr>
          <w:p>
            <w:pPr>
              <w:ind w:left="220"/>
              <w:spacing w:after="0"/>
              <w:rPr>
                <w:sz w:val="20"/>
                <w:szCs w:val="20"/>
                <w:color w:val="auto"/>
              </w:rPr>
            </w:pPr>
            <w:r>
              <w:rPr>
                <w:rFonts w:ascii="Arial" w:cs="Arial" w:eastAsia="Arial" w:hAnsi="Arial"/>
                <w:sz w:val="14"/>
                <w:szCs w:val="14"/>
                <w:color w:val="auto"/>
              </w:rPr>
              <w:t>Product cost of revenues</w:t>
            </w:r>
          </w:p>
        </w:tc>
        <w:tc>
          <w:tcPr>
            <w:tcW w:w="28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369,912</w:t>
            </w:r>
          </w:p>
        </w:tc>
        <w:tc>
          <w:tcPr>
            <w:tcW w:w="46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338,839</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1,476,498</w:t>
            </w:r>
          </w:p>
        </w:tc>
        <w:tc>
          <w:tcPr>
            <w:tcW w:w="50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1,204,127</w:t>
            </w:r>
          </w:p>
        </w:tc>
        <w:tc>
          <w:tcPr>
            <w:tcW w:w="0" w:type="dxa"/>
            <w:vAlign w:val="bottom"/>
          </w:tcPr>
          <w:p>
            <w:pPr>
              <w:spacing w:after="0"/>
              <w:rPr>
                <w:sz w:val="1"/>
                <w:szCs w:val="1"/>
                <w:color w:val="auto"/>
              </w:rPr>
            </w:pPr>
          </w:p>
        </w:tc>
      </w:tr>
      <w:tr>
        <w:trPr>
          <w:trHeight w:val="181"/>
        </w:trPr>
        <w:tc>
          <w:tcPr>
            <w:tcW w:w="6020" w:type="dxa"/>
            <w:vAlign w:val="bottom"/>
          </w:tcPr>
          <w:p>
            <w:pPr>
              <w:ind w:left="220"/>
              <w:spacing w:after="0"/>
              <w:rPr>
                <w:sz w:val="20"/>
                <w:szCs w:val="20"/>
                <w:color w:val="auto"/>
              </w:rPr>
            </w:pPr>
            <w:r>
              <w:rPr>
                <w:rFonts w:ascii="Arial" w:cs="Arial" w:eastAsia="Arial" w:hAnsi="Arial"/>
                <w:sz w:val="14"/>
                <w:szCs w:val="14"/>
                <w:color w:val="auto"/>
              </w:rPr>
              <w:t>Services cost of revenues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40,342</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36,855</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169,300</w:t>
            </w: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137,319</w:t>
            </w:r>
          </w:p>
        </w:tc>
        <w:tc>
          <w:tcPr>
            <w:tcW w:w="0" w:type="dxa"/>
            <w:vAlign w:val="bottom"/>
          </w:tcPr>
          <w:p>
            <w:pPr>
              <w:spacing w:after="0"/>
              <w:rPr>
                <w:sz w:val="1"/>
                <w:szCs w:val="1"/>
                <w:color w:val="auto"/>
              </w:rPr>
            </w:pPr>
          </w:p>
        </w:tc>
      </w:tr>
      <w:tr>
        <w:trPr>
          <w:trHeight w:val="169"/>
        </w:trPr>
        <w:tc>
          <w:tcPr>
            <w:tcW w:w="6020" w:type="dxa"/>
            <w:vAlign w:val="bottom"/>
          </w:tcPr>
          <w:p>
            <w:pPr>
              <w:ind w:left="420"/>
              <w:spacing w:after="0"/>
              <w:rPr>
                <w:sz w:val="20"/>
                <w:szCs w:val="20"/>
                <w:color w:val="auto"/>
              </w:rPr>
            </w:pPr>
            <w:r>
              <w:rPr>
                <w:rFonts w:ascii="Arial" w:cs="Arial" w:eastAsia="Arial" w:hAnsi="Arial"/>
                <w:sz w:val="14"/>
                <w:szCs w:val="14"/>
                <w:color w:val="auto"/>
              </w:rPr>
              <w:t>Total cost of revenues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410,254</w:t>
            </w: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375,694</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1,645,798</w:t>
            </w: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1,341,446</w:t>
            </w:r>
          </w:p>
        </w:tc>
        <w:tc>
          <w:tcPr>
            <w:tcW w:w="0" w:type="dxa"/>
            <w:vAlign w:val="bottom"/>
          </w:tcPr>
          <w:p>
            <w:pPr>
              <w:spacing w:after="0"/>
              <w:rPr>
                <w:sz w:val="1"/>
                <w:szCs w:val="1"/>
                <w:color w:val="auto"/>
              </w:rPr>
            </w:pPr>
          </w:p>
        </w:tc>
      </w:tr>
      <w:tr>
        <w:trPr>
          <w:trHeight w:val="346"/>
        </w:trPr>
        <w:tc>
          <w:tcPr>
            <w:tcW w:w="6020" w:type="dxa"/>
            <w:vAlign w:val="bottom"/>
          </w:tcPr>
          <w:p>
            <w:pPr>
              <w:spacing w:after="0"/>
              <w:rPr>
                <w:sz w:val="20"/>
                <w:szCs w:val="20"/>
                <w:color w:val="auto"/>
              </w:rPr>
            </w:pPr>
            <w:r>
              <w:rPr>
                <w:rFonts w:ascii="Arial" w:cs="Arial" w:eastAsia="Arial" w:hAnsi="Arial"/>
                <w:sz w:val="14"/>
                <w:szCs w:val="14"/>
                <w:color w:val="auto"/>
              </w:rPr>
              <w:t>Gross profit</w:t>
            </w:r>
          </w:p>
        </w:tc>
        <w:tc>
          <w:tcPr>
            <w:tcW w:w="28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176,790</w:t>
            </w:r>
          </w:p>
        </w:tc>
        <w:tc>
          <w:tcPr>
            <w:tcW w:w="46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175,082</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730,319</w:t>
            </w:r>
          </w:p>
        </w:tc>
        <w:tc>
          <w:tcPr>
            <w:tcW w:w="50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676,751</w:t>
            </w:r>
          </w:p>
        </w:tc>
        <w:tc>
          <w:tcPr>
            <w:tcW w:w="0" w:type="dxa"/>
            <w:vAlign w:val="bottom"/>
          </w:tcPr>
          <w:p>
            <w:pPr>
              <w:spacing w:after="0"/>
              <w:rPr>
                <w:sz w:val="1"/>
                <w:szCs w:val="1"/>
                <w:color w:val="auto"/>
              </w:rPr>
            </w:pPr>
          </w:p>
        </w:tc>
      </w:tr>
      <w:tr>
        <w:trPr>
          <w:trHeight w:val="344"/>
        </w:trPr>
        <w:tc>
          <w:tcPr>
            <w:tcW w:w="6020" w:type="dxa"/>
            <w:vAlign w:val="bottom"/>
          </w:tcPr>
          <w:p>
            <w:pPr>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20" w:type="dxa"/>
            <w:vAlign w:val="bottom"/>
          </w:tcPr>
          <w:p>
            <w:pPr>
              <w:ind w:left="220"/>
              <w:spacing w:after="0"/>
              <w:rPr>
                <w:sz w:val="20"/>
                <w:szCs w:val="20"/>
                <w:color w:val="auto"/>
              </w:rPr>
            </w:pPr>
            <w:r>
              <w:rPr>
                <w:rFonts w:ascii="Arial" w:cs="Arial" w:eastAsia="Arial" w:hAnsi="Arial"/>
                <w:sz w:val="14"/>
                <w:szCs w:val="14"/>
                <w:color w:val="auto"/>
              </w:rPr>
              <w:t>Sales, general and administrative</w:t>
            </w:r>
          </w:p>
        </w:tc>
        <w:tc>
          <w:tcPr>
            <w:tcW w:w="28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90,377</w:t>
            </w:r>
          </w:p>
        </w:tc>
        <w:tc>
          <w:tcPr>
            <w:tcW w:w="46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79,083</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423,210</w:t>
            </w:r>
          </w:p>
        </w:tc>
        <w:tc>
          <w:tcPr>
            <w:tcW w:w="50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325,264</w:t>
            </w:r>
          </w:p>
        </w:tc>
        <w:tc>
          <w:tcPr>
            <w:tcW w:w="0" w:type="dxa"/>
            <w:vAlign w:val="bottom"/>
          </w:tcPr>
          <w:p>
            <w:pPr>
              <w:spacing w:after="0"/>
              <w:rPr>
                <w:sz w:val="1"/>
                <w:szCs w:val="1"/>
                <w:color w:val="auto"/>
              </w:rPr>
            </w:pPr>
          </w:p>
        </w:tc>
      </w:tr>
      <w:tr>
        <w:trPr>
          <w:trHeight w:val="176"/>
        </w:trPr>
        <w:tc>
          <w:tcPr>
            <w:tcW w:w="6020" w:type="dxa"/>
            <w:vAlign w:val="bottom"/>
          </w:tcPr>
          <w:p>
            <w:pPr>
              <w:ind w:left="220"/>
              <w:spacing w:after="0"/>
              <w:rPr>
                <w:sz w:val="20"/>
                <w:szCs w:val="20"/>
                <w:color w:val="auto"/>
              </w:rPr>
            </w:pPr>
            <w:r>
              <w:rPr>
                <w:rFonts w:ascii="Arial" w:cs="Arial" w:eastAsia="Arial" w:hAnsi="Arial"/>
                <w:sz w:val="14"/>
                <w:szCs w:val="14"/>
                <w:color w:val="auto"/>
              </w:rPr>
              <w:t>Product development</w:t>
            </w:r>
          </w:p>
        </w:tc>
        <w:tc>
          <w:tcPr>
            <w:tcW w:w="28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45,607</w:t>
            </w:r>
          </w:p>
        </w:tc>
        <w:tc>
          <w:tcPr>
            <w:tcW w:w="46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43,161</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207,905</w:t>
            </w:r>
          </w:p>
        </w:tc>
        <w:tc>
          <w:tcPr>
            <w:tcW w:w="50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169,407</w:t>
            </w:r>
          </w:p>
        </w:tc>
        <w:tc>
          <w:tcPr>
            <w:tcW w:w="0" w:type="dxa"/>
            <w:vAlign w:val="bottom"/>
          </w:tcPr>
          <w:p>
            <w:pPr>
              <w:spacing w:after="0"/>
              <w:rPr>
                <w:sz w:val="1"/>
                <w:szCs w:val="1"/>
                <w:color w:val="auto"/>
              </w:rPr>
            </w:pPr>
          </w:p>
        </w:tc>
      </w:tr>
      <w:tr>
        <w:trPr>
          <w:trHeight w:val="176"/>
        </w:trPr>
        <w:tc>
          <w:tcPr>
            <w:tcW w:w="6020" w:type="dxa"/>
            <w:vAlign w:val="bottom"/>
          </w:tcPr>
          <w:p>
            <w:pPr>
              <w:ind w:left="22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18,014</w:t>
            </w:r>
          </w:p>
        </w:tc>
        <w:tc>
          <w:tcPr>
            <w:tcW w:w="46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5,641</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71,713</w:t>
            </w:r>
          </w:p>
        </w:tc>
        <w:tc>
          <w:tcPr>
            <w:tcW w:w="50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20,785</w:t>
            </w:r>
          </w:p>
        </w:tc>
        <w:tc>
          <w:tcPr>
            <w:tcW w:w="0" w:type="dxa"/>
            <w:vAlign w:val="bottom"/>
          </w:tcPr>
          <w:p>
            <w:pPr>
              <w:spacing w:after="0"/>
              <w:rPr>
                <w:sz w:val="1"/>
                <w:szCs w:val="1"/>
                <w:color w:val="auto"/>
              </w:rPr>
            </w:pPr>
          </w:p>
        </w:tc>
      </w:tr>
      <w:tr>
        <w:trPr>
          <w:trHeight w:val="181"/>
        </w:trPr>
        <w:tc>
          <w:tcPr>
            <w:tcW w:w="6020" w:type="dxa"/>
            <w:vAlign w:val="bottom"/>
          </w:tcPr>
          <w:p>
            <w:pPr>
              <w:ind w:left="220"/>
              <w:spacing w:after="0"/>
              <w:rPr>
                <w:sz w:val="20"/>
                <w:szCs w:val="20"/>
                <w:color w:val="auto"/>
              </w:rPr>
            </w:pPr>
            <w:r>
              <w:rPr>
                <w:rFonts w:ascii="Arial" w:cs="Arial" w:eastAsia="Arial" w:hAnsi="Arial"/>
                <w:sz w:val="14"/>
                <w:szCs w:val="14"/>
                <w:color w:val="auto"/>
              </w:rPr>
              <w:t>Restructuring</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(5,725)</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77,183</w:t>
            </w: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6,418</w:t>
            </w:r>
          </w:p>
        </w:tc>
        <w:tc>
          <w:tcPr>
            <w:tcW w:w="0" w:type="dxa"/>
            <w:vAlign w:val="bottom"/>
          </w:tcPr>
          <w:p>
            <w:pPr>
              <w:spacing w:after="0"/>
              <w:rPr>
                <w:sz w:val="1"/>
                <w:szCs w:val="1"/>
                <w:color w:val="auto"/>
              </w:rPr>
            </w:pPr>
          </w:p>
        </w:tc>
      </w:tr>
      <w:tr>
        <w:trPr>
          <w:trHeight w:val="169"/>
        </w:trPr>
        <w:tc>
          <w:tcPr>
            <w:tcW w:w="6020" w:type="dxa"/>
            <w:vAlign w:val="bottom"/>
          </w:tcPr>
          <w:p>
            <w:pPr>
              <w:ind w:left="42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148,273</w:t>
            </w: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126,886</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780,011</w:t>
            </w: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521,874</w:t>
            </w:r>
          </w:p>
        </w:tc>
        <w:tc>
          <w:tcPr>
            <w:tcW w:w="0" w:type="dxa"/>
            <w:vAlign w:val="bottom"/>
          </w:tcPr>
          <w:p>
            <w:pPr>
              <w:spacing w:after="0"/>
              <w:rPr>
                <w:sz w:val="1"/>
                <w:szCs w:val="1"/>
                <w:color w:val="auto"/>
              </w:rPr>
            </w:pPr>
          </w:p>
        </w:tc>
      </w:tr>
      <w:tr>
        <w:trPr>
          <w:trHeight w:val="339"/>
        </w:trPr>
        <w:tc>
          <w:tcPr>
            <w:tcW w:w="6020" w:type="dxa"/>
            <w:vAlign w:val="bottom"/>
          </w:tcPr>
          <w:p>
            <w:pPr>
              <w:spacing w:after="0"/>
              <w:rPr>
                <w:sz w:val="20"/>
                <w:szCs w:val="20"/>
                <w:color w:val="auto"/>
              </w:rPr>
            </w:pPr>
            <w:r>
              <w:rPr>
                <w:rFonts w:ascii="Arial" w:cs="Arial" w:eastAsia="Arial" w:hAnsi="Arial"/>
                <w:sz w:val="14"/>
                <w:szCs w:val="14"/>
                <w:color w:val="auto"/>
              </w:rPr>
              <w:t>Operating income (loss)</w:t>
            </w:r>
          </w:p>
        </w:tc>
        <w:tc>
          <w:tcPr>
            <w:tcW w:w="28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28,517</w:t>
            </w:r>
          </w:p>
        </w:tc>
        <w:tc>
          <w:tcPr>
            <w:tcW w:w="46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48,196</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(49,692)</w:t>
            </w:r>
          </w:p>
        </w:tc>
        <w:tc>
          <w:tcPr>
            <w:tcW w:w="50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154,877</w:t>
            </w:r>
          </w:p>
        </w:tc>
        <w:tc>
          <w:tcPr>
            <w:tcW w:w="0" w:type="dxa"/>
            <w:vAlign w:val="bottom"/>
          </w:tcPr>
          <w:p>
            <w:pPr>
              <w:spacing w:after="0"/>
              <w:rPr>
                <w:sz w:val="1"/>
                <w:szCs w:val="1"/>
                <w:color w:val="auto"/>
              </w:rPr>
            </w:pPr>
          </w:p>
        </w:tc>
      </w:tr>
      <w:tr>
        <w:trPr>
          <w:trHeight w:val="176"/>
        </w:trPr>
        <w:tc>
          <w:tcPr>
            <w:tcW w:w="6020" w:type="dxa"/>
            <w:vAlign w:val="bottom"/>
          </w:tcPr>
          <w:p>
            <w:pPr>
              <w:spacing w:after="0"/>
              <w:rPr>
                <w:sz w:val="20"/>
                <w:szCs w:val="20"/>
                <w:color w:val="auto"/>
              </w:rPr>
            </w:pPr>
            <w:r>
              <w:rPr>
                <w:rFonts w:ascii="Arial" w:cs="Arial" w:eastAsia="Arial" w:hAnsi="Arial"/>
                <w:sz w:val="14"/>
                <w:szCs w:val="14"/>
                <w:color w:val="auto"/>
              </w:rPr>
              <w:t>Other income (expense)</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20" w:type="dxa"/>
            <w:vAlign w:val="bottom"/>
          </w:tcPr>
          <w:p>
            <w:pPr>
              <w:ind w:left="220"/>
              <w:spacing w:after="0"/>
              <w:rPr>
                <w:sz w:val="20"/>
                <w:szCs w:val="20"/>
                <w:color w:val="auto"/>
              </w:rPr>
            </w:pPr>
            <w:r>
              <w:rPr>
                <w:rFonts w:ascii="Arial" w:cs="Arial" w:eastAsia="Arial" w:hAnsi="Arial"/>
                <w:sz w:val="14"/>
                <w:szCs w:val="14"/>
                <w:color w:val="auto"/>
              </w:rPr>
              <w:t>Interest income</w:t>
            </w:r>
          </w:p>
        </w:tc>
        <w:tc>
          <w:tcPr>
            <w:tcW w:w="28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428</w:t>
            </w:r>
          </w:p>
        </w:tc>
        <w:tc>
          <w:tcPr>
            <w:tcW w:w="46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658</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2,153</w:t>
            </w:r>
          </w:p>
        </w:tc>
        <w:tc>
          <w:tcPr>
            <w:tcW w:w="50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176"/>
        </w:trPr>
        <w:tc>
          <w:tcPr>
            <w:tcW w:w="6020" w:type="dxa"/>
            <w:vAlign w:val="bottom"/>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(13,883)</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(3,769)</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(58,203)</w:t>
            </w:r>
          </w:p>
        </w:tc>
        <w:tc>
          <w:tcPr>
            <w:tcW w:w="50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(13,845)</w:t>
            </w:r>
          </w:p>
        </w:tc>
        <w:tc>
          <w:tcPr>
            <w:tcW w:w="0" w:type="dxa"/>
            <w:vAlign w:val="bottom"/>
          </w:tcPr>
          <w:p>
            <w:pPr>
              <w:spacing w:after="0"/>
              <w:rPr>
                <w:sz w:val="1"/>
                <w:szCs w:val="1"/>
                <w:color w:val="auto"/>
              </w:rPr>
            </w:pPr>
          </w:p>
        </w:tc>
      </w:tr>
      <w:tr>
        <w:trPr>
          <w:trHeight w:val="181"/>
        </w:trPr>
        <w:tc>
          <w:tcPr>
            <w:tcW w:w="6020" w:type="dxa"/>
            <w:vAlign w:val="bottom"/>
          </w:tcPr>
          <w:p>
            <w:pPr>
              <w:ind w:left="220"/>
              <w:spacing w:after="0"/>
              <w:rPr>
                <w:sz w:val="20"/>
                <w:szCs w:val="20"/>
                <w:color w:val="auto"/>
              </w:rPr>
            </w:pPr>
            <w:r>
              <w:rPr>
                <w:rFonts w:ascii="Arial" w:cs="Arial" w:eastAsia="Arial" w:hAnsi="Arial"/>
                <w:sz w:val="14"/>
                <w:szCs w:val="14"/>
                <w:color w:val="auto"/>
              </w:rPr>
              <w:t>Other income (expense), net</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(811)</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(3,409)</w:t>
            </w: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(8,583)</w:t>
            </w:r>
          </w:p>
        </w:tc>
        <w:tc>
          <w:tcPr>
            <w:tcW w:w="0" w:type="dxa"/>
            <w:vAlign w:val="bottom"/>
          </w:tcPr>
          <w:p>
            <w:pPr>
              <w:spacing w:after="0"/>
              <w:rPr>
                <w:sz w:val="1"/>
                <w:szCs w:val="1"/>
                <w:color w:val="auto"/>
              </w:rPr>
            </w:pPr>
          </w:p>
        </w:tc>
      </w:tr>
      <w:tr>
        <w:trPr>
          <w:trHeight w:val="169"/>
        </w:trPr>
        <w:tc>
          <w:tcPr>
            <w:tcW w:w="6020" w:type="dxa"/>
            <w:vAlign w:val="bottom"/>
          </w:tcPr>
          <w:p>
            <w:pPr>
              <w:ind w:left="420"/>
              <w:spacing w:after="0"/>
              <w:rPr>
                <w:sz w:val="20"/>
                <w:szCs w:val="20"/>
                <w:color w:val="auto"/>
              </w:rPr>
            </w:pPr>
            <w:r>
              <w:rPr>
                <w:rFonts w:ascii="Arial" w:cs="Arial" w:eastAsia="Arial" w:hAnsi="Arial"/>
                <w:sz w:val="14"/>
                <w:szCs w:val="14"/>
                <w:color w:val="auto"/>
              </w:rPr>
              <w:t>Total other income (expense)</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(14,266)</w:t>
            </w: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(3,743)</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(59,459)</w:t>
            </w: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(20,302)</w:t>
            </w:r>
          </w:p>
        </w:tc>
        <w:tc>
          <w:tcPr>
            <w:tcW w:w="0" w:type="dxa"/>
            <w:vAlign w:val="bottom"/>
          </w:tcPr>
          <w:p>
            <w:pPr>
              <w:spacing w:after="0"/>
              <w:rPr>
                <w:sz w:val="1"/>
                <w:szCs w:val="1"/>
                <w:color w:val="auto"/>
              </w:rPr>
            </w:pPr>
          </w:p>
        </w:tc>
      </w:tr>
      <w:tr>
        <w:trPr>
          <w:trHeight w:val="339"/>
        </w:trPr>
        <w:tc>
          <w:tcPr>
            <w:tcW w:w="6020" w:type="dxa"/>
            <w:vAlign w:val="bottom"/>
          </w:tcPr>
          <w:p>
            <w:pPr>
              <w:spacing w:after="0"/>
              <w:rPr>
                <w:sz w:val="20"/>
                <w:szCs w:val="20"/>
                <w:color w:val="auto"/>
              </w:rPr>
            </w:pPr>
            <w:r>
              <w:rPr>
                <w:rFonts w:ascii="Arial" w:cs="Arial" w:eastAsia="Arial" w:hAnsi="Arial"/>
                <w:sz w:val="14"/>
                <w:szCs w:val="14"/>
                <w:color w:val="auto"/>
              </w:rPr>
              <w:t>Income (loss) before income taxes</w:t>
            </w:r>
          </w:p>
        </w:tc>
        <w:tc>
          <w:tcPr>
            <w:tcW w:w="28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14,251</w:t>
            </w:r>
          </w:p>
        </w:tc>
        <w:tc>
          <w:tcPr>
            <w:tcW w:w="46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44,453</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(109,151)</w:t>
            </w:r>
          </w:p>
        </w:tc>
        <w:tc>
          <w:tcPr>
            <w:tcW w:w="50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134,575</w:t>
            </w:r>
          </w:p>
        </w:tc>
        <w:tc>
          <w:tcPr>
            <w:tcW w:w="0" w:type="dxa"/>
            <w:vAlign w:val="bottom"/>
          </w:tcPr>
          <w:p>
            <w:pPr>
              <w:spacing w:after="0"/>
              <w:rPr>
                <w:sz w:val="1"/>
                <w:szCs w:val="1"/>
                <w:color w:val="auto"/>
              </w:rPr>
            </w:pPr>
          </w:p>
        </w:tc>
      </w:tr>
      <w:tr>
        <w:trPr>
          <w:trHeight w:val="181"/>
        </w:trPr>
        <w:tc>
          <w:tcPr>
            <w:tcW w:w="602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10,878</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(42,079)</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12,570</w:t>
            </w: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(74,326)</w:t>
            </w:r>
          </w:p>
        </w:tc>
        <w:tc>
          <w:tcPr>
            <w:tcW w:w="0" w:type="dxa"/>
            <w:vAlign w:val="bottom"/>
          </w:tcPr>
          <w:p>
            <w:pPr>
              <w:spacing w:after="0"/>
              <w:rPr>
                <w:sz w:val="1"/>
                <w:szCs w:val="1"/>
                <w:color w:val="auto"/>
              </w:rPr>
            </w:pPr>
          </w:p>
        </w:tc>
      </w:tr>
      <w:tr>
        <w:trPr>
          <w:trHeight w:val="164"/>
        </w:trPr>
        <w:tc>
          <w:tcPr>
            <w:tcW w:w="6020" w:type="dxa"/>
            <w:vAlign w:val="bottom"/>
          </w:tcPr>
          <w:p>
            <w:pPr>
              <w:spacing w:after="0"/>
              <w:rPr>
                <w:sz w:val="20"/>
                <w:szCs w:val="20"/>
                <w:color w:val="auto"/>
              </w:rPr>
            </w:pPr>
            <w:r>
              <w:rPr>
                <w:rFonts w:ascii="Arial" w:cs="Arial" w:eastAsia="Arial" w:hAnsi="Arial"/>
                <w:sz w:val="14"/>
                <w:szCs w:val="14"/>
                <w:color w:val="auto"/>
              </w:rPr>
              <w:t>Net income (loss)</w:t>
            </w:r>
          </w:p>
        </w:tc>
        <w:tc>
          <w:tcPr>
            <w:tcW w:w="2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25,129</w:t>
            </w:r>
          </w:p>
        </w:tc>
        <w:tc>
          <w:tcPr>
            <w:tcW w:w="4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2,374</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(96,581)</w:t>
            </w:r>
          </w:p>
        </w:tc>
        <w:tc>
          <w:tcPr>
            <w:tcW w:w="5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60,249</w:t>
            </w:r>
          </w:p>
        </w:tc>
        <w:tc>
          <w:tcPr>
            <w:tcW w:w="0" w:type="dxa"/>
            <w:vAlign w:val="bottom"/>
          </w:tcPr>
          <w:p>
            <w:pPr>
              <w:spacing w:after="0"/>
              <w:rPr>
                <w:sz w:val="1"/>
                <w:szCs w:val="1"/>
                <w:color w:val="auto"/>
              </w:rPr>
            </w:pPr>
          </w:p>
        </w:tc>
      </w:tr>
      <w:tr>
        <w:trPr>
          <w:trHeight w:val="181"/>
        </w:trPr>
        <w:tc>
          <w:tcPr>
            <w:tcW w:w="6020" w:type="dxa"/>
            <w:vAlign w:val="bottom"/>
          </w:tcPr>
          <w:p>
            <w:pPr>
              <w:ind w:left="220"/>
              <w:spacing w:after="0"/>
              <w:rPr>
                <w:sz w:val="20"/>
                <w:szCs w:val="20"/>
                <w:color w:val="auto"/>
              </w:rPr>
            </w:pPr>
            <w:r>
              <w:rPr>
                <w:rFonts w:ascii="Arial" w:cs="Arial" w:eastAsia="Arial" w:hAnsi="Arial"/>
                <w:sz w:val="14"/>
                <w:szCs w:val="14"/>
                <w:color w:val="auto"/>
              </w:rPr>
              <w:t>Net income attributable to noncontrolling interests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1,252</w:t>
            </w: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594</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2,669</w:t>
            </w: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2,951</w:t>
            </w:r>
          </w:p>
        </w:tc>
        <w:tc>
          <w:tcPr>
            <w:tcW w:w="0" w:type="dxa"/>
            <w:vAlign w:val="bottom"/>
          </w:tcPr>
          <w:p>
            <w:pPr>
              <w:spacing w:after="0"/>
              <w:rPr>
                <w:sz w:val="1"/>
                <w:szCs w:val="1"/>
                <w:color w:val="auto"/>
              </w:rPr>
            </w:pPr>
          </w:p>
        </w:tc>
      </w:tr>
      <w:tr>
        <w:trPr>
          <w:trHeight w:val="169"/>
        </w:trPr>
        <w:tc>
          <w:tcPr>
            <w:tcW w:w="6020" w:type="dxa"/>
            <w:vAlign w:val="bottom"/>
          </w:tcPr>
          <w:p>
            <w:pPr>
              <w:spacing w:after="0"/>
              <w:rPr>
                <w:sz w:val="20"/>
                <w:szCs w:val="20"/>
                <w:color w:val="auto"/>
              </w:rPr>
            </w:pPr>
            <w:r>
              <w:rPr>
                <w:rFonts w:ascii="Arial" w:cs="Arial" w:eastAsia="Arial" w:hAnsi="Arial"/>
                <w:sz w:val="14"/>
                <w:szCs w:val="14"/>
                <w:color w:val="auto"/>
              </w:rPr>
              <w:t>Net income (loss) attributable to Itron, Inc.</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23,877</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1,780</w:t>
            </w:r>
          </w:p>
        </w:tc>
        <w:tc>
          <w:tcPr>
            <w:tcW w:w="260" w:type="dxa"/>
            <w:vAlign w:val="bottom"/>
          </w:tcPr>
          <w:p>
            <w:pPr>
              <w:spacing w:after="0"/>
              <w:rPr>
                <w:sz w:val="14"/>
                <w:szCs w:val="14"/>
                <w:color w:val="auto"/>
              </w:rPr>
            </w:pP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(99,250)</w:t>
            </w:r>
          </w:p>
        </w:tc>
        <w:tc>
          <w:tcPr>
            <w:tcW w:w="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57,298</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020" w:type="dxa"/>
            <w:vAlign w:val="bottom"/>
          </w:tcPr>
          <w:p>
            <w:pPr>
              <w:spacing w:after="0"/>
              <w:rPr>
                <w:sz w:val="20"/>
                <w:szCs w:val="20"/>
                <w:color w:val="auto"/>
              </w:rPr>
            </w:pPr>
            <w:r>
              <w:rPr>
                <w:rFonts w:ascii="Arial" w:cs="Arial" w:eastAsia="Arial" w:hAnsi="Arial"/>
                <w:sz w:val="14"/>
                <w:szCs w:val="14"/>
                <w:color w:val="auto"/>
              </w:rPr>
              <w:t>Earnings (loss) per common share - Basic</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0.61</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0.05</w:t>
            </w:r>
          </w:p>
        </w:tc>
        <w:tc>
          <w:tcPr>
            <w:tcW w:w="260" w:type="dxa"/>
            <w:vAlign w:val="bottom"/>
          </w:tcPr>
          <w:p>
            <w:pPr>
              <w:spacing w:after="0"/>
              <w:rPr>
                <w:sz w:val="24"/>
                <w:szCs w:val="24"/>
                <w:color w:val="auto"/>
              </w:rPr>
            </w:pP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(2.53)</w:t>
            </w:r>
          </w:p>
        </w:tc>
        <w:tc>
          <w:tcPr>
            <w:tcW w:w="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4"/>
                <w:szCs w:val="14"/>
                <w:color w:val="auto"/>
              </w:rPr>
              <w:t>Earnings (loss) per common share - Diluted</w:t>
            </w: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20" w:type="dxa"/>
            <w:vAlign w:val="bottom"/>
            <w:vMerge w:val="continue"/>
          </w:tcPr>
          <w:p>
            <w:pPr>
              <w:spacing w:after="0"/>
              <w:rPr>
                <w:sz w:val="13"/>
                <w:szCs w:val="13"/>
                <w:color w:val="auto"/>
              </w:rPr>
            </w:pPr>
          </w:p>
        </w:tc>
        <w:tc>
          <w:tcPr>
            <w:tcW w:w="28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108"/>
              <w:spacing w:after="0" w:line="156" w:lineRule="exact"/>
              <w:rPr>
                <w:sz w:val="20"/>
                <w:szCs w:val="20"/>
                <w:color w:val="auto"/>
              </w:rPr>
            </w:pPr>
            <w:r>
              <w:rPr>
                <w:rFonts w:ascii="Arial" w:cs="Arial" w:eastAsia="Arial" w:hAnsi="Arial"/>
                <w:sz w:val="14"/>
                <w:szCs w:val="14"/>
                <w:color w:val="auto"/>
              </w:rPr>
              <w:t>0.60</w:t>
            </w:r>
          </w:p>
        </w:tc>
        <w:tc>
          <w:tcPr>
            <w:tcW w:w="460" w:type="dxa"/>
            <w:vAlign w:val="bottom"/>
            <w:tcBorders>
              <w:top w:val="single" w:sz="8" w:color="auto"/>
              <w:bottom w:val="single" w:sz="8" w:color="auto"/>
            </w:tcBorders>
          </w:tcPr>
          <w:p>
            <w:pPr>
              <w:jc w:val="right"/>
              <w:ind w:right="188"/>
              <w:spacing w:after="0" w:line="156"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0.05</w:t>
            </w:r>
          </w:p>
        </w:tc>
        <w:tc>
          <w:tcPr>
            <w:tcW w:w="26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(2.53)</w:t>
            </w:r>
          </w:p>
        </w:tc>
        <w:tc>
          <w:tcPr>
            <w:tcW w:w="500" w:type="dxa"/>
            <w:vAlign w:val="bottom"/>
            <w:tcBorders>
              <w:top w:val="single" w:sz="8" w:color="auto"/>
              <w:bottom w:val="single" w:sz="8" w:color="auto"/>
            </w:tcBorders>
          </w:tcPr>
          <w:p>
            <w:pPr>
              <w:jc w:val="right"/>
              <w:ind w:right="228"/>
              <w:spacing w:after="0" w:line="156"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020" w:type="dxa"/>
            <w:vAlign w:val="bottom"/>
          </w:tcPr>
          <w:p>
            <w:pPr>
              <w:spacing w:after="0"/>
              <w:rPr>
                <w:sz w:val="20"/>
                <w:szCs w:val="20"/>
                <w:color w:val="auto"/>
              </w:rPr>
            </w:pPr>
            <w:r>
              <w:rPr>
                <w:rFonts w:ascii="Arial" w:cs="Arial" w:eastAsia="Arial" w:hAnsi="Arial"/>
                <w:sz w:val="14"/>
                <w:szCs w:val="14"/>
                <w:color w:val="auto"/>
              </w:rPr>
              <w:t>Weighted average common shares outstanding - Basic</w:t>
            </w:r>
          </w:p>
        </w:tc>
        <w:tc>
          <w:tcPr>
            <w:tcW w:w="28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39,444</w:t>
            </w:r>
          </w:p>
        </w:tc>
        <w:tc>
          <w:tcPr>
            <w:tcW w:w="46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38,745</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39,244</w:t>
            </w:r>
          </w:p>
        </w:tc>
        <w:tc>
          <w:tcPr>
            <w:tcW w:w="50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38,655</w:t>
            </w:r>
          </w:p>
        </w:tc>
        <w:tc>
          <w:tcPr>
            <w:tcW w:w="0" w:type="dxa"/>
            <w:vAlign w:val="bottom"/>
          </w:tcPr>
          <w:p>
            <w:pPr>
              <w:spacing w:after="0"/>
              <w:rPr>
                <w:sz w:val="1"/>
                <w:szCs w:val="1"/>
                <w:color w:val="auto"/>
              </w:rPr>
            </w:pPr>
          </w:p>
        </w:tc>
      </w:tr>
      <w:tr>
        <w:trPr>
          <w:trHeight w:val="182"/>
        </w:trPr>
        <w:tc>
          <w:tcPr>
            <w:tcW w:w="6020" w:type="dxa"/>
            <w:vAlign w:val="bottom"/>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8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39,885</w:t>
            </w:r>
          </w:p>
        </w:tc>
        <w:tc>
          <w:tcPr>
            <w:tcW w:w="46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39,530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39,244</w:t>
            </w:r>
          </w:p>
        </w:tc>
        <w:tc>
          <w:tcPr>
            <w:tcW w:w="50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39,387</w:t>
            </w:r>
          </w:p>
        </w:tc>
        <w:tc>
          <w:tcPr>
            <w:tcW w:w="0" w:type="dxa"/>
            <w:vAlign w:val="bottom"/>
          </w:tcPr>
          <w:p>
            <w:pPr>
              <w:spacing w:after="0"/>
              <w:rPr>
                <w:sz w:val="1"/>
                <w:szCs w:val="1"/>
                <w:color w:val="auto"/>
              </w:rPr>
            </w:pPr>
          </w:p>
        </w:tc>
      </w:tr>
      <w:tr>
        <w:trPr>
          <w:trHeight w:val="309"/>
        </w:trPr>
        <w:tc>
          <w:tcPr>
            <w:tcW w:w="6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SEGMENT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60" w:type="dxa"/>
            <w:vAlign w:val="bottom"/>
          </w:tcPr>
          <w:p>
            <w:pPr>
              <w:spacing w:after="0"/>
              <w:rPr>
                <w:sz w:val="20"/>
                <w:szCs w:val="20"/>
                <w:color w:val="auto"/>
              </w:rPr>
            </w:pPr>
            <w:r>
              <w:rPr>
                <w:rFonts w:ascii="Arial" w:cs="Arial" w:eastAsia="Arial" w:hAnsi="Arial"/>
                <w:sz w:val="14"/>
                <w:szCs w:val="14"/>
                <w:color w:val="auto"/>
              </w:rPr>
              <w:t>(Unaudited, in thousands)</w:t>
            </w:r>
          </w:p>
        </w:tc>
        <w:tc>
          <w:tcPr>
            <w:tcW w:w="380" w:type="dxa"/>
            <w:vAlign w:val="bottom"/>
          </w:tcPr>
          <w:p>
            <w:pPr>
              <w:spacing w:after="0"/>
              <w:rPr>
                <w:sz w:val="15"/>
                <w:szCs w:val="15"/>
                <w:color w:val="auto"/>
              </w:rPr>
            </w:pPr>
          </w:p>
        </w:tc>
        <w:tc>
          <w:tcPr>
            <w:tcW w:w="1920" w:type="dxa"/>
            <w:vAlign w:val="bottom"/>
            <w:gridSpan w:val="2"/>
            <w:vMerge w:val="restart"/>
          </w:tcPr>
          <w:p>
            <w:pPr>
              <w:jc w:val="center"/>
              <w:ind w:left="488"/>
              <w:spacing w:after="0"/>
              <w:rPr>
                <w:sz w:val="20"/>
                <w:szCs w:val="20"/>
                <w:color w:val="auto"/>
              </w:rPr>
            </w:pPr>
            <w:r>
              <w:rPr>
                <w:rFonts w:ascii="Arial" w:cs="Arial" w:eastAsia="Arial" w:hAnsi="Arial"/>
                <w:sz w:val="14"/>
                <w:szCs w:val="14"/>
                <w:b w:val="1"/>
                <w:bCs w:val="1"/>
                <w:color w:val="auto"/>
                <w:w w:val="95"/>
              </w:rPr>
              <w:t>Three Months Ended</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20" w:type="dxa"/>
            <w:vAlign w:val="bottom"/>
            <w:gridSpan w:val="2"/>
            <w:vMerge w:val="restart"/>
          </w:tcPr>
          <w:p>
            <w:pPr>
              <w:jc w:val="center"/>
              <w:ind w:left="608"/>
              <w:spacing w:after="0"/>
              <w:rPr>
                <w:sz w:val="20"/>
                <w:szCs w:val="20"/>
                <w:color w:val="auto"/>
              </w:rPr>
            </w:pPr>
            <w:r>
              <w:rPr>
                <w:rFonts w:ascii="Arial" w:cs="Arial" w:eastAsia="Arial" w:hAnsi="Arial"/>
                <w:sz w:val="14"/>
                <w:szCs w:val="14"/>
                <w:b w:val="1"/>
                <w:bCs w:val="1"/>
                <w:color w:val="auto"/>
                <w:w w:val="93"/>
              </w:rPr>
              <w:t>Twelve Months Ended</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20" w:type="dxa"/>
            <w:vAlign w:val="bottom"/>
            <w:gridSpan w:val="2"/>
            <w:vMerge w:val="continue"/>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center"/>
              <w:ind w:left="488"/>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left="628"/>
              <w:spacing w:after="0"/>
              <w:rPr>
                <w:sz w:val="20"/>
                <w:szCs w:val="20"/>
                <w:color w:val="auto"/>
              </w:rPr>
            </w:pPr>
            <w:r>
              <w:rPr>
                <w:rFonts w:ascii="Arial" w:cs="Arial" w:eastAsia="Arial" w:hAnsi="Arial"/>
                <w:sz w:val="14"/>
                <w:szCs w:val="14"/>
                <w:b w:val="1"/>
                <w:bCs w:val="1"/>
                <w:color w:val="auto"/>
                <w:w w:val="92"/>
              </w:rPr>
              <w:t>December 31,</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4"/>
        </w:trPr>
        <w:tc>
          <w:tcPr>
            <w:tcW w:w="39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Device Solutions</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227,602</w:t>
            </w:r>
          </w:p>
        </w:tc>
        <w:tc>
          <w:tcPr>
            <w:tcW w:w="6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238,438</w:t>
            </w:r>
          </w:p>
        </w:tc>
        <w:tc>
          <w:tcPr>
            <w:tcW w:w="8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933,365</w:t>
            </w:r>
          </w:p>
        </w:tc>
        <w:tc>
          <w:tcPr>
            <w:tcW w:w="7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882,896</w:t>
            </w: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Networked Solutions</w:t>
            </w:r>
          </w:p>
        </w:tc>
        <w:tc>
          <w:tcPr>
            <w:tcW w:w="380" w:type="dxa"/>
            <w:vAlign w:val="bottom"/>
          </w:tcPr>
          <w:p>
            <w:pPr>
              <w:spacing w:after="0"/>
              <w:rPr>
                <w:sz w:val="15"/>
                <w:szCs w:val="15"/>
                <w:color w:val="auto"/>
              </w:rPr>
            </w:pP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305,132</w:t>
            </w:r>
          </w:p>
        </w:tc>
        <w:tc>
          <w:tcPr>
            <w:tcW w:w="68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253,588</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1,224,144</w:t>
            </w:r>
          </w:p>
        </w:tc>
        <w:tc>
          <w:tcPr>
            <w:tcW w:w="7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947,384</w:t>
            </w:r>
          </w:p>
        </w:tc>
        <w:tc>
          <w:tcPr>
            <w:tcW w:w="0" w:type="dxa"/>
            <w:vAlign w:val="bottom"/>
          </w:tcPr>
          <w:p>
            <w:pPr>
              <w:spacing w:after="0"/>
              <w:rPr>
                <w:sz w:val="1"/>
                <w:szCs w:val="1"/>
                <w:color w:val="auto"/>
              </w:rPr>
            </w:pPr>
          </w:p>
        </w:tc>
      </w:tr>
      <w:tr>
        <w:trPr>
          <w:trHeight w:val="181"/>
        </w:trPr>
        <w:tc>
          <w:tcPr>
            <w:tcW w:w="3960" w:type="dxa"/>
            <w:vAlign w:val="bottom"/>
          </w:tcPr>
          <w:p>
            <w:pPr>
              <w:ind w:left="220"/>
              <w:spacing w:after="0"/>
              <w:rPr>
                <w:sz w:val="20"/>
                <w:szCs w:val="20"/>
                <w:color w:val="auto"/>
              </w:rPr>
            </w:pPr>
            <w:r>
              <w:rPr>
                <w:rFonts w:ascii="Arial" w:cs="Arial" w:eastAsia="Arial" w:hAnsi="Arial"/>
                <w:sz w:val="14"/>
                <w:szCs w:val="14"/>
                <w:color w:val="auto"/>
              </w:rPr>
              <w:t>Outcomes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54,310</w:t>
            </w:r>
          </w:p>
        </w:tc>
        <w:tc>
          <w:tcPr>
            <w:tcW w:w="6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58,750</w:t>
            </w:r>
          </w:p>
        </w:tc>
        <w:tc>
          <w:tcPr>
            <w:tcW w:w="3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218,608</w:t>
            </w:r>
          </w:p>
        </w:tc>
        <w:tc>
          <w:tcPr>
            <w:tcW w:w="7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187,917</w:t>
            </w:r>
          </w:p>
        </w:tc>
        <w:tc>
          <w:tcPr>
            <w:tcW w:w="0" w:type="dxa"/>
            <w:vAlign w:val="bottom"/>
          </w:tcPr>
          <w:p>
            <w:pPr>
              <w:spacing w:after="0"/>
              <w:rPr>
                <w:sz w:val="1"/>
                <w:szCs w:val="1"/>
                <w:color w:val="auto"/>
              </w:rPr>
            </w:pPr>
          </w:p>
        </w:tc>
      </w:tr>
      <w:tr>
        <w:trPr>
          <w:trHeight w:val="169"/>
        </w:trPr>
        <w:tc>
          <w:tcPr>
            <w:tcW w:w="396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587,044</w:t>
            </w:r>
          </w:p>
        </w:tc>
        <w:tc>
          <w:tcPr>
            <w:tcW w:w="6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550,776</w:t>
            </w:r>
          </w:p>
        </w:tc>
        <w:tc>
          <w:tcPr>
            <w:tcW w:w="340" w:type="dxa"/>
            <w:vAlign w:val="bottom"/>
          </w:tcPr>
          <w:p>
            <w:pPr>
              <w:spacing w:after="0"/>
              <w:rPr>
                <w:sz w:val="14"/>
                <w:szCs w:val="14"/>
                <w:color w:val="auto"/>
              </w:rPr>
            </w:pP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2,376,117</w:t>
            </w:r>
          </w:p>
        </w:tc>
        <w:tc>
          <w:tcPr>
            <w:tcW w:w="7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2,018,197</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Gross profit</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Device Solutions</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38,423</w:t>
            </w:r>
          </w:p>
        </w:tc>
        <w:tc>
          <w:tcPr>
            <w:tcW w:w="6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54,244</w:t>
            </w:r>
          </w:p>
        </w:tc>
        <w:tc>
          <w:tcPr>
            <w:tcW w:w="8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187,254</w:t>
            </w:r>
          </w:p>
        </w:tc>
        <w:tc>
          <w:tcPr>
            <w:tcW w:w="7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216,631</w:t>
            </w: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Networked Solutions</w:t>
            </w:r>
          </w:p>
        </w:tc>
        <w:tc>
          <w:tcPr>
            <w:tcW w:w="380" w:type="dxa"/>
            <w:vAlign w:val="bottom"/>
          </w:tcPr>
          <w:p>
            <w:pPr>
              <w:spacing w:after="0"/>
              <w:rPr>
                <w:sz w:val="15"/>
                <w:szCs w:val="15"/>
                <w:color w:val="auto"/>
              </w:rPr>
            </w:pP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122,883</w:t>
            </w:r>
          </w:p>
        </w:tc>
        <w:tc>
          <w:tcPr>
            <w:tcW w:w="68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105,868</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482,471</w:t>
            </w:r>
          </w:p>
        </w:tc>
        <w:tc>
          <w:tcPr>
            <w:tcW w:w="7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412,375</w:t>
            </w:r>
          </w:p>
        </w:tc>
        <w:tc>
          <w:tcPr>
            <w:tcW w:w="0" w:type="dxa"/>
            <w:vAlign w:val="bottom"/>
          </w:tcPr>
          <w:p>
            <w:pPr>
              <w:spacing w:after="0"/>
              <w:rPr>
                <w:sz w:val="1"/>
                <w:szCs w:val="1"/>
                <w:color w:val="auto"/>
              </w:rPr>
            </w:pPr>
          </w:p>
        </w:tc>
      </w:tr>
      <w:tr>
        <w:trPr>
          <w:trHeight w:val="181"/>
        </w:trPr>
        <w:tc>
          <w:tcPr>
            <w:tcW w:w="3960" w:type="dxa"/>
            <w:vAlign w:val="bottom"/>
          </w:tcPr>
          <w:p>
            <w:pPr>
              <w:ind w:left="220"/>
              <w:spacing w:after="0"/>
              <w:rPr>
                <w:sz w:val="20"/>
                <w:szCs w:val="20"/>
                <w:color w:val="auto"/>
              </w:rPr>
            </w:pPr>
            <w:r>
              <w:rPr>
                <w:rFonts w:ascii="Arial" w:cs="Arial" w:eastAsia="Arial" w:hAnsi="Arial"/>
                <w:sz w:val="14"/>
                <w:szCs w:val="14"/>
                <w:color w:val="auto"/>
              </w:rPr>
              <w:t>Outcomes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15,484</w:t>
            </w:r>
          </w:p>
        </w:tc>
        <w:tc>
          <w:tcPr>
            <w:tcW w:w="6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14,970</w:t>
            </w:r>
          </w:p>
        </w:tc>
        <w:tc>
          <w:tcPr>
            <w:tcW w:w="3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60,594</w:t>
            </w:r>
          </w:p>
        </w:tc>
        <w:tc>
          <w:tcPr>
            <w:tcW w:w="7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47,745</w:t>
            </w:r>
          </w:p>
        </w:tc>
        <w:tc>
          <w:tcPr>
            <w:tcW w:w="0" w:type="dxa"/>
            <w:vAlign w:val="bottom"/>
          </w:tcPr>
          <w:p>
            <w:pPr>
              <w:spacing w:after="0"/>
              <w:rPr>
                <w:sz w:val="1"/>
                <w:szCs w:val="1"/>
                <w:color w:val="auto"/>
              </w:rPr>
            </w:pPr>
          </w:p>
        </w:tc>
      </w:tr>
      <w:tr>
        <w:trPr>
          <w:trHeight w:val="169"/>
        </w:trPr>
        <w:tc>
          <w:tcPr>
            <w:tcW w:w="396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176,790</w:t>
            </w:r>
          </w:p>
        </w:tc>
        <w:tc>
          <w:tcPr>
            <w:tcW w:w="6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175,082</w:t>
            </w:r>
          </w:p>
        </w:tc>
        <w:tc>
          <w:tcPr>
            <w:tcW w:w="340" w:type="dxa"/>
            <w:vAlign w:val="bottom"/>
          </w:tcPr>
          <w:p>
            <w:pPr>
              <w:spacing w:after="0"/>
              <w:rPr>
                <w:sz w:val="14"/>
                <w:szCs w:val="14"/>
                <w:color w:val="auto"/>
              </w:rPr>
            </w:pP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730,319</w:t>
            </w:r>
          </w:p>
        </w:tc>
        <w:tc>
          <w:tcPr>
            <w:tcW w:w="7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676,751</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Device Solutions</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25,267</w:t>
            </w:r>
          </w:p>
        </w:tc>
        <w:tc>
          <w:tcPr>
            <w:tcW w:w="6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40,324</w:t>
            </w:r>
          </w:p>
        </w:tc>
        <w:tc>
          <w:tcPr>
            <w:tcW w:w="8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130,988</w:t>
            </w:r>
          </w:p>
        </w:tc>
        <w:tc>
          <w:tcPr>
            <w:tcW w:w="7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159,641</w:t>
            </w: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Networked Solutions</w:t>
            </w:r>
          </w:p>
        </w:tc>
        <w:tc>
          <w:tcPr>
            <w:tcW w:w="380" w:type="dxa"/>
            <w:vAlign w:val="bottom"/>
          </w:tcPr>
          <w:p>
            <w:pPr>
              <w:spacing w:after="0"/>
              <w:rPr>
                <w:sz w:val="15"/>
                <w:szCs w:val="15"/>
                <w:color w:val="auto"/>
              </w:rPr>
            </w:pP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94,897</w:t>
            </w:r>
          </w:p>
        </w:tc>
        <w:tc>
          <w:tcPr>
            <w:tcW w:w="68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82,867</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360,779</w:t>
            </w:r>
          </w:p>
        </w:tc>
        <w:tc>
          <w:tcPr>
            <w:tcW w:w="7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322,367</w:t>
            </w: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Outcomes</w:t>
            </w:r>
          </w:p>
        </w:tc>
        <w:tc>
          <w:tcPr>
            <w:tcW w:w="380" w:type="dxa"/>
            <w:vAlign w:val="bottom"/>
          </w:tcPr>
          <w:p>
            <w:pPr>
              <w:spacing w:after="0"/>
              <w:rPr>
                <w:sz w:val="15"/>
                <w:szCs w:val="15"/>
                <w:color w:val="auto"/>
              </w:rPr>
            </w:pP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6,668</w:t>
            </w:r>
          </w:p>
        </w:tc>
        <w:tc>
          <w:tcPr>
            <w:tcW w:w="68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3,752</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16,634</w:t>
            </w:r>
          </w:p>
        </w:tc>
        <w:tc>
          <w:tcPr>
            <w:tcW w:w="7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4,915</w:t>
            </w:r>
          </w:p>
        </w:tc>
        <w:tc>
          <w:tcPr>
            <w:tcW w:w="0" w:type="dxa"/>
            <w:vAlign w:val="bottom"/>
          </w:tcPr>
          <w:p>
            <w:pPr>
              <w:spacing w:after="0"/>
              <w:rPr>
                <w:sz w:val="1"/>
                <w:szCs w:val="1"/>
                <w:color w:val="auto"/>
              </w:rPr>
            </w:pPr>
          </w:p>
        </w:tc>
      </w:tr>
      <w:tr>
        <w:trPr>
          <w:trHeight w:val="181"/>
        </w:trPr>
        <w:tc>
          <w:tcPr>
            <w:tcW w:w="3960" w:type="dxa"/>
            <w:vAlign w:val="bottom"/>
          </w:tcPr>
          <w:p>
            <w:pPr>
              <w:ind w:left="220"/>
              <w:spacing w:after="0"/>
              <w:rPr>
                <w:sz w:val="20"/>
                <w:szCs w:val="20"/>
                <w:color w:val="auto"/>
              </w:rPr>
            </w:pPr>
            <w:r>
              <w:rPr>
                <w:rFonts w:ascii="Arial" w:cs="Arial" w:eastAsia="Arial" w:hAnsi="Arial"/>
                <w:sz w:val="14"/>
                <w:szCs w:val="14"/>
                <w:color w:val="auto"/>
              </w:rPr>
              <w:t>Corporate unallocated</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(98,315)</w:t>
            </w:r>
          </w:p>
        </w:tc>
        <w:tc>
          <w:tcPr>
            <w:tcW w:w="6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(78,747)</w:t>
            </w:r>
          </w:p>
        </w:tc>
        <w:tc>
          <w:tcPr>
            <w:tcW w:w="3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(558,093)</w:t>
            </w:r>
          </w:p>
        </w:tc>
        <w:tc>
          <w:tcPr>
            <w:tcW w:w="7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(332,046)</w:t>
            </w:r>
          </w:p>
        </w:tc>
        <w:tc>
          <w:tcPr>
            <w:tcW w:w="0" w:type="dxa"/>
            <w:vAlign w:val="bottom"/>
          </w:tcPr>
          <w:p>
            <w:pPr>
              <w:spacing w:after="0"/>
              <w:rPr>
                <w:sz w:val="1"/>
                <w:szCs w:val="1"/>
                <w:color w:val="auto"/>
              </w:rPr>
            </w:pPr>
          </w:p>
        </w:tc>
      </w:tr>
      <w:tr>
        <w:trPr>
          <w:trHeight w:val="169"/>
        </w:trPr>
        <w:tc>
          <w:tcPr>
            <w:tcW w:w="3960" w:type="dxa"/>
            <w:vAlign w:val="bottom"/>
          </w:tcPr>
          <w:p>
            <w:pPr>
              <w:ind w:left="420"/>
              <w:spacing w:after="0"/>
              <w:rPr>
                <w:sz w:val="20"/>
                <w:szCs w:val="20"/>
                <w:color w:val="auto"/>
              </w:rPr>
            </w:pPr>
            <w:r>
              <w:rPr>
                <w:rFonts w:ascii="Arial" w:cs="Arial" w:eastAsia="Arial" w:hAnsi="Arial"/>
                <w:sz w:val="14"/>
                <w:szCs w:val="14"/>
                <w:color w:val="auto"/>
              </w:rPr>
              <w:t>Total Company</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28,517</w:t>
            </w:r>
          </w:p>
        </w:tc>
        <w:tc>
          <w:tcPr>
            <w:tcW w:w="6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48,196</w:t>
            </w:r>
          </w:p>
        </w:tc>
        <w:tc>
          <w:tcPr>
            <w:tcW w:w="340" w:type="dxa"/>
            <w:vAlign w:val="bottom"/>
          </w:tcPr>
          <w:p>
            <w:pPr>
              <w:spacing w:after="0"/>
              <w:rPr>
                <w:sz w:val="14"/>
                <w:szCs w:val="14"/>
                <w:color w:val="auto"/>
              </w:rPr>
            </w:pP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(49,692)</w:t>
            </w:r>
          </w:p>
        </w:tc>
        <w:tc>
          <w:tcPr>
            <w:tcW w:w="7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154,877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METER AND MODULE SUMMARY</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960" w:type="dxa"/>
            <w:vAlign w:val="bottom"/>
          </w:tcPr>
          <w:p>
            <w:pPr>
              <w:spacing w:after="0"/>
              <w:rPr>
                <w:sz w:val="20"/>
                <w:szCs w:val="20"/>
                <w:color w:val="auto"/>
              </w:rPr>
            </w:pPr>
            <w:r>
              <w:rPr>
                <w:rFonts w:ascii="Arial" w:cs="Arial" w:eastAsia="Arial" w:hAnsi="Arial"/>
                <w:sz w:val="14"/>
                <w:szCs w:val="14"/>
                <w:color w:val="auto"/>
              </w:rPr>
              <w:t>(Units in thousands)</w:t>
            </w:r>
          </w:p>
        </w:tc>
        <w:tc>
          <w:tcPr>
            <w:tcW w:w="380" w:type="dxa"/>
            <w:vAlign w:val="bottom"/>
          </w:tcPr>
          <w:p>
            <w:pPr>
              <w:spacing w:after="0"/>
              <w:rPr>
                <w:sz w:val="24"/>
                <w:szCs w:val="24"/>
                <w:color w:val="auto"/>
              </w:rPr>
            </w:pPr>
          </w:p>
        </w:tc>
        <w:tc>
          <w:tcPr>
            <w:tcW w:w="1920" w:type="dxa"/>
            <w:vAlign w:val="bottom"/>
            <w:gridSpan w:val="2"/>
            <w:vMerge w:val="restart"/>
          </w:tcPr>
          <w:p>
            <w:pPr>
              <w:jc w:val="center"/>
              <w:ind w:left="488"/>
              <w:spacing w:after="0"/>
              <w:rPr>
                <w:sz w:val="20"/>
                <w:szCs w:val="20"/>
                <w:color w:val="auto"/>
              </w:rPr>
            </w:pPr>
            <w:r>
              <w:rPr>
                <w:rFonts w:ascii="Arial" w:cs="Arial" w:eastAsia="Arial" w:hAnsi="Arial"/>
                <w:sz w:val="14"/>
                <w:szCs w:val="14"/>
                <w:b w:val="1"/>
                <w:bCs w:val="1"/>
                <w:color w:val="auto"/>
                <w:w w:val="95"/>
              </w:rPr>
              <w:t>Three Months Ended</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gridSpan w:val="2"/>
            <w:vMerge w:val="restart"/>
          </w:tcPr>
          <w:p>
            <w:pPr>
              <w:jc w:val="center"/>
              <w:ind w:left="628"/>
              <w:spacing w:after="0"/>
              <w:rPr>
                <w:sz w:val="20"/>
                <w:szCs w:val="20"/>
                <w:color w:val="auto"/>
              </w:rPr>
            </w:pPr>
            <w:r>
              <w:rPr>
                <w:rFonts w:ascii="Arial" w:cs="Arial" w:eastAsia="Arial" w:hAnsi="Arial"/>
                <w:sz w:val="14"/>
                <w:szCs w:val="14"/>
                <w:b w:val="1"/>
                <w:bCs w:val="1"/>
                <w:color w:val="auto"/>
                <w:w w:val="93"/>
              </w:rPr>
              <w:t>Year Ended</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2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20" w:type="dxa"/>
            <w:vAlign w:val="bottom"/>
            <w:gridSpan w:val="2"/>
            <w:vMerge w:val="continue"/>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center"/>
              <w:ind w:left="488"/>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left="628"/>
              <w:spacing w:after="0"/>
              <w:rPr>
                <w:sz w:val="20"/>
                <w:szCs w:val="20"/>
                <w:color w:val="auto"/>
              </w:rPr>
            </w:pPr>
            <w:r>
              <w:rPr>
                <w:rFonts w:ascii="Arial" w:cs="Arial" w:eastAsia="Arial" w:hAnsi="Arial"/>
                <w:sz w:val="14"/>
                <w:szCs w:val="14"/>
                <w:b w:val="1"/>
                <w:bCs w:val="1"/>
                <w:color w:val="auto"/>
                <w:w w:val="92"/>
              </w:rPr>
              <w:t>December 31,</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4"/>
        </w:trPr>
        <w:tc>
          <w:tcPr>
            <w:tcW w:w="3960" w:type="dxa"/>
            <w:vAlign w:val="bottom"/>
          </w:tcPr>
          <w:p>
            <w:pPr>
              <w:spacing w:after="0"/>
              <w:rPr>
                <w:sz w:val="20"/>
                <w:szCs w:val="20"/>
                <w:color w:val="auto"/>
              </w:rPr>
            </w:pPr>
            <w:r>
              <w:rPr>
                <w:rFonts w:ascii="Arial" w:cs="Arial" w:eastAsia="Arial" w:hAnsi="Arial"/>
                <w:sz w:val="14"/>
                <w:szCs w:val="14"/>
                <w:b w:val="1"/>
                <w:bCs w:val="1"/>
                <w:color w:val="auto"/>
              </w:rPr>
              <w:t>Itron Endpoints</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60" w:type="dxa"/>
            <w:vAlign w:val="bottom"/>
          </w:tcPr>
          <w:p>
            <w:pPr>
              <w:ind w:left="220"/>
              <w:spacing w:after="0"/>
              <w:rPr>
                <w:sz w:val="20"/>
                <w:szCs w:val="20"/>
                <w:color w:val="auto"/>
              </w:rPr>
            </w:pPr>
            <w:r>
              <w:rPr>
                <w:rFonts w:ascii="Arial" w:cs="Arial" w:eastAsia="Arial" w:hAnsi="Arial"/>
                <w:sz w:val="14"/>
                <w:szCs w:val="14"/>
                <w:color w:val="auto"/>
              </w:rPr>
              <w:t>Standard endpoints</w:t>
            </w:r>
          </w:p>
        </w:tc>
        <w:tc>
          <w:tcPr>
            <w:tcW w:w="380" w:type="dxa"/>
            <w:vAlign w:val="bottom"/>
          </w:tcPr>
          <w:p>
            <w:pPr>
              <w:spacing w:after="0"/>
              <w:rPr>
                <w:sz w:val="15"/>
                <w:szCs w:val="15"/>
                <w:color w:val="auto"/>
              </w:rPr>
            </w:pP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4,140</w:t>
            </w:r>
          </w:p>
        </w:tc>
        <w:tc>
          <w:tcPr>
            <w:tcW w:w="68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3,740</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tcPr>
          <w:p>
            <w:pPr>
              <w:jc w:val="right"/>
              <w:ind w:right="188"/>
              <w:spacing w:after="0"/>
              <w:rPr>
                <w:sz w:val="20"/>
                <w:szCs w:val="20"/>
                <w:color w:val="auto"/>
              </w:rPr>
            </w:pPr>
            <w:r>
              <w:rPr>
                <w:rFonts w:ascii="Arial" w:cs="Arial" w:eastAsia="Arial" w:hAnsi="Arial"/>
                <w:sz w:val="14"/>
                <w:szCs w:val="14"/>
                <w:color w:val="auto"/>
              </w:rPr>
              <w:t>16,360</w:t>
            </w:r>
          </w:p>
        </w:tc>
        <w:tc>
          <w:tcPr>
            <w:tcW w:w="7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15,740</w:t>
            </w:r>
          </w:p>
        </w:tc>
        <w:tc>
          <w:tcPr>
            <w:tcW w:w="0" w:type="dxa"/>
            <w:vAlign w:val="bottom"/>
          </w:tcPr>
          <w:p>
            <w:pPr>
              <w:spacing w:after="0"/>
              <w:rPr>
                <w:sz w:val="1"/>
                <w:szCs w:val="1"/>
                <w:color w:val="auto"/>
              </w:rPr>
            </w:pPr>
          </w:p>
        </w:tc>
      </w:tr>
      <w:tr>
        <w:trPr>
          <w:trHeight w:val="181"/>
        </w:trPr>
        <w:tc>
          <w:tcPr>
            <w:tcW w:w="3960" w:type="dxa"/>
            <w:vAlign w:val="bottom"/>
          </w:tcPr>
          <w:p>
            <w:pPr>
              <w:ind w:left="220"/>
              <w:spacing w:after="0"/>
              <w:rPr>
                <w:sz w:val="20"/>
                <w:szCs w:val="20"/>
                <w:color w:val="auto"/>
              </w:rPr>
            </w:pPr>
            <w:r>
              <w:rPr>
                <w:rFonts w:ascii="Arial" w:cs="Arial" w:eastAsia="Arial" w:hAnsi="Arial"/>
                <w:sz w:val="14"/>
                <w:szCs w:val="14"/>
                <w:color w:val="auto"/>
              </w:rPr>
              <w:t>Networked endpoints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5,170</w:t>
            </w:r>
          </w:p>
        </w:tc>
        <w:tc>
          <w:tcPr>
            <w:tcW w:w="6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4,630</w:t>
            </w:r>
          </w:p>
        </w:tc>
        <w:tc>
          <w:tcPr>
            <w:tcW w:w="3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21,540</w:t>
            </w:r>
          </w:p>
        </w:tc>
        <w:tc>
          <w:tcPr>
            <w:tcW w:w="7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16,640</w:t>
            </w:r>
          </w:p>
        </w:tc>
        <w:tc>
          <w:tcPr>
            <w:tcW w:w="0" w:type="dxa"/>
            <w:vAlign w:val="bottom"/>
          </w:tcPr>
          <w:p>
            <w:pPr>
              <w:spacing w:after="0"/>
              <w:rPr>
                <w:sz w:val="1"/>
                <w:szCs w:val="1"/>
                <w:color w:val="auto"/>
              </w:rPr>
            </w:pPr>
          </w:p>
        </w:tc>
      </w:tr>
      <w:tr>
        <w:trPr>
          <w:trHeight w:val="169"/>
        </w:trPr>
        <w:tc>
          <w:tcPr>
            <w:tcW w:w="3960" w:type="dxa"/>
            <w:vAlign w:val="bottom"/>
          </w:tcPr>
          <w:p>
            <w:pPr>
              <w:ind w:left="420"/>
              <w:spacing w:after="0"/>
              <w:rPr>
                <w:sz w:val="20"/>
                <w:szCs w:val="20"/>
                <w:color w:val="auto"/>
              </w:rPr>
            </w:pPr>
            <w:r>
              <w:rPr>
                <w:rFonts w:ascii="Arial" w:cs="Arial" w:eastAsia="Arial" w:hAnsi="Arial"/>
                <w:sz w:val="14"/>
                <w:szCs w:val="14"/>
                <w:color w:val="auto"/>
              </w:rPr>
              <w:t>Total endpoints</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9,310</w:t>
            </w:r>
          </w:p>
        </w:tc>
        <w:tc>
          <w:tcPr>
            <w:tcW w:w="6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8,370</w:t>
            </w:r>
          </w:p>
        </w:tc>
        <w:tc>
          <w:tcPr>
            <w:tcW w:w="3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37,900</w:t>
            </w:r>
          </w:p>
        </w:tc>
        <w:tc>
          <w:tcPr>
            <w:tcW w:w="7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32,380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9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9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40" w:type="dxa"/>
            <w:vAlign w:val="bottom"/>
          </w:tcPr>
          <w:p>
            <w:pPr>
              <w:spacing w:after="0"/>
              <w:rPr>
                <w:sz w:val="20"/>
                <w:szCs w:val="20"/>
                <w:color w:val="auto"/>
              </w:rPr>
            </w:pPr>
            <w:r>
              <w:rPr>
                <w:rFonts w:ascii="Arial" w:cs="Arial" w:eastAsia="Arial" w:hAnsi="Arial"/>
                <w:sz w:val="14"/>
                <w:szCs w:val="14"/>
                <w:color w:val="auto"/>
              </w:rPr>
              <w:t>(Unaudited, in thousands)</w:t>
            </w:r>
          </w:p>
        </w:tc>
        <w:tc>
          <w:tcPr>
            <w:tcW w:w="480" w:type="dxa"/>
            <w:vAlign w:val="bottom"/>
          </w:tcPr>
          <w:p>
            <w:pPr>
              <w:spacing w:after="0"/>
              <w:rPr>
                <w:sz w:val="15"/>
                <w:szCs w:val="15"/>
                <w:color w:val="auto"/>
              </w:rPr>
            </w:pPr>
          </w:p>
        </w:tc>
        <w:tc>
          <w:tcPr>
            <w:tcW w:w="2180" w:type="dxa"/>
            <w:vAlign w:val="bottom"/>
            <w:vMerge w:val="restart"/>
          </w:tcPr>
          <w:p>
            <w:pPr>
              <w:jc w:val="right"/>
              <w:ind w:right="748"/>
              <w:spacing w:after="0"/>
              <w:rPr>
                <w:sz w:val="20"/>
                <w:szCs w:val="20"/>
                <w:color w:val="auto"/>
              </w:rPr>
            </w:pPr>
            <w:r>
              <w:rPr>
                <w:rFonts w:ascii="Arial" w:cs="Arial" w:eastAsia="Arial" w:hAnsi="Arial"/>
                <w:sz w:val="14"/>
                <w:szCs w:val="14"/>
                <w:b w:val="1"/>
                <w:bCs w:val="1"/>
                <w:color w:val="auto"/>
              </w:rPr>
              <w:t>December 31, 2018</w:t>
            </w:r>
          </w:p>
        </w:tc>
        <w:tc>
          <w:tcPr>
            <w:tcW w:w="620" w:type="dxa"/>
            <w:vAlign w:val="bottom"/>
          </w:tcPr>
          <w:p>
            <w:pPr>
              <w:spacing w:after="0"/>
              <w:rPr>
                <w:sz w:val="15"/>
                <w:szCs w:val="15"/>
                <w:color w:val="auto"/>
              </w:rPr>
            </w:pPr>
          </w:p>
        </w:tc>
        <w:tc>
          <w:tcPr>
            <w:tcW w:w="210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74"/>
        </w:trPr>
        <w:tc>
          <w:tcPr>
            <w:tcW w:w="60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40" w:type="dxa"/>
            <w:vAlign w:val="bottom"/>
          </w:tcPr>
          <w:p>
            <w:pPr>
              <w:ind w:left="2680"/>
              <w:spacing w:after="0"/>
              <w:rPr>
                <w:sz w:val="20"/>
                <w:szCs w:val="20"/>
                <w:color w:val="auto"/>
              </w:rPr>
            </w:pPr>
            <w:r>
              <w:rPr>
                <w:rFonts w:ascii="Arial" w:cs="Arial" w:eastAsia="Arial" w:hAnsi="Arial"/>
                <w:sz w:val="14"/>
                <w:szCs w:val="14"/>
                <w:b w:val="1"/>
                <w:bCs w:val="1"/>
                <w:color w:val="auto"/>
              </w:rPr>
              <w:t>ASSETS</w:t>
            </w:r>
          </w:p>
        </w:tc>
        <w:tc>
          <w:tcPr>
            <w:tcW w:w="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Current assets</w:t>
            </w:r>
          </w:p>
        </w:tc>
        <w:tc>
          <w:tcPr>
            <w:tcW w:w="4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120,221</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176,274</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437,161</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398,029</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220,674</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193,835</w:t>
            </w:r>
          </w:p>
        </w:tc>
        <w:tc>
          <w:tcPr>
            <w:tcW w:w="0" w:type="dxa"/>
            <w:vAlign w:val="bottom"/>
          </w:tcPr>
          <w:p>
            <w:pPr>
              <w:spacing w:after="0"/>
              <w:rPr>
                <w:sz w:val="1"/>
                <w:szCs w:val="1"/>
                <w:color w:val="auto"/>
              </w:rPr>
            </w:pPr>
          </w:p>
        </w:tc>
      </w:tr>
      <w:tr>
        <w:trPr>
          <w:trHeight w:val="181"/>
        </w:trPr>
        <w:tc>
          <w:tcPr>
            <w:tcW w:w="604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118,085</w:t>
            </w:r>
          </w:p>
        </w:tc>
        <w:tc>
          <w:tcPr>
            <w:tcW w:w="6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81,604</w:t>
            </w:r>
          </w:p>
        </w:tc>
        <w:tc>
          <w:tcPr>
            <w:tcW w:w="0" w:type="dxa"/>
            <w:vAlign w:val="bottom"/>
          </w:tcPr>
          <w:p>
            <w:pPr>
              <w:spacing w:after="0"/>
              <w:rPr>
                <w:sz w:val="1"/>
                <w:szCs w:val="1"/>
                <w:color w:val="auto"/>
              </w:rPr>
            </w:pPr>
          </w:p>
        </w:tc>
      </w:tr>
      <w:tr>
        <w:trPr>
          <w:trHeight w:val="176"/>
        </w:trPr>
        <w:tc>
          <w:tcPr>
            <w:tcW w:w="6040" w:type="dxa"/>
            <w:vAlign w:val="bottom"/>
          </w:tcPr>
          <w:p>
            <w:pPr>
              <w:ind w:left="420"/>
              <w:spacing w:after="0"/>
              <w:rPr>
                <w:sz w:val="20"/>
                <w:szCs w:val="20"/>
                <w:color w:val="auto"/>
              </w:rPr>
            </w:pPr>
            <w:r>
              <w:rPr>
                <w:rFonts w:ascii="Arial" w:cs="Arial" w:eastAsia="Arial" w:hAnsi="Arial"/>
                <w:sz w:val="14"/>
                <w:szCs w:val="14"/>
                <w:color w:val="auto"/>
              </w:rPr>
              <w:t>Total current assets</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896,141</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849,742</w:t>
            </w:r>
          </w:p>
        </w:tc>
        <w:tc>
          <w:tcPr>
            <w:tcW w:w="0" w:type="dxa"/>
            <w:vAlign w:val="bottom"/>
          </w:tcPr>
          <w:p>
            <w:pPr>
              <w:spacing w:after="0"/>
              <w:rPr>
                <w:sz w:val="1"/>
                <w:szCs w:val="1"/>
                <w:color w:val="auto"/>
              </w:rPr>
            </w:pPr>
          </w:p>
        </w:tc>
      </w:tr>
      <w:tr>
        <w:trPr>
          <w:trHeight w:val="339"/>
        </w:trPr>
        <w:tc>
          <w:tcPr>
            <w:tcW w:w="604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480" w:type="dxa"/>
            <w:vAlign w:val="bottom"/>
          </w:tcPr>
          <w:p>
            <w:pPr>
              <w:spacing w:after="0"/>
              <w:rPr>
                <w:sz w:val="24"/>
                <w:szCs w:val="24"/>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226,551</w:t>
            </w:r>
          </w:p>
        </w:tc>
        <w:tc>
          <w:tcPr>
            <w:tcW w:w="620" w:type="dxa"/>
            <w:vAlign w:val="bottom"/>
          </w:tcPr>
          <w:p>
            <w:pPr>
              <w:spacing w:after="0"/>
              <w:rPr>
                <w:sz w:val="24"/>
                <w:szCs w:val="24"/>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200,768</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Deferred tax assets, net</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64,830</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49,971</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Restricted cash</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2,056</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311,010</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Other long-term assets</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45,288</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43,666</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Intangible assets, net</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257,583</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95,228</w:t>
            </w:r>
          </w:p>
        </w:tc>
        <w:tc>
          <w:tcPr>
            <w:tcW w:w="0" w:type="dxa"/>
            <w:vAlign w:val="bottom"/>
          </w:tcPr>
          <w:p>
            <w:pPr>
              <w:spacing w:after="0"/>
              <w:rPr>
                <w:sz w:val="1"/>
                <w:szCs w:val="1"/>
                <w:color w:val="auto"/>
              </w:rPr>
            </w:pPr>
          </w:p>
        </w:tc>
      </w:tr>
      <w:tr>
        <w:trPr>
          <w:trHeight w:val="181"/>
        </w:trPr>
        <w:tc>
          <w:tcPr>
            <w:tcW w:w="6040" w:type="dxa"/>
            <w:vAlign w:val="bottom"/>
          </w:tcPr>
          <w:p>
            <w:pPr>
              <w:spacing w:after="0"/>
              <w:rPr>
                <w:sz w:val="20"/>
                <w:szCs w:val="20"/>
                <w:color w:val="auto"/>
              </w:rPr>
            </w:pPr>
            <w:r>
              <w:rPr>
                <w:rFonts w:ascii="Arial" w:cs="Arial" w:eastAsia="Arial" w:hAnsi="Arial"/>
                <w:sz w:val="14"/>
                <w:szCs w:val="14"/>
                <w:color w:val="auto"/>
              </w:rPr>
              <w:t>Goodwill</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1,116,533</w:t>
            </w:r>
          </w:p>
        </w:tc>
        <w:tc>
          <w:tcPr>
            <w:tcW w:w="6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555,762</w:t>
            </w:r>
          </w:p>
        </w:tc>
        <w:tc>
          <w:tcPr>
            <w:tcW w:w="0" w:type="dxa"/>
            <w:vAlign w:val="bottom"/>
          </w:tcPr>
          <w:p>
            <w:pPr>
              <w:spacing w:after="0"/>
              <w:rPr>
                <w:sz w:val="1"/>
                <w:szCs w:val="1"/>
                <w:color w:val="auto"/>
              </w:rPr>
            </w:pPr>
          </w:p>
        </w:tc>
      </w:tr>
      <w:tr>
        <w:trPr>
          <w:trHeight w:val="169"/>
        </w:trPr>
        <w:tc>
          <w:tcPr>
            <w:tcW w:w="6040" w:type="dxa"/>
            <w:vAlign w:val="bottom"/>
          </w:tcPr>
          <w:p>
            <w:pPr>
              <w:ind w:left="420"/>
              <w:spacing w:after="0"/>
              <w:rPr>
                <w:sz w:val="20"/>
                <w:szCs w:val="20"/>
                <w:color w:val="auto"/>
              </w:rPr>
            </w:pPr>
            <w:r>
              <w:rPr>
                <w:rFonts w:ascii="Arial" w:cs="Arial" w:eastAsia="Arial" w:hAnsi="Arial"/>
                <w:sz w:val="14"/>
                <w:szCs w:val="14"/>
                <w:color w:val="auto"/>
              </w:rPr>
              <w:t>Total assets</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2,608,982</w:t>
            </w: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2,106,147</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LIABILITIES AND EQUITY</w:t>
            </w:r>
          </w:p>
        </w:tc>
        <w:tc>
          <w:tcPr>
            <w:tcW w:w="4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0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Current liabilities</w:t>
            </w:r>
          </w:p>
        </w:tc>
        <w:tc>
          <w:tcPr>
            <w:tcW w:w="4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309,951</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262,166</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Other current liabilities</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70,136</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56,736</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Wages and benefits payable</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88,603</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90,505</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Taxes payable</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14,753</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16,100</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Current portion of debt</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28,438</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19,688</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Current portion of warranty</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47,205</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21,150</w:t>
            </w:r>
          </w:p>
        </w:tc>
        <w:tc>
          <w:tcPr>
            <w:tcW w:w="0" w:type="dxa"/>
            <w:vAlign w:val="bottom"/>
          </w:tcPr>
          <w:p>
            <w:pPr>
              <w:spacing w:after="0"/>
              <w:rPr>
                <w:sz w:val="1"/>
                <w:szCs w:val="1"/>
                <w:color w:val="auto"/>
              </w:rPr>
            </w:pPr>
          </w:p>
        </w:tc>
      </w:tr>
      <w:tr>
        <w:trPr>
          <w:trHeight w:val="181"/>
        </w:trPr>
        <w:tc>
          <w:tcPr>
            <w:tcW w:w="6040" w:type="dxa"/>
            <w:vAlign w:val="bottom"/>
          </w:tcPr>
          <w:p>
            <w:pPr>
              <w:ind w:left="220"/>
              <w:spacing w:after="0"/>
              <w:rPr>
                <w:sz w:val="20"/>
                <w:szCs w:val="20"/>
                <w:color w:val="auto"/>
              </w:rPr>
            </w:pPr>
            <w:r>
              <w:rPr>
                <w:rFonts w:ascii="Arial" w:cs="Arial" w:eastAsia="Arial" w:hAnsi="Arial"/>
                <w:sz w:val="14"/>
                <w:szCs w:val="14"/>
                <w:color w:val="auto"/>
              </w:rPr>
              <w:t>Unearned revenue</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93,621</w:t>
            </w:r>
          </w:p>
        </w:tc>
        <w:tc>
          <w:tcPr>
            <w:tcW w:w="6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41,438</w:t>
            </w:r>
          </w:p>
        </w:tc>
        <w:tc>
          <w:tcPr>
            <w:tcW w:w="0" w:type="dxa"/>
            <w:vAlign w:val="bottom"/>
          </w:tcPr>
          <w:p>
            <w:pPr>
              <w:spacing w:after="0"/>
              <w:rPr>
                <w:sz w:val="1"/>
                <w:szCs w:val="1"/>
                <w:color w:val="auto"/>
              </w:rPr>
            </w:pPr>
          </w:p>
        </w:tc>
      </w:tr>
      <w:tr>
        <w:trPr>
          <w:trHeight w:val="176"/>
        </w:trPr>
        <w:tc>
          <w:tcPr>
            <w:tcW w:w="6040" w:type="dxa"/>
            <w:vAlign w:val="bottom"/>
          </w:tcPr>
          <w:p>
            <w:pPr>
              <w:ind w:left="420"/>
              <w:spacing w:after="0"/>
              <w:rPr>
                <w:sz w:val="20"/>
                <w:szCs w:val="20"/>
                <w:color w:val="auto"/>
              </w:rPr>
            </w:pPr>
            <w:r>
              <w:rPr>
                <w:rFonts w:ascii="Arial" w:cs="Arial" w:eastAsia="Arial" w:hAnsi="Arial"/>
                <w:sz w:val="14"/>
                <w:szCs w:val="14"/>
                <w:color w:val="auto"/>
              </w:rPr>
              <w:t>Total current liabilities</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652,707</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507,783</w:t>
            </w:r>
          </w:p>
        </w:tc>
        <w:tc>
          <w:tcPr>
            <w:tcW w:w="0" w:type="dxa"/>
            <w:vAlign w:val="bottom"/>
          </w:tcPr>
          <w:p>
            <w:pPr>
              <w:spacing w:after="0"/>
              <w:rPr>
                <w:sz w:val="1"/>
                <w:szCs w:val="1"/>
                <w:color w:val="auto"/>
              </w:rPr>
            </w:pPr>
          </w:p>
        </w:tc>
      </w:tr>
      <w:tr>
        <w:trPr>
          <w:trHeight w:val="339"/>
        </w:trPr>
        <w:tc>
          <w:tcPr>
            <w:tcW w:w="6040" w:type="dxa"/>
            <w:vAlign w:val="bottom"/>
          </w:tcPr>
          <w:p>
            <w:pPr>
              <w:spacing w:after="0"/>
              <w:rPr>
                <w:sz w:val="20"/>
                <w:szCs w:val="20"/>
                <w:color w:val="auto"/>
              </w:rPr>
            </w:pPr>
            <w:r>
              <w:rPr>
                <w:rFonts w:ascii="Arial" w:cs="Arial" w:eastAsia="Arial" w:hAnsi="Arial"/>
                <w:sz w:val="14"/>
                <w:szCs w:val="14"/>
                <w:color w:val="auto"/>
              </w:rPr>
              <w:t>Long-term debt</w:t>
            </w:r>
          </w:p>
        </w:tc>
        <w:tc>
          <w:tcPr>
            <w:tcW w:w="480" w:type="dxa"/>
            <w:vAlign w:val="bottom"/>
          </w:tcPr>
          <w:p>
            <w:pPr>
              <w:spacing w:after="0"/>
              <w:rPr>
                <w:sz w:val="24"/>
                <w:szCs w:val="24"/>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988,185</w:t>
            </w:r>
          </w:p>
        </w:tc>
        <w:tc>
          <w:tcPr>
            <w:tcW w:w="620" w:type="dxa"/>
            <w:vAlign w:val="bottom"/>
          </w:tcPr>
          <w:p>
            <w:pPr>
              <w:spacing w:after="0"/>
              <w:rPr>
                <w:sz w:val="24"/>
                <w:szCs w:val="24"/>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593,572</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Long-term warranty</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13,238</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13,712</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Pension benefit obligation</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91,522</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95,717</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20"/>
                <w:szCs w:val="20"/>
                <w:color w:val="auto"/>
              </w:rPr>
            </w:pPr>
            <w:r>
              <w:rPr>
                <w:rFonts w:ascii="Arial" w:cs="Arial" w:eastAsia="Arial" w:hAnsi="Arial"/>
                <w:sz w:val="14"/>
                <w:szCs w:val="14"/>
                <w:color w:val="auto"/>
              </w:rPr>
              <w:t>Deferred tax liabilities, net</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1,543</w:t>
            </w:r>
          </w:p>
        </w:tc>
        <w:tc>
          <w:tcPr>
            <w:tcW w:w="620" w:type="dxa"/>
            <w:vAlign w:val="bottom"/>
          </w:tcPr>
          <w:p>
            <w:pPr>
              <w:spacing w:after="0"/>
              <w:rPr>
                <w:sz w:val="15"/>
                <w:szCs w:val="15"/>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1,525</w:t>
            </w:r>
          </w:p>
        </w:tc>
        <w:tc>
          <w:tcPr>
            <w:tcW w:w="0" w:type="dxa"/>
            <w:vAlign w:val="bottom"/>
          </w:tcPr>
          <w:p>
            <w:pPr>
              <w:spacing w:after="0"/>
              <w:rPr>
                <w:sz w:val="1"/>
                <w:szCs w:val="1"/>
                <w:color w:val="auto"/>
              </w:rPr>
            </w:pPr>
          </w:p>
        </w:tc>
      </w:tr>
      <w:tr>
        <w:trPr>
          <w:trHeight w:val="181"/>
        </w:trPr>
        <w:tc>
          <w:tcPr>
            <w:tcW w:w="6040" w:type="dxa"/>
            <w:vAlign w:val="bottom"/>
          </w:tcPr>
          <w:p>
            <w:pPr>
              <w:spacing w:after="0"/>
              <w:rPr>
                <w:sz w:val="20"/>
                <w:szCs w:val="20"/>
                <w:color w:val="auto"/>
              </w:rPr>
            </w:pPr>
            <w:r>
              <w:rPr>
                <w:rFonts w:ascii="Arial" w:cs="Arial" w:eastAsia="Arial" w:hAnsi="Arial"/>
                <w:sz w:val="14"/>
                <w:szCs w:val="14"/>
                <w:color w:val="auto"/>
              </w:rPr>
              <w:t>Other long-term obligations</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127,739</w:t>
            </w:r>
          </w:p>
        </w:tc>
        <w:tc>
          <w:tcPr>
            <w:tcW w:w="6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88,206</w:t>
            </w:r>
          </w:p>
        </w:tc>
        <w:tc>
          <w:tcPr>
            <w:tcW w:w="0" w:type="dxa"/>
            <w:vAlign w:val="bottom"/>
          </w:tcPr>
          <w:p>
            <w:pPr>
              <w:spacing w:after="0"/>
              <w:rPr>
                <w:sz w:val="1"/>
                <w:szCs w:val="1"/>
                <w:color w:val="auto"/>
              </w:rPr>
            </w:pPr>
          </w:p>
        </w:tc>
      </w:tr>
      <w:tr>
        <w:trPr>
          <w:trHeight w:val="176"/>
        </w:trPr>
        <w:tc>
          <w:tcPr>
            <w:tcW w:w="6040" w:type="dxa"/>
            <w:vAlign w:val="bottom"/>
          </w:tcPr>
          <w:p>
            <w:pPr>
              <w:ind w:left="420"/>
              <w:spacing w:after="0"/>
              <w:rPr>
                <w:sz w:val="20"/>
                <w:szCs w:val="20"/>
                <w:color w:val="auto"/>
              </w:rPr>
            </w:pPr>
            <w:r>
              <w:rPr>
                <w:rFonts w:ascii="Arial" w:cs="Arial" w:eastAsia="Arial" w:hAnsi="Arial"/>
                <w:sz w:val="14"/>
                <w:szCs w:val="14"/>
                <w:color w:val="auto"/>
              </w:rPr>
              <w:t>Total liabilities</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1,874,934</w:t>
            </w:r>
          </w:p>
        </w:tc>
        <w:tc>
          <w:tcPr>
            <w:tcW w:w="620" w:type="dxa"/>
            <w:vAlign w:val="bottom"/>
          </w:tcPr>
          <w:p>
            <w:pPr>
              <w:spacing w:after="0"/>
              <w:rPr>
                <w:sz w:val="15"/>
                <w:szCs w:val="15"/>
                <w:color w:val="auto"/>
              </w:rPr>
            </w:pPr>
          </w:p>
        </w:tc>
        <w:tc>
          <w:tcPr>
            <w:tcW w:w="2100" w:type="dxa"/>
            <w:vAlign w:val="bottom"/>
          </w:tcPr>
          <w:p>
            <w:pPr>
              <w:jc w:val="right"/>
              <w:ind w:right="208"/>
              <w:spacing w:after="0"/>
              <w:rPr>
                <w:sz w:val="20"/>
                <w:szCs w:val="20"/>
                <w:color w:val="auto"/>
              </w:rPr>
            </w:pPr>
            <w:r>
              <w:rPr>
                <w:rFonts w:ascii="Arial" w:cs="Arial" w:eastAsia="Arial" w:hAnsi="Arial"/>
                <w:sz w:val="14"/>
                <w:szCs w:val="14"/>
                <w:color w:val="auto"/>
              </w:rPr>
              <w:t>1,300,515</w:t>
            </w:r>
          </w:p>
        </w:tc>
        <w:tc>
          <w:tcPr>
            <w:tcW w:w="0" w:type="dxa"/>
            <w:vAlign w:val="bottom"/>
          </w:tcPr>
          <w:p>
            <w:pPr>
              <w:spacing w:after="0"/>
              <w:rPr>
                <w:sz w:val="1"/>
                <w:szCs w:val="1"/>
                <w:color w:val="auto"/>
              </w:rPr>
            </w:pPr>
          </w:p>
        </w:tc>
      </w:tr>
      <w:tr>
        <w:trPr>
          <w:trHeight w:val="339"/>
        </w:trPr>
        <w:tc>
          <w:tcPr>
            <w:tcW w:w="6040" w:type="dxa"/>
            <w:vAlign w:val="bottom"/>
          </w:tcPr>
          <w:p>
            <w:pPr>
              <w:spacing w:after="0"/>
              <w:rPr>
                <w:sz w:val="20"/>
                <w:szCs w:val="20"/>
                <w:color w:val="auto"/>
              </w:rPr>
            </w:pPr>
            <w:r>
              <w:rPr>
                <w:rFonts w:ascii="Arial" w:cs="Arial" w:eastAsia="Arial" w:hAnsi="Arial"/>
                <w:sz w:val="14"/>
                <w:szCs w:val="14"/>
                <w:color w:val="auto"/>
              </w:rPr>
              <w:t>Equity</w:t>
            </w: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Common stock</w:t>
            </w:r>
          </w:p>
        </w:tc>
        <w:tc>
          <w:tcPr>
            <w:tcW w:w="480" w:type="dxa"/>
            <w:vAlign w:val="bottom"/>
          </w:tcPr>
          <w:p>
            <w:pPr>
              <w:spacing w:after="0"/>
              <w:rPr>
                <w:sz w:val="15"/>
                <w:szCs w:val="15"/>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1,334,364</w:t>
            </w:r>
          </w:p>
        </w:tc>
        <w:tc>
          <w:tcPr>
            <w:tcW w:w="620" w:type="dxa"/>
            <w:vAlign w:val="bottom"/>
          </w:tcPr>
          <w:p>
            <w:pPr>
              <w:spacing w:after="0"/>
              <w:rPr>
                <w:sz w:val="15"/>
                <w:szCs w:val="15"/>
                <w:color w:val="auto"/>
              </w:rPr>
            </w:pPr>
          </w:p>
        </w:tc>
        <w:tc>
          <w:tcPr>
            <w:tcW w:w="2100" w:type="dxa"/>
            <w:vAlign w:val="bottom"/>
          </w:tcPr>
          <w:p>
            <w:pPr>
              <w:jc w:val="right"/>
              <w:ind w:right="208"/>
              <w:spacing w:after="0"/>
              <w:rPr>
                <w:sz w:val="20"/>
                <w:szCs w:val="20"/>
                <w:color w:val="auto"/>
              </w:rPr>
            </w:pPr>
            <w:r>
              <w:rPr>
                <w:rFonts w:ascii="Arial" w:cs="Arial" w:eastAsia="Arial" w:hAnsi="Arial"/>
                <w:sz w:val="14"/>
                <w:szCs w:val="14"/>
                <w:color w:val="auto"/>
              </w:rPr>
              <w:t>1,294,767</w:t>
            </w:r>
          </w:p>
        </w:tc>
        <w:tc>
          <w:tcPr>
            <w:tcW w:w="0" w:type="dxa"/>
            <w:vAlign w:val="bottom"/>
          </w:tcPr>
          <w:p>
            <w:pPr>
              <w:spacing w:after="0"/>
              <w:rPr>
                <w:sz w:val="1"/>
                <w:szCs w:val="1"/>
                <w:color w:val="auto"/>
              </w:rPr>
            </w:pPr>
          </w:p>
        </w:tc>
      </w:tr>
      <w:tr>
        <w:trPr>
          <w:trHeight w:val="176"/>
        </w:trPr>
        <w:tc>
          <w:tcPr>
            <w:tcW w:w="6040" w:type="dxa"/>
            <w:vAlign w:val="bottom"/>
          </w:tcPr>
          <w:p>
            <w:pPr>
              <w:ind w:left="220"/>
              <w:spacing w:after="0"/>
              <w:rPr>
                <w:sz w:val="20"/>
                <w:szCs w:val="20"/>
                <w:color w:val="auto"/>
              </w:rPr>
            </w:pPr>
            <w:r>
              <w:rPr>
                <w:rFonts w:ascii="Arial" w:cs="Arial" w:eastAsia="Arial" w:hAnsi="Arial"/>
                <w:sz w:val="14"/>
                <w:szCs w:val="14"/>
                <w:color w:val="auto"/>
              </w:rPr>
              <w:t>Accumulated other comprehensive loss, net</w:t>
            </w:r>
          </w:p>
        </w:tc>
        <w:tc>
          <w:tcPr>
            <w:tcW w:w="480" w:type="dxa"/>
            <w:vAlign w:val="bottom"/>
          </w:tcPr>
          <w:p>
            <w:pPr>
              <w:spacing w:after="0"/>
              <w:rPr>
                <w:sz w:val="15"/>
                <w:szCs w:val="15"/>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(196,305)</w:t>
            </w:r>
          </w:p>
        </w:tc>
        <w:tc>
          <w:tcPr>
            <w:tcW w:w="620" w:type="dxa"/>
            <w:vAlign w:val="bottom"/>
          </w:tcPr>
          <w:p>
            <w:pPr>
              <w:spacing w:after="0"/>
              <w:rPr>
                <w:sz w:val="15"/>
                <w:szCs w:val="15"/>
                <w:color w:val="auto"/>
              </w:rPr>
            </w:pPr>
          </w:p>
        </w:tc>
        <w:tc>
          <w:tcPr>
            <w:tcW w:w="2100" w:type="dxa"/>
            <w:vAlign w:val="bottom"/>
          </w:tcPr>
          <w:p>
            <w:pPr>
              <w:jc w:val="right"/>
              <w:ind w:right="148"/>
              <w:spacing w:after="0"/>
              <w:rPr>
                <w:sz w:val="20"/>
                <w:szCs w:val="20"/>
                <w:color w:val="auto"/>
              </w:rPr>
            </w:pPr>
            <w:r>
              <w:rPr>
                <w:rFonts w:ascii="Arial" w:cs="Arial" w:eastAsia="Arial" w:hAnsi="Arial"/>
                <w:sz w:val="14"/>
                <w:szCs w:val="14"/>
                <w:color w:val="auto"/>
              </w:rPr>
              <w:t>(170,478)</w:t>
            </w:r>
          </w:p>
        </w:tc>
        <w:tc>
          <w:tcPr>
            <w:tcW w:w="0" w:type="dxa"/>
            <w:vAlign w:val="bottom"/>
          </w:tcPr>
          <w:p>
            <w:pPr>
              <w:spacing w:after="0"/>
              <w:rPr>
                <w:sz w:val="1"/>
                <w:szCs w:val="1"/>
                <w:color w:val="auto"/>
              </w:rPr>
            </w:pPr>
          </w:p>
        </w:tc>
      </w:tr>
      <w:tr>
        <w:trPr>
          <w:trHeight w:val="181"/>
        </w:trPr>
        <w:tc>
          <w:tcPr>
            <w:tcW w:w="6040" w:type="dxa"/>
            <w:vAlign w:val="bottom"/>
          </w:tcPr>
          <w:p>
            <w:pPr>
              <w:ind w:left="220"/>
              <w:spacing w:after="0"/>
              <w:rPr>
                <w:sz w:val="20"/>
                <w:szCs w:val="20"/>
                <w:color w:val="auto"/>
              </w:rPr>
            </w:pPr>
            <w:r>
              <w:rPr>
                <w:rFonts w:ascii="Arial" w:cs="Arial" w:eastAsia="Arial" w:hAnsi="Arial"/>
                <w:sz w:val="14"/>
                <w:szCs w:val="14"/>
                <w:color w:val="auto"/>
              </w:rPr>
              <w:t>Accumulated deficit</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(425,396)</w:t>
            </w:r>
          </w:p>
        </w:tc>
        <w:tc>
          <w:tcPr>
            <w:tcW w:w="6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(337,873)</w:t>
            </w:r>
          </w:p>
        </w:tc>
        <w:tc>
          <w:tcPr>
            <w:tcW w:w="0" w:type="dxa"/>
            <w:vAlign w:val="bottom"/>
          </w:tcPr>
          <w:p>
            <w:pPr>
              <w:spacing w:after="0"/>
              <w:rPr>
                <w:sz w:val="1"/>
                <w:szCs w:val="1"/>
                <w:color w:val="auto"/>
              </w:rPr>
            </w:pPr>
          </w:p>
        </w:tc>
      </w:tr>
      <w:tr>
        <w:trPr>
          <w:trHeight w:val="164"/>
        </w:trPr>
        <w:tc>
          <w:tcPr>
            <w:tcW w:w="6040" w:type="dxa"/>
            <w:vAlign w:val="bottom"/>
          </w:tcPr>
          <w:p>
            <w:pPr>
              <w:ind w:left="420"/>
              <w:spacing w:after="0"/>
              <w:rPr>
                <w:sz w:val="20"/>
                <w:szCs w:val="20"/>
                <w:color w:val="auto"/>
              </w:rPr>
            </w:pPr>
            <w:r>
              <w:rPr>
                <w:rFonts w:ascii="Arial" w:cs="Arial" w:eastAsia="Arial" w:hAnsi="Arial"/>
                <w:sz w:val="14"/>
                <w:szCs w:val="14"/>
                <w:color w:val="auto"/>
              </w:rPr>
              <w:t>Total Itron, Inc. shareholders' equity</w:t>
            </w:r>
          </w:p>
        </w:tc>
        <w:tc>
          <w:tcPr>
            <w:tcW w:w="480" w:type="dxa"/>
            <w:vAlign w:val="bottom"/>
          </w:tcPr>
          <w:p>
            <w:pPr>
              <w:spacing w:after="0"/>
              <w:rPr>
                <w:sz w:val="14"/>
                <w:szCs w:val="14"/>
                <w:color w:val="auto"/>
              </w:rPr>
            </w:pPr>
          </w:p>
        </w:tc>
        <w:tc>
          <w:tcPr>
            <w:tcW w:w="2180" w:type="dxa"/>
            <w:vAlign w:val="bottom"/>
          </w:tcPr>
          <w:p>
            <w:pPr>
              <w:jc w:val="right"/>
              <w:ind w:right="308"/>
              <w:spacing w:after="0"/>
              <w:rPr>
                <w:sz w:val="20"/>
                <w:szCs w:val="20"/>
                <w:color w:val="auto"/>
              </w:rPr>
            </w:pPr>
            <w:r>
              <w:rPr>
                <w:rFonts w:ascii="Arial" w:cs="Arial" w:eastAsia="Arial" w:hAnsi="Arial"/>
                <w:sz w:val="14"/>
                <w:szCs w:val="14"/>
                <w:color w:val="auto"/>
              </w:rPr>
              <w:t>712,663</w:t>
            </w:r>
          </w:p>
        </w:tc>
        <w:tc>
          <w:tcPr>
            <w:tcW w:w="620" w:type="dxa"/>
            <w:vAlign w:val="bottom"/>
          </w:tcPr>
          <w:p>
            <w:pPr>
              <w:spacing w:after="0"/>
              <w:rPr>
                <w:sz w:val="14"/>
                <w:szCs w:val="14"/>
                <w:color w:val="auto"/>
              </w:rPr>
            </w:pPr>
          </w:p>
        </w:tc>
        <w:tc>
          <w:tcPr>
            <w:tcW w:w="2100" w:type="dxa"/>
            <w:vAlign w:val="bottom"/>
          </w:tcPr>
          <w:p>
            <w:pPr>
              <w:jc w:val="right"/>
              <w:ind w:right="188"/>
              <w:spacing w:after="0"/>
              <w:rPr>
                <w:sz w:val="20"/>
                <w:szCs w:val="20"/>
                <w:color w:val="auto"/>
              </w:rPr>
            </w:pPr>
            <w:r>
              <w:rPr>
                <w:rFonts w:ascii="Arial" w:cs="Arial" w:eastAsia="Arial" w:hAnsi="Arial"/>
                <w:sz w:val="14"/>
                <w:szCs w:val="14"/>
                <w:color w:val="auto"/>
              </w:rPr>
              <w:t>786,416</w:t>
            </w:r>
          </w:p>
        </w:tc>
        <w:tc>
          <w:tcPr>
            <w:tcW w:w="0" w:type="dxa"/>
            <w:vAlign w:val="bottom"/>
          </w:tcPr>
          <w:p>
            <w:pPr>
              <w:spacing w:after="0"/>
              <w:rPr>
                <w:sz w:val="1"/>
                <w:szCs w:val="1"/>
                <w:color w:val="auto"/>
              </w:rPr>
            </w:pPr>
          </w:p>
        </w:tc>
      </w:tr>
      <w:tr>
        <w:trPr>
          <w:trHeight w:val="181"/>
        </w:trPr>
        <w:tc>
          <w:tcPr>
            <w:tcW w:w="6040" w:type="dxa"/>
            <w:vAlign w:val="bottom"/>
          </w:tcPr>
          <w:p>
            <w:pPr>
              <w:ind w:left="220"/>
              <w:spacing w:after="0"/>
              <w:rPr>
                <w:sz w:val="20"/>
                <w:szCs w:val="20"/>
                <w:color w:val="auto"/>
              </w:rPr>
            </w:pPr>
            <w:r>
              <w:rPr>
                <w:rFonts w:ascii="Arial" w:cs="Arial" w:eastAsia="Arial" w:hAnsi="Arial"/>
                <w:sz w:val="14"/>
                <w:szCs w:val="14"/>
                <w:color w:val="auto"/>
              </w:rPr>
              <w:t>Non-controlling interests</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21,385</w:t>
            </w:r>
          </w:p>
        </w:tc>
        <w:tc>
          <w:tcPr>
            <w:tcW w:w="6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19,216</w:t>
            </w:r>
          </w:p>
        </w:tc>
        <w:tc>
          <w:tcPr>
            <w:tcW w:w="0" w:type="dxa"/>
            <w:vAlign w:val="bottom"/>
          </w:tcPr>
          <w:p>
            <w:pPr>
              <w:spacing w:after="0"/>
              <w:rPr>
                <w:sz w:val="1"/>
                <w:szCs w:val="1"/>
                <w:color w:val="auto"/>
              </w:rPr>
            </w:pPr>
          </w:p>
        </w:tc>
      </w:tr>
      <w:tr>
        <w:trPr>
          <w:trHeight w:val="169"/>
        </w:trPr>
        <w:tc>
          <w:tcPr>
            <w:tcW w:w="6040" w:type="dxa"/>
            <w:vAlign w:val="bottom"/>
          </w:tcPr>
          <w:p>
            <w:pPr>
              <w:ind w:left="420"/>
              <w:spacing w:after="0"/>
              <w:rPr>
                <w:sz w:val="20"/>
                <w:szCs w:val="20"/>
                <w:color w:val="auto"/>
              </w:rPr>
            </w:pPr>
            <w:r>
              <w:rPr>
                <w:rFonts w:ascii="Arial" w:cs="Arial" w:eastAsia="Arial" w:hAnsi="Arial"/>
                <w:sz w:val="14"/>
                <w:szCs w:val="14"/>
                <w:color w:val="auto"/>
              </w:rPr>
              <w:t>Total equity</w:t>
            </w:r>
          </w:p>
        </w:tc>
        <w:tc>
          <w:tcPr>
            <w:tcW w:w="4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734,048</w:t>
            </w:r>
          </w:p>
        </w:tc>
        <w:tc>
          <w:tcPr>
            <w:tcW w:w="6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805,632</w:t>
            </w:r>
          </w:p>
        </w:tc>
        <w:tc>
          <w:tcPr>
            <w:tcW w:w="0" w:type="dxa"/>
            <w:vAlign w:val="bottom"/>
          </w:tcPr>
          <w:p>
            <w:pPr>
              <w:spacing w:after="0"/>
              <w:rPr>
                <w:sz w:val="1"/>
                <w:szCs w:val="1"/>
                <w:color w:val="auto"/>
              </w:rPr>
            </w:pPr>
          </w:p>
        </w:tc>
      </w:tr>
      <w:tr>
        <w:trPr>
          <w:trHeight w:val="169"/>
        </w:trPr>
        <w:tc>
          <w:tcPr>
            <w:tcW w:w="6040" w:type="dxa"/>
            <w:vAlign w:val="bottom"/>
          </w:tcPr>
          <w:p>
            <w:pPr>
              <w:ind w:left="420"/>
              <w:spacing w:after="0"/>
              <w:rPr>
                <w:sz w:val="20"/>
                <w:szCs w:val="20"/>
                <w:color w:val="auto"/>
              </w:rPr>
            </w:pPr>
            <w:r>
              <w:rPr>
                <w:rFonts w:ascii="Arial" w:cs="Arial" w:eastAsia="Arial" w:hAnsi="Arial"/>
                <w:sz w:val="14"/>
                <w:szCs w:val="14"/>
                <w:color w:val="auto"/>
              </w:rPr>
              <w:t>Total liabilities and equity</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2,608,982</w:t>
            </w: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2,106,147</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4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1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1" w:name="page12"/>
    <w:bookmarkEnd w:id="11"/>
    <w:p>
      <w:pPr>
        <w:jc w:val="center"/>
        <w:ind w:left="3080"/>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ind w:left="308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(Unaudited, in thousands)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Operating activities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Net income (loss)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Depreciation and amortization</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Stock-based compensation</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Amortization of prepaid debt fees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Deferred taxes, net</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Restructuring, non-cash</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Other adjustments, net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Changes in operating assets and liabilities, net of acquisitions: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Accounts receivable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Inventories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current assets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long-term assets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Accounts payable, other current liabilities, and taxes payable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Wages and benefits payable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Unearned revenue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Warranty</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operating, net</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cash provided by operating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Acquisitions of property, plant, and equipment</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Business acquisitions, net of cash equivalents acquired</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investing, net</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cash used in investing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Financing activities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Proceeds from borrowings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Payments on debt</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Issuance of common stock</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Prepaid debt fees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financing, net</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cash provided by financing activities</w:t>
      </w:r>
    </w:p>
    <w:p>
      <w:pPr>
        <w:spacing w:after="0" w:line="190" w:lineRule="exact"/>
        <w:rPr>
          <w:sz w:val="20"/>
          <w:szCs w:val="20"/>
          <w:color w:val="auto"/>
        </w:rPr>
      </w:pPr>
    </w:p>
    <w:p>
      <w:pPr>
        <w:ind w:right="3420"/>
        <w:spacing w:after="0" w:line="298" w:lineRule="auto"/>
        <w:rPr>
          <w:sz w:val="20"/>
          <w:szCs w:val="20"/>
          <w:color w:val="auto"/>
        </w:rPr>
      </w:pPr>
      <w:r>
        <w:rPr>
          <w:rFonts w:ascii="Arial" w:cs="Arial" w:eastAsia="Arial" w:hAnsi="Arial"/>
          <w:sz w:val="13"/>
          <w:szCs w:val="13"/>
          <w:color w:val="auto"/>
        </w:rPr>
        <w:t>Effect of foreign exchange rate changes on cash, cash equivalents, and restricted cash (Decrease) increase in cash, cash equivalents, and restricted cash</w:t>
      </w:r>
    </w:p>
    <w:p>
      <w:pPr>
        <w:spacing w:after="0"/>
        <w:rPr>
          <w:sz w:val="20"/>
          <w:szCs w:val="20"/>
          <w:color w:val="auto"/>
        </w:rPr>
      </w:pPr>
      <w:r>
        <w:rPr>
          <w:rFonts w:ascii="Arial" w:cs="Arial" w:eastAsia="Arial" w:hAnsi="Arial"/>
          <w:sz w:val="14"/>
          <w:szCs w:val="14"/>
          <w:color w:val="auto"/>
        </w:rPr>
        <w:t>Cash, cash equivalents, and restricted cash at beginning of period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Cash, cash equivalents, and restricted cash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727202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r>
      <w:tr>
        <w:trPr>
          <w:trHeight w:val="346"/>
        </w:trPr>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(96,581)</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60,249</w:t>
            </w:r>
          </w:p>
        </w:tc>
      </w:tr>
      <w:tr>
        <w:trPr>
          <w:trHeight w:val="344"/>
        </w:trPr>
        <w:tc>
          <w:tcPr>
            <w:tcW w:w="26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122,497</w:t>
            </w:r>
          </w:p>
        </w:tc>
        <w:tc>
          <w:tcPr>
            <w:tcW w:w="38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63,215</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31,263</w:t>
            </w:r>
          </w:p>
        </w:tc>
        <w:tc>
          <w:tcPr>
            <w:tcW w:w="3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21,407</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7,046</w:t>
            </w:r>
          </w:p>
        </w:tc>
        <w:tc>
          <w:tcPr>
            <w:tcW w:w="3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1,067</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(19,130)</w:t>
            </w:r>
          </w:p>
        </w:tc>
        <w:tc>
          <w:tcPr>
            <w:tcW w:w="3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50,667</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859</w:t>
            </w:r>
          </w:p>
        </w:tc>
        <w:tc>
          <w:tcPr>
            <w:tcW w:w="3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(2,297)</w:t>
            </w:r>
          </w:p>
        </w:tc>
      </w:tr>
      <w:tr>
        <w:trPr>
          <w:trHeight w:val="182"/>
        </w:trPr>
        <w:tc>
          <w:tcPr>
            <w:tcW w:w="26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1,452</w:t>
            </w:r>
          </w:p>
        </w:tc>
        <w:tc>
          <w:tcPr>
            <w:tcW w:w="3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3,673</w:t>
            </w:r>
          </w:p>
        </w:tc>
      </w:tr>
      <w:tr>
        <w:trPr>
          <w:trHeight w:val="344"/>
        </w:trPr>
        <w:tc>
          <w:tcPr>
            <w:tcW w:w="26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15,524</w:t>
            </w:r>
          </w:p>
        </w:tc>
        <w:tc>
          <w:tcPr>
            <w:tcW w:w="38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(17,573)</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(25,613)</w:t>
            </w:r>
          </w:p>
        </w:tc>
        <w:tc>
          <w:tcPr>
            <w:tcW w:w="3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(16,242)</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(23,589)</w:t>
            </w:r>
          </w:p>
        </w:tc>
        <w:tc>
          <w:tcPr>
            <w:tcW w:w="3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8,112</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3,020</w:t>
            </w:r>
          </w:p>
        </w:tc>
        <w:tc>
          <w:tcPr>
            <w:tcW w:w="3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11,230</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20,101</w:t>
            </w:r>
          </w:p>
        </w:tc>
        <w:tc>
          <w:tcPr>
            <w:tcW w:w="3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78,463</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(9,565)</w:t>
            </w:r>
          </w:p>
        </w:tc>
        <w:tc>
          <w:tcPr>
            <w:tcW w:w="3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1,926</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27,584</w:t>
            </w:r>
          </w:p>
        </w:tc>
        <w:tc>
          <w:tcPr>
            <w:tcW w:w="3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(41,309)</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20,815</w:t>
            </w:r>
          </w:p>
        </w:tc>
        <w:tc>
          <w:tcPr>
            <w:tcW w:w="3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(10,554)</w:t>
            </w:r>
          </w:p>
        </w:tc>
      </w:tr>
      <w:tr>
        <w:trPr>
          <w:trHeight w:val="181"/>
        </w:trPr>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34,072</w:t>
            </w: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(20,680)</w:t>
            </w:r>
          </w:p>
        </w:tc>
      </w:tr>
      <w:tr>
        <w:trPr>
          <w:trHeight w:val="176"/>
        </w:trPr>
        <w:tc>
          <w:tcPr>
            <w:tcW w:w="26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109,755</w:t>
            </w:r>
          </w:p>
        </w:tc>
        <w:tc>
          <w:tcPr>
            <w:tcW w:w="38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191,354</w:t>
            </w:r>
          </w:p>
        </w:tc>
      </w:tr>
      <w:tr>
        <w:trPr>
          <w:trHeight w:val="515"/>
        </w:trPr>
        <w:tc>
          <w:tcPr>
            <w:tcW w:w="26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(59,952)</w:t>
            </w:r>
          </w:p>
        </w:tc>
        <w:tc>
          <w:tcPr>
            <w:tcW w:w="38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(49,495)</w:t>
            </w:r>
          </w:p>
        </w:tc>
      </w:tr>
      <w:tr>
        <w:trPr>
          <w:trHeight w:val="182"/>
        </w:trPr>
        <w:tc>
          <w:tcPr>
            <w:tcW w:w="26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(803,075)</w:t>
            </w:r>
          </w:p>
        </w:tc>
        <w:tc>
          <w:tcPr>
            <w:tcW w:w="3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(99,386)</w:t>
            </w:r>
          </w:p>
        </w:tc>
      </w:tr>
    </w:tbl>
    <w:p>
      <w:pPr>
        <w:ind w:left="2020" w:hanging="1294"/>
        <w:spacing w:after="0"/>
        <w:tabs>
          <w:tab w:leader="none" w:pos="2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702</w:t>
      </w:r>
    </w:p>
    <w:p>
      <w:pPr>
        <w:spacing w:after="0" w:line="21"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4"/>
          <w:szCs w:val="14"/>
          <w:color w:val="auto"/>
        </w:rPr>
        <w:t>(862,658)</w:t>
      </w:r>
      <w:r>
        <w:rPr>
          <w:rFonts w:ascii="Arial" w:cs="Arial" w:eastAsia="Arial" w:hAnsi="Arial"/>
          <w:sz w:val="13"/>
          <w:szCs w:val="13"/>
          <w:color w:val="auto"/>
        </w:rPr>
        <w:t>(148,179)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-106680</wp:posOffset>
            </wp:positionV>
            <wp:extent cx="15005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0" w:type="dxa"/>
            <w:vAlign w:val="bottom"/>
          </w:tcPr>
          <w:p>
            <w:pPr>
              <w:spacing w:after="0"/>
              <w:rPr>
                <w:sz w:val="15"/>
                <w:szCs w:val="15"/>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778,938</w:t>
            </w:r>
          </w:p>
        </w:tc>
        <w:tc>
          <w:tcPr>
            <w:tcW w:w="4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335,000</w:t>
            </w:r>
          </w:p>
        </w:tc>
      </w:tr>
      <w:tr>
        <w:trPr>
          <w:trHeight w:val="176"/>
        </w:trPr>
        <w:tc>
          <w:tcPr>
            <w:tcW w:w="28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(363,359)</w:t>
            </w:r>
          </w:p>
        </w:tc>
        <w:tc>
          <w:tcPr>
            <w:tcW w:w="42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(29,063)</w:t>
            </w:r>
          </w:p>
        </w:tc>
      </w:tr>
      <w:tr>
        <w:trPr>
          <w:trHeight w:val="176"/>
        </w:trPr>
        <w:tc>
          <w:tcPr>
            <w:tcW w:w="280" w:type="dxa"/>
            <w:vAlign w:val="bottom"/>
          </w:tcPr>
          <w:p>
            <w:pPr>
              <w:spacing w:after="0"/>
              <w:rPr>
                <w:sz w:val="15"/>
                <w:szCs w:val="15"/>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9,171</w:t>
            </w:r>
          </w:p>
        </w:tc>
        <w:tc>
          <w:tcPr>
            <w:tcW w:w="4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3,609</w:t>
            </w:r>
          </w:p>
        </w:tc>
      </w:tr>
      <w:tr>
        <w:trPr>
          <w:trHeight w:val="176"/>
        </w:trPr>
        <w:tc>
          <w:tcPr>
            <w:tcW w:w="28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(24,042)</w:t>
            </w:r>
          </w:p>
        </w:tc>
        <w:tc>
          <w:tcPr>
            <w:tcW w:w="4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1"/>
        </w:trPr>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(4,887)</w:t>
            </w: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(7,587)</w:t>
            </w:r>
          </w:p>
        </w:tc>
      </w:tr>
      <w:tr>
        <w:trPr>
          <w:trHeight w:val="176"/>
        </w:trPr>
        <w:tc>
          <w:tcPr>
            <w:tcW w:w="280" w:type="dxa"/>
            <w:vAlign w:val="bottom"/>
          </w:tcPr>
          <w:p>
            <w:pPr>
              <w:spacing w:after="0"/>
              <w:rPr>
                <w:sz w:val="15"/>
                <w:szCs w:val="15"/>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395,821</w:t>
            </w:r>
          </w:p>
        </w:tc>
        <w:tc>
          <w:tcPr>
            <w:tcW w:w="4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301,959</w:t>
            </w:r>
          </w:p>
        </w:tc>
      </w:tr>
      <w:tr>
        <w:trPr>
          <w:trHeight w:val="344"/>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(7,925)</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8,636</w:t>
            </w:r>
          </w:p>
        </w:tc>
      </w:tr>
      <w:tr>
        <w:trPr>
          <w:trHeight w:val="164"/>
        </w:trPr>
        <w:tc>
          <w:tcPr>
            <w:tcW w:w="2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(365,007)</w:t>
            </w:r>
          </w:p>
        </w:tc>
        <w:tc>
          <w:tcPr>
            <w:tcW w:w="4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353,770</w:t>
            </w:r>
          </w:p>
        </w:tc>
      </w:tr>
      <w:tr>
        <w:trPr>
          <w:trHeight w:val="181"/>
        </w:trPr>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487,335</w:t>
            </w: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133,565</w:t>
            </w:r>
          </w:p>
        </w:tc>
      </w:tr>
      <w:tr>
        <w:trPr>
          <w:trHeight w:val="169"/>
        </w:trPr>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122,328</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487,335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8340" w:space="720"/>
            <w:col w:w="2360"/>
          </w:cols>
          <w:pgMar w:left="240" w:top="306"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2"/>
          <w:szCs w:val="22"/>
          <w:b w:val="1"/>
          <w:bCs w:val="1"/>
          <w:color w:val="auto"/>
        </w:rPr>
        <w:t>About Non-GAAP Financial Measures</w:t>
      </w:r>
    </w:p>
    <w:p>
      <w:pPr>
        <w:spacing w:after="0" w:line="213"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The accompanying press release contains non-GAAP financial measures. To supplement our consolidated financial statements, which are prepared in accordance with GAAP, we use certain non-GAAP financial measures, including non-GAAP operating expense, non-GAAP operating income, non-GAAP net income, non-GAAP diluted EPS, adjusted EBITDA, constant currency and free cash flow. The presentation of this financial information is not intended to be considered in isolation or as a substitute for, or superior to, the financial information prepared and presented in accordance with GAAP, and other companies may define such measures differently. For more information on these non-GAAP financial measures please see the table captioned “Reconciliations of Non-GAAP Financial Measures to Most Directly Comparable GAAP Financial Measures.”</w:t>
      </w:r>
    </w:p>
    <w:p>
      <w:pPr>
        <w:spacing w:after="0" w:line="153" w:lineRule="exact"/>
        <w:rPr>
          <w:sz w:val="20"/>
          <w:szCs w:val="20"/>
          <w:color w:val="auto"/>
        </w:rPr>
      </w:pPr>
    </w:p>
    <w:p>
      <w:pPr>
        <w:ind w:right="60"/>
        <w:spacing w:after="0" w:line="244" w:lineRule="auto"/>
        <w:rPr>
          <w:sz w:val="20"/>
          <w:szCs w:val="20"/>
          <w:color w:val="auto"/>
        </w:rPr>
      </w:pPr>
      <w:r>
        <w:rPr>
          <w:rFonts w:ascii="Arial" w:cs="Arial" w:eastAsia="Arial" w:hAnsi="Arial"/>
          <w:sz w:val="21"/>
          <w:szCs w:val="21"/>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purchase accounting adjustments, restructuring charges or goodwill impairment charges, and the impact of the Tax Cuts and Jobs Act (“Tax Act”).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9"/>
          <w:szCs w:val="19"/>
          <w:u w:val="single" w:color="auto"/>
          <w:color w:val="auto"/>
        </w:rPr>
        <w:t>Non-GAAP operating expenses and non-GAAP operating income</w:t>
      </w:r>
      <w:r>
        <w:rPr>
          <w:rFonts w:ascii="Arial" w:cs="Arial" w:eastAsia="Arial" w:hAnsi="Arial"/>
          <w:sz w:val="19"/>
          <w:szCs w:val="19"/>
          <w:color w:val="auto"/>
        </w:rPr>
        <w:t xml:space="preserve"> - We define non-GAAP operating expenses as operating expenses excluding certain expenses related to the amortization of intangible assets, restructuring, acquisition and integration, and goodwill impairment. We define non-GAAP operating income as operating income excluding the expenses related to the amortization of intangible assets, restructuring, acquisition and integration, and goodwill impairment.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27202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3" w:name="page14"/>
    <w:bookmarkEnd w:id="13"/>
    <w:p>
      <w:pPr>
        <w:ind w:right="60"/>
        <w:spacing w:after="0" w:line="274" w:lineRule="auto"/>
        <w:rPr>
          <w:sz w:val="20"/>
          <w:szCs w:val="20"/>
          <w:color w:val="auto"/>
        </w:rPr>
      </w:pPr>
      <w:r>
        <w:rPr>
          <w:rFonts w:ascii="Arial" w:cs="Arial" w:eastAsia="Arial" w:hAnsi="Arial"/>
          <w:sz w:val="19"/>
          <w:szCs w:val="19"/>
          <w:u w:val="single" w:color="auto"/>
          <w:color w:val="auto"/>
        </w:rPr>
        <w:t>Non-GAAP net income and non-GAAP diluted EPS</w:t>
      </w:r>
      <w:r>
        <w:rPr>
          <w:rFonts w:ascii="Arial" w:cs="Arial" w:eastAsia="Arial" w:hAnsi="Arial"/>
          <w:sz w:val="19"/>
          <w:szCs w:val="19"/>
          <w:color w:val="auto"/>
        </w:rPr>
        <w:t xml:space="preserve"> - We define non-GAAP net income as net income attributable to Itron, Inc. excluding the expenses associated with amortization of intangible assets, restructuring, acquisition and integration, goodwill impairment, amortization of debt placement fees, impact from the Tax Act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60" w:lineRule="exact"/>
        <w:rPr>
          <w:sz w:val="20"/>
          <w:szCs w:val="20"/>
          <w:color w:val="auto"/>
        </w:rPr>
      </w:pPr>
    </w:p>
    <w:p>
      <w:pPr>
        <w:spacing w:after="0" w:line="277" w:lineRule="auto"/>
        <w:rPr>
          <w:sz w:val="20"/>
          <w:szCs w:val="20"/>
          <w:color w:val="auto"/>
        </w:rPr>
      </w:pPr>
      <w:r>
        <w:rPr>
          <w:rFonts w:ascii="Arial" w:cs="Arial" w:eastAsia="Arial" w:hAnsi="Arial"/>
          <w:sz w:val="19"/>
          <w:szCs w:val="19"/>
          <w:u w:val="single" w:color="auto"/>
          <w:color w:val="auto"/>
        </w:rPr>
        <w:t>Adjusted EBITDA</w:t>
      </w:r>
      <w:r>
        <w:rPr>
          <w:rFonts w:ascii="Arial" w:cs="Arial" w:eastAsia="Arial" w:hAnsi="Arial"/>
          <w:sz w:val="19"/>
          <w:szCs w:val="19"/>
          <w:color w:val="auto"/>
        </w:rPr>
        <w:t xml:space="preserve"> - We define adjusted EBITDA as net income (a) minus interest income, (b) plus interest expense, depreciation and amortization, restructuring, acquisition and integration related expense, goodwill impairment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53"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u w:val="single" w:color="auto"/>
          <w:color w:val="auto"/>
        </w:rPr>
        <w:t>Free cash flow</w:t>
      </w:r>
      <w:r>
        <w:rPr>
          <w:rFonts w:ascii="Arial" w:cs="Arial" w:eastAsia="Arial" w:hAnsi="Arial"/>
          <w:sz w:val="21"/>
          <w:szCs w:val="21"/>
          <w:color w:val="auto"/>
        </w:rPr>
        <w:t xml:space="preserve">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79"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u w:val="single" w:color="auto"/>
          <w:color w:val="auto"/>
        </w:rPr>
        <w:t>Constant currency</w:t>
      </w:r>
      <w:r>
        <w:rPr>
          <w:rFonts w:ascii="Arial" w:cs="Arial" w:eastAsia="Arial" w:hAnsi="Arial"/>
          <w:sz w:val="19"/>
          <w:szCs w:val="19"/>
          <w:color w:val="auto"/>
        </w:rPr>
        <w:t xml:space="preserve"> - We refer to the impact of foreign currency exchange rate fluctuations in our discussions of financial results, which references the 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151"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THE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6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COMPANY RECONCILIATIONS</w:t>
            </w:r>
          </w:p>
        </w:tc>
        <w:tc>
          <w:tcPr>
            <w:tcW w:w="3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w w:val="97"/>
              </w:rPr>
              <w:t>Three Months Ended December 31,</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w w:val="98"/>
              </w:rPr>
              <w:t>Twelve Months Ended December 31,</w:t>
            </w: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4"/>
        </w:trPr>
        <w:tc>
          <w:tcPr>
            <w:tcW w:w="4960" w:type="dxa"/>
            <w:vAlign w:val="bottom"/>
          </w:tcPr>
          <w:p>
            <w:pPr>
              <w:spacing w:after="0"/>
              <w:rPr>
                <w:sz w:val="20"/>
                <w:szCs w:val="20"/>
                <w:color w:val="auto"/>
              </w:rPr>
            </w:pPr>
            <w:r>
              <w:rPr>
                <w:rFonts w:ascii="Arial" w:cs="Arial" w:eastAsia="Arial" w:hAnsi="Arial"/>
                <w:sz w:val="14"/>
                <w:szCs w:val="14"/>
                <w:b w:val="1"/>
                <w:bCs w:val="1"/>
                <w:color w:val="auto"/>
              </w:rPr>
              <w:t>NON-GAAP NET INCOME &amp; DILUTED EPS</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220"/>
              <w:spacing w:after="0"/>
              <w:rPr>
                <w:sz w:val="20"/>
                <w:szCs w:val="20"/>
                <w:color w:val="auto"/>
              </w:rPr>
            </w:pPr>
            <w:r>
              <w:rPr>
                <w:rFonts w:ascii="Arial" w:cs="Arial" w:eastAsia="Arial" w:hAnsi="Arial"/>
                <w:sz w:val="14"/>
                <w:szCs w:val="14"/>
                <w:color w:val="auto"/>
              </w:rPr>
              <w:t>GAAP net income (loss) attributable to Itron, Inc.</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23,877</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1,780</w:t>
            </w:r>
          </w:p>
        </w:tc>
        <w:tc>
          <w:tcPr>
            <w:tcW w:w="5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(99,250)</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57,298</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300" w:type="dxa"/>
            <w:vAlign w:val="bottom"/>
          </w:tcPr>
          <w:p>
            <w:pPr>
              <w:spacing w:after="0"/>
              <w:rPr>
                <w:sz w:val="15"/>
                <w:szCs w:val="15"/>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18,014</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5,641</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71,713</w:t>
            </w:r>
          </w:p>
        </w:tc>
        <w:tc>
          <w:tcPr>
            <w:tcW w:w="4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20,785</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Amortization of debt placement fees</w:t>
            </w:r>
          </w:p>
        </w:tc>
        <w:tc>
          <w:tcPr>
            <w:tcW w:w="300" w:type="dxa"/>
            <w:vAlign w:val="bottom"/>
          </w:tcPr>
          <w:p>
            <w:pPr>
              <w:spacing w:after="0"/>
              <w:rPr>
                <w:sz w:val="15"/>
                <w:szCs w:val="15"/>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1,176</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241</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6,869</w:t>
            </w:r>
          </w:p>
        </w:tc>
        <w:tc>
          <w:tcPr>
            <w:tcW w:w="4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30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(5,725)</w:t>
            </w:r>
          </w:p>
        </w:tc>
        <w:tc>
          <w:tcPr>
            <w:tcW w:w="46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(999)</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77,183</w:t>
            </w:r>
          </w:p>
        </w:tc>
        <w:tc>
          <w:tcPr>
            <w:tcW w:w="4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6,418</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Acquisition and integration related expense</w:t>
            </w:r>
          </w:p>
        </w:tc>
        <w:tc>
          <w:tcPr>
            <w:tcW w:w="300" w:type="dxa"/>
            <w:vAlign w:val="bottom"/>
          </w:tcPr>
          <w:p>
            <w:pPr>
              <w:spacing w:after="0"/>
              <w:rPr>
                <w:sz w:val="15"/>
                <w:szCs w:val="15"/>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8,042</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3,095</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91,916</w:t>
            </w:r>
          </w:p>
        </w:tc>
        <w:tc>
          <w:tcPr>
            <w:tcW w:w="4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17,139</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Tax Cuts and Jobs Act adjustment</w:t>
            </w:r>
          </w:p>
        </w:tc>
        <w:tc>
          <w:tcPr>
            <w:tcW w:w="300" w:type="dxa"/>
            <w:vAlign w:val="bottom"/>
          </w:tcPr>
          <w:p>
            <w:pPr>
              <w:spacing w:after="0"/>
              <w:rPr>
                <w:sz w:val="15"/>
                <w:szCs w:val="15"/>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30,424</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30,424</w:t>
            </w:r>
          </w:p>
        </w:tc>
        <w:tc>
          <w:tcPr>
            <w:tcW w:w="0" w:type="dxa"/>
            <w:vAlign w:val="bottom"/>
          </w:tcPr>
          <w:p>
            <w:pPr>
              <w:spacing w:after="0"/>
              <w:rPr>
                <w:sz w:val="1"/>
                <w:szCs w:val="1"/>
                <w:color w:val="auto"/>
              </w:rPr>
            </w:pPr>
          </w:p>
        </w:tc>
      </w:tr>
      <w:tr>
        <w:trPr>
          <w:trHeight w:val="181"/>
        </w:trPr>
        <w:tc>
          <w:tcPr>
            <w:tcW w:w="4960" w:type="dxa"/>
            <w:vAlign w:val="bottom"/>
          </w:tcPr>
          <w:p>
            <w:pPr>
              <w:ind w:left="420"/>
              <w:spacing w:after="0"/>
              <w:rPr>
                <w:sz w:val="20"/>
                <w:szCs w:val="20"/>
                <w:color w:val="auto"/>
              </w:rPr>
            </w:pPr>
            <w:r>
              <w:rPr>
                <w:rFonts w:ascii="Arial" w:cs="Arial" w:eastAsia="Arial" w:hAnsi="Arial"/>
                <w:sz w:val="14"/>
                <w:szCs w:val="14"/>
                <w:color w:val="auto"/>
              </w:rPr>
              <w:t>Income tax effect of non-GAAP adjustments</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(10,249)</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(391)</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(42,700)</w:t>
            </w:r>
          </w:p>
        </w:tc>
        <w:tc>
          <w:tcPr>
            <w:tcW w:w="4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(12,544)</w:t>
            </w:r>
          </w:p>
        </w:tc>
        <w:tc>
          <w:tcPr>
            <w:tcW w:w="0" w:type="dxa"/>
            <w:vAlign w:val="bottom"/>
          </w:tcPr>
          <w:p>
            <w:pPr>
              <w:spacing w:after="0"/>
              <w:rPr>
                <w:sz w:val="1"/>
                <w:szCs w:val="1"/>
                <w:color w:val="auto"/>
              </w:rPr>
            </w:pPr>
          </w:p>
        </w:tc>
      </w:tr>
      <w:tr>
        <w:trPr>
          <w:trHeight w:val="137"/>
        </w:trPr>
        <w:tc>
          <w:tcPr>
            <w:tcW w:w="4960" w:type="dxa"/>
            <w:vAlign w:val="bottom"/>
          </w:tcPr>
          <w:p>
            <w:pPr>
              <w:ind w:left="220"/>
              <w:spacing w:after="0" w:line="137" w:lineRule="exact"/>
              <w:rPr>
                <w:sz w:val="20"/>
                <w:szCs w:val="20"/>
                <w:color w:val="auto"/>
              </w:rPr>
            </w:pPr>
            <w:r>
              <w:rPr>
                <w:rFonts w:ascii="Arial" w:cs="Arial" w:eastAsia="Arial" w:hAnsi="Arial"/>
                <w:sz w:val="14"/>
                <w:szCs w:val="14"/>
                <w:color w:val="auto"/>
              </w:rPr>
              <w:t>Non-GAAP net income attributable to</w:t>
            </w: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960" w:type="dxa"/>
            <w:vAlign w:val="bottom"/>
          </w:tcPr>
          <w:p>
            <w:pPr>
              <w:ind w:left="220"/>
              <w:spacing w:after="0"/>
              <w:rPr>
                <w:sz w:val="20"/>
                <w:szCs w:val="20"/>
                <w:color w:val="auto"/>
              </w:rPr>
            </w:pPr>
            <w:r>
              <w:rPr>
                <w:rFonts w:ascii="Arial" w:cs="Arial" w:eastAsia="Arial" w:hAnsi="Arial"/>
                <w:sz w:val="14"/>
                <w:szCs w:val="14"/>
                <w:color w:val="auto"/>
              </w:rPr>
              <w:t>Itron, Inc.</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35,135</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39,791</w:t>
            </w:r>
          </w:p>
        </w:tc>
        <w:tc>
          <w:tcPr>
            <w:tcW w:w="200" w:type="dxa"/>
            <w:vAlign w:val="bottom"/>
          </w:tcPr>
          <w:p>
            <w:pPr>
              <w:spacing w:after="0"/>
              <w:rPr>
                <w:sz w:val="15"/>
                <w:szCs w:val="15"/>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105,731</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120,486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960" w:type="dxa"/>
            <w:vAlign w:val="bottom"/>
          </w:tcPr>
          <w:p>
            <w:pPr>
              <w:ind w:left="220"/>
              <w:spacing w:after="0"/>
              <w:rPr>
                <w:sz w:val="20"/>
                <w:szCs w:val="20"/>
                <w:color w:val="auto"/>
              </w:rPr>
            </w:pPr>
            <w:r>
              <w:rPr>
                <w:rFonts w:ascii="Arial" w:cs="Arial" w:eastAsia="Arial" w:hAnsi="Arial"/>
                <w:sz w:val="14"/>
                <w:szCs w:val="14"/>
                <w:color w:val="auto"/>
              </w:rPr>
              <w:t>Non-GAAP diluted EPS</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0.88</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1.01</w:t>
            </w:r>
          </w:p>
        </w:tc>
        <w:tc>
          <w:tcPr>
            <w:tcW w:w="5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2.65</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960" w:type="dxa"/>
            <w:vAlign w:val="bottom"/>
          </w:tcPr>
          <w:p>
            <w:pPr>
              <w:ind w:left="220"/>
              <w:spacing w:after="0"/>
              <w:rPr>
                <w:sz w:val="20"/>
                <w:szCs w:val="20"/>
                <w:color w:val="auto"/>
              </w:rPr>
            </w:pPr>
            <w:r>
              <w:rPr>
                <w:rFonts w:ascii="Arial" w:cs="Arial" w:eastAsia="Arial" w:hAnsi="Arial"/>
                <w:sz w:val="14"/>
                <w:szCs w:val="14"/>
                <w:color w:val="auto"/>
              </w:rPr>
              <w:t>Weighted average common shares outstanding - Diluted</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39,885</w:t>
            </w: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39,530</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39,840</w:t>
            </w: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39,387</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ADJUSTED EBITDA</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220"/>
              <w:spacing w:after="0"/>
              <w:rPr>
                <w:sz w:val="20"/>
                <w:szCs w:val="20"/>
                <w:color w:val="auto"/>
              </w:rPr>
            </w:pPr>
            <w:r>
              <w:rPr>
                <w:rFonts w:ascii="Arial" w:cs="Arial" w:eastAsia="Arial" w:hAnsi="Arial"/>
                <w:sz w:val="14"/>
                <w:szCs w:val="14"/>
                <w:color w:val="auto"/>
              </w:rPr>
              <w:t>GAAP net income (loss) attributable to Itron, Inc.</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23,877</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1,780</w:t>
            </w:r>
          </w:p>
        </w:tc>
        <w:tc>
          <w:tcPr>
            <w:tcW w:w="5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(99,250)</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57,298</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(428)</w:t>
            </w:r>
          </w:p>
        </w:tc>
        <w:tc>
          <w:tcPr>
            <w:tcW w:w="46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(658)</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(2,153)</w:t>
            </w:r>
          </w:p>
        </w:tc>
        <w:tc>
          <w:tcPr>
            <w:tcW w:w="48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5"/>
                <w:szCs w:val="15"/>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13,883</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3,769</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58,203</w:t>
            </w:r>
          </w:p>
        </w:tc>
        <w:tc>
          <w:tcPr>
            <w:tcW w:w="4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13,845</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Income tax (benefit) provision</w:t>
            </w:r>
          </w:p>
        </w:tc>
        <w:tc>
          <w:tcPr>
            <w:tcW w:w="30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(10,878)</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42,079</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(12,570)</w:t>
            </w:r>
          </w:p>
        </w:tc>
        <w:tc>
          <w:tcPr>
            <w:tcW w:w="4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74,326</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5"/>
                <w:szCs w:val="15"/>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30,069</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17,215</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122,497</w:t>
            </w:r>
          </w:p>
        </w:tc>
        <w:tc>
          <w:tcPr>
            <w:tcW w:w="4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63,215</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30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(5,725)</w:t>
            </w:r>
          </w:p>
        </w:tc>
        <w:tc>
          <w:tcPr>
            <w:tcW w:w="46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(999)</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77,183</w:t>
            </w:r>
          </w:p>
        </w:tc>
        <w:tc>
          <w:tcPr>
            <w:tcW w:w="4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6,418</w:t>
            </w:r>
          </w:p>
        </w:tc>
        <w:tc>
          <w:tcPr>
            <w:tcW w:w="0" w:type="dxa"/>
            <w:vAlign w:val="bottom"/>
          </w:tcPr>
          <w:p>
            <w:pPr>
              <w:spacing w:after="0"/>
              <w:rPr>
                <w:sz w:val="1"/>
                <w:szCs w:val="1"/>
                <w:color w:val="auto"/>
              </w:rPr>
            </w:pPr>
          </w:p>
        </w:tc>
      </w:tr>
      <w:tr>
        <w:trPr>
          <w:trHeight w:val="181"/>
        </w:trPr>
        <w:tc>
          <w:tcPr>
            <w:tcW w:w="4960" w:type="dxa"/>
            <w:vAlign w:val="bottom"/>
          </w:tcPr>
          <w:p>
            <w:pPr>
              <w:ind w:left="420"/>
              <w:spacing w:after="0"/>
              <w:rPr>
                <w:sz w:val="20"/>
                <w:szCs w:val="20"/>
                <w:color w:val="auto"/>
              </w:rPr>
            </w:pPr>
            <w:r>
              <w:rPr>
                <w:rFonts w:ascii="Arial" w:cs="Arial" w:eastAsia="Arial" w:hAnsi="Arial"/>
                <w:sz w:val="14"/>
                <w:szCs w:val="14"/>
                <w:color w:val="auto"/>
              </w:rPr>
              <w:t>Acquisition and integration related expense</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8,042</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3,095</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91,916</w:t>
            </w:r>
          </w:p>
        </w:tc>
        <w:tc>
          <w:tcPr>
            <w:tcW w:w="4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17,139</w:t>
            </w:r>
          </w:p>
        </w:tc>
        <w:tc>
          <w:tcPr>
            <w:tcW w:w="0" w:type="dxa"/>
            <w:vAlign w:val="bottom"/>
          </w:tcPr>
          <w:p>
            <w:pPr>
              <w:spacing w:after="0"/>
              <w:rPr>
                <w:sz w:val="1"/>
                <w:szCs w:val="1"/>
                <w:color w:val="auto"/>
              </w:rPr>
            </w:pPr>
          </w:p>
        </w:tc>
      </w:tr>
      <w:tr>
        <w:trPr>
          <w:trHeight w:val="169"/>
        </w:trPr>
        <w:tc>
          <w:tcPr>
            <w:tcW w:w="4960" w:type="dxa"/>
            <w:vAlign w:val="bottom"/>
          </w:tcPr>
          <w:p>
            <w:pPr>
              <w:ind w:left="220"/>
              <w:spacing w:after="0"/>
              <w:rPr>
                <w:sz w:val="20"/>
                <w:szCs w:val="20"/>
                <w:color w:val="auto"/>
              </w:rPr>
            </w:pPr>
            <w:r>
              <w:rPr>
                <w:rFonts w:ascii="Arial" w:cs="Arial" w:eastAsia="Arial" w:hAnsi="Arial"/>
                <w:sz w:val="14"/>
                <w:szCs w:val="14"/>
                <w:color w:val="auto"/>
              </w:rPr>
              <w:t>Adjusted EBITDA</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58,840</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66,281</w:t>
            </w:r>
          </w:p>
        </w:tc>
        <w:tc>
          <w:tcPr>
            <w:tcW w:w="2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235,826</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230,115</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FREE CASH FLOW</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42,372</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76,853</w:t>
            </w:r>
          </w:p>
        </w:tc>
        <w:tc>
          <w:tcPr>
            <w:tcW w:w="5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109,755</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191,354</w:t>
            </w:r>
          </w:p>
        </w:tc>
        <w:tc>
          <w:tcPr>
            <w:tcW w:w="0" w:type="dxa"/>
            <w:vAlign w:val="bottom"/>
          </w:tcPr>
          <w:p>
            <w:pPr>
              <w:spacing w:after="0"/>
              <w:rPr>
                <w:sz w:val="1"/>
                <w:szCs w:val="1"/>
                <w:color w:val="auto"/>
              </w:rPr>
            </w:pPr>
          </w:p>
        </w:tc>
      </w:tr>
      <w:tr>
        <w:trPr>
          <w:trHeight w:val="181"/>
        </w:trPr>
        <w:tc>
          <w:tcPr>
            <w:tcW w:w="4960" w:type="dxa"/>
            <w:vAlign w:val="bottom"/>
          </w:tcPr>
          <w:p>
            <w:pPr>
              <w:ind w:left="420"/>
              <w:spacing w:after="0"/>
              <w:rPr>
                <w:sz w:val="20"/>
                <w:szCs w:val="20"/>
                <w:color w:val="auto"/>
              </w:rPr>
            </w:pPr>
            <w:r>
              <w:rPr>
                <w:rFonts w:ascii="Arial" w:cs="Arial" w:eastAsia="Arial" w:hAnsi="Arial"/>
                <w:sz w:val="14"/>
                <w:szCs w:val="14"/>
                <w:color w:val="auto"/>
              </w:rPr>
              <w:t>Acquisitions of property, plant, and equipment</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(17,459)</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(16,002)</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(59,952)</w:t>
            </w:r>
          </w:p>
        </w:tc>
        <w:tc>
          <w:tcPr>
            <w:tcW w:w="4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(49,495)</w:t>
            </w:r>
          </w:p>
        </w:tc>
        <w:tc>
          <w:tcPr>
            <w:tcW w:w="0" w:type="dxa"/>
            <w:vAlign w:val="bottom"/>
          </w:tcPr>
          <w:p>
            <w:pPr>
              <w:spacing w:after="0"/>
              <w:rPr>
                <w:sz w:val="1"/>
                <w:szCs w:val="1"/>
                <w:color w:val="auto"/>
              </w:rPr>
            </w:pPr>
          </w:p>
        </w:tc>
      </w:tr>
      <w:tr>
        <w:trPr>
          <w:trHeight w:val="169"/>
        </w:trPr>
        <w:tc>
          <w:tcPr>
            <w:tcW w:w="4960" w:type="dxa"/>
            <w:vAlign w:val="bottom"/>
          </w:tcPr>
          <w:p>
            <w:pPr>
              <w:ind w:left="220"/>
              <w:spacing w:after="0"/>
              <w:rPr>
                <w:sz w:val="20"/>
                <w:szCs w:val="20"/>
                <w:color w:val="auto"/>
              </w:rPr>
            </w:pPr>
            <w:r>
              <w:rPr>
                <w:rFonts w:ascii="Arial" w:cs="Arial" w:eastAsia="Arial" w:hAnsi="Arial"/>
                <w:sz w:val="14"/>
                <w:szCs w:val="14"/>
                <w:color w:val="auto"/>
              </w:rPr>
              <w:t>Free Cash Flow</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24,913</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60,851</w:t>
            </w:r>
          </w:p>
        </w:tc>
        <w:tc>
          <w:tcPr>
            <w:tcW w:w="2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49,803</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141,859</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NON-GAAP OPERATING INCOME</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220"/>
              <w:spacing w:after="0"/>
              <w:rPr>
                <w:sz w:val="20"/>
                <w:szCs w:val="20"/>
                <w:color w:val="auto"/>
              </w:rPr>
            </w:pPr>
            <w:r>
              <w:rPr>
                <w:rFonts w:ascii="Arial" w:cs="Arial" w:eastAsia="Arial" w:hAnsi="Arial"/>
                <w:sz w:val="14"/>
                <w:szCs w:val="14"/>
                <w:color w:val="auto"/>
              </w:rPr>
              <w:t>GAAP operating income (loss)</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28,517</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48,196</w:t>
            </w:r>
          </w:p>
        </w:tc>
        <w:tc>
          <w:tcPr>
            <w:tcW w:w="5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(49,692)</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154,877</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300" w:type="dxa"/>
            <w:vAlign w:val="bottom"/>
          </w:tcPr>
          <w:p>
            <w:pPr>
              <w:spacing w:after="0"/>
              <w:rPr>
                <w:sz w:val="15"/>
                <w:szCs w:val="15"/>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18,014</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5,641</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71,713</w:t>
            </w:r>
          </w:p>
        </w:tc>
        <w:tc>
          <w:tcPr>
            <w:tcW w:w="4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20,785</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30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(5,725)</w:t>
            </w:r>
          </w:p>
        </w:tc>
        <w:tc>
          <w:tcPr>
            <w:tcW w:w="46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(999)</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77,183</w:t>
            </w:r>
          </w:p>
        </w:tc>
        <w:tc>
          <w:tcPr>
            <w:tcW w:w="48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6,418</w:t>
            </w:r>
          </w:p>
        </w:tc>
        <w:tc>
          <w:tcPr>
            <w:tcW w:w="0" w:type="dxa"/>
            <w:vAlign w:val="bottom"/>
          </w:tcPr>
          <w:p>
            <w:pPr>
              <w:spacing w:after="0"/>
              <w:rPr>
                <w:sz w:val="1"/>
                <w:szCs w:val="1"/>
                <w:color w:val="auto"/>
              </w:rPr>
            </w:pPr>
          </w:p>
        </w:tc>
      </w:tr>
      <w:tr>
        <w:trPr>
          <w:trHeight w:val="181"/>
        </w:trPr>
        <w:tc>
          <w:tcPr>
            <w:tcW w:w="4960" w:type="dxa"/>
            <w:vAlign w:val="bottom"/>
          </w:tcPr>
          <w:p>
            <w:pPr>
              <w:ind w:left="420"/>
              <w:spacing w:after="0"/>
              <w:rPr>
                <w:sz w:val="20"/>
                <w:szCs w:val="20"/>
                <w:color w:val="auto"/>
              </w:rPr>
            </w:pPr>
            <w:r>
              <w:rPr>
                <w:rFonts w:ascii="Arial" w:cs="Arial" w:eastAsia="Arial" w:hAnsi="Arial"/>
                <w:sz w:val="14"/>
                <w:szCs w:val="14"/>
                <w:color w:val="auto"/>
              </w:rPr>
              <w:t>Acquisition and integration related expense</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8,042</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3,095</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91,916</w:t>
            </w:r>
          </w:p>
        </w:tc>
        <w:tc>
          <w:tcPr>
            <w:tcW w:w="4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17,139</w:t>
            </w:r>
          </w:p>
        </w:tc>
        <w:tc>
          <w:tcPr>
            <w:tcW w:w="0" w:type="dxa"/>
            <w:vAlign w:val="bottom"/>
          </w:tcPr>
          <w:p>
            <w:pPr>
              <w:spacing w:after="0"/>
              <w:rPr>
                <w:sz w:val="1"/>
                <w:szCs w:val="1"/>
                <w:color w:val="auto"/>
              </w:rPr>
            </w:pPr>
          </w:p>
        </w:tc>
      </w:tr>
      <w:tr>
        <w:trPr>
          <w:trHeight w:val="169"/>
        </w:trPr>
        <w:tc>
          <w:tcPr>
            <w:tcW w:w="4960" w:type="dxa"/>
            <w:vAlign w:val="bottom"/>
          </w:tcPr>
          <w:p>
            <w:pPr>
              <w:ind w:left="220"/>
              <w:spacing w:after="0"/>
              <w:rPr>
                <w:sz w:val="20"/>
                <w:szCs w:val="20"/>
                <w:color w:val="auto"/>
              </w:rPr>
            </w:pPr>
            <w:r>
              <w:rPr>
                <w:rFonts w:ascii="Arial" w:cs="Arial" w:eastAsia="Arial" w:hAnsi="Arial"/>
                <w:sz w:val="14"/>
                <w:szCs w:val="14"/>
                <w:color w:val="auto"/>
              </w:rPr>
              <w:t>Non-GAAP operating income</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48,848</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55,933</w:t>
            </w:r>
          </w:p>
        </w:tc>
        <w:tc>
          <w:tcPr>
            <w:tcW w:w="2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191,120</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199,219</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NON-GAAP OPERATING EXPENSES</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60" w:type="dxa"/>
            <w:vAlign w:val="bottom"/>
          </w:tcPr>
          <w:p>
            <w:pPr>
              <w:ind w:left="220"/>
              <w:spacing w:after="0"/>
              <w:rPr>
                <w:sz w:val="20"/>
                <w:szCs w:val="20"/>
                <w:color w:val="auto"/>
              </w:rPr>
            </w:pPr>
            <w:r>
              <w:rPr>
                <w:rFonts w:ascii="Arial" w:cs="Arial" w:eastAsia="Arial" w:hAnsi="Arial"/>
                <w:sz w:val="14"/>
                <w:szCs w:val="14"/>
                <w:color w:val="auto"/>
              </w:rPr>
              <w:t>GAAP operating expenses</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148,273</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126,886</w:t>
            </w:r>
          </w:p>
        </w:tc>
        <w:tc>
          <w:tcPr>
            <w:tcW w:w="5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780,011</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521,874</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30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(18,014)</w:t>
            </w:r>
          </w:p>
        </w:tc>
        <w:tc>
          <w:tcPr>
            <w:tcW w:w="46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(5,641)</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(71,713)</w:t>
            </w:r>
          </w:p>
        </w:tc>
        <w:tc>
          <w:tcPr>
            <w:tcW w:w="48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(20,785)</w:t>
            </w:r>
          </w:p>
        </w:tc>
        <w:tc>
          <w:tcPr>
            <w:tcW w:w="0" w:type="dxa"/>
            <w:vAlign w:val="bottom"/>
          </w:tcPr>
          <w:p>
            <w:pPr>
              <w:spacing w:after="0"/>
              <w:rPr>
                <w:sz w:val="1"/>
                <w:szCs w:val="1"/>
                <w:color w:val="auto"/>
              </w:rPr>
            </w:pPr>
          </w:p>
        </w:tc>
      </w:tr>
      <w:tr>
        <w:trPr>
          <w:trHeight w:val="176"/>
        </w:trPr>
        <w:tc>
          <w:tcPr>
            <w:tcW w:w="496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300" w:type="dxa"/>
            <w:vAlign w:val="bottom"/>
          </w:tcPr>
          <w:p>
            <w:pPr>
              <w:spacing w:after="0"/>
              <w:rPr>
                <w:sz w:val="15"/>
                <w:szCs w:val="15"/>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5,725</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999</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(77,183)</w:t>
            </w:r>
          </w:p>
        </w:tc>
        <w:tc>
          <w:tcPr>
            <w:tcW w:w="48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(6,418)</w:t>
            </w:r>
          </w:p>
        </w:tc>
        <w:tc>
          <w:tcPr>
            <w:tcW w:w="0" w:type="dxa"/>
            <w:vAlign w:val="bottom"/>
          </w:tcPr>
          <w:p>
            <w:pPr>
              <w:spacing w:after="0"/>
              <w:rPr>
                <w:sz w:val="1"/>
                <w:szCs w:val="1"/>
                <w:color w:val="auto"/>
              </w:rPr>
            </w:pPr>
          </w:p>
        </w:tc>
      </w:tr>
      <w:tr>
        <w:trPr>
          <w:trHeight w:val="181"/>
        </w:trPr>
        <w:tc>
          <w:tcPr>
            <w:tcW w:w="4960" w:type="dxa"/>
            <w:vAlign w:val="bottom"/>
          </w:tcPr>
          <w:p>
            <w:pPr>
              <w:ind w:left="420"/>
              <w:spacing w:after="0"/>
              <w:rPr>
                <w:sz w:val="20"/>
                <w:szCs w:val="20"/>
                <w:color w:val="auto"/>
              </w:rPr>
            </w:pPr>
            <w:r>
              <w:rPr>
                <w:rFonts w:ascii="Arial" w:cs="Arial" w:eastAsia="Arial" w:hAnsi="Arial"/>
                <w:sz w:val="14"/>
                <w:szCs w:val="14"/>
                <w:color w:val="auto"/>
              </w:rPr>
              <w:t>Acquisition and integration related expense</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(8,042)</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(3,095)</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(91,916)</w:t>
            </w:r>
          </w:p>
        </w:tc>
        <w:tc>
          <w:tcPr>
            <w:tcW w:w="4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(17,139)</w:t>
            </w:r>
          </w:p>
        </w:tc>
        <w:tc>
          <w:tcPr>
            <w:tcW w:w="0" w:type="dxa"/>
            <w:vAlign w:val="bottom"/>
          </w:tcPr>
          <w:p>
            <w:pPr>
              <w:spacing w:after="0"/>
              <w:rPr>
                <w:sz w:val="1"/>
                <w:szCs w:val="1"/>
                <w:color w:val="auto"/>
              </w:rPr>
            </w:pPr>
          </w:p>
        </w:tc>
      </w:tr>
      <w:tr>
        <w:trPr>
          <w:trHeight w:val="169"/>
        </w:trPr>
        <w:tc>
          <w:tcPr>
            <w:tcW w:w="4960" w:type="dxa"/>
            <w:vAlign w:val="bottom"/>
          </w:tcPr>
          <w:p>
            <w:pPr>
              <w:ind w:left="220"/>
              <w:spacing w:after="0"/>
              <w:rPr>
                <w:sz w:val="20"/>
                <w:szCs w:val="20"/>
                <w:color w:val="auto"/>
              </w:rPr>
            </w:pPr>
            <w:r>
              <w:rPr>
                <w:rFonts w:ascii="Arial" w:cs="Arial" w:eastAsia="Arial" w:hAnsi="Arial"/>
                <w:sz w:val="14"/>
                <w:szCs w:val="14"/>
                <w:color w:val="auto"/>
              </w:rPr>
              <w:t>Non-GAAP operating expenses</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127,942</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119,149</w:t>
            </w:r>
          </w:p>
        </w:tc>
        <w:tc>
          <w:tcPr>
            <w:tcW w:w="2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539,199</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477,532</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Kenneth P. Gianella</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(669) 770-4643</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Rebecca Hussey</w:t>
      </w:r>
    </w:p>
    <w:p>
      <w:pPr>
        <w:spacing w:after="0" w:line="238" w:lineRule="auto"/>
        <w:rPr>
          <w:sz w:val="20"/>
          <w:szCs w:val="20"/>
          <w:color w:val="auto"/>
        </w:rPr>
      </w:pPr>
      <w:r>
        <w:rPr>
          <w:rFonts w:ascii="Arial" w:cs="Arial" w:eastAsia="Arial" w:hAnsi="Arial"/>
          <w:sz w:val="22"/>
          <w:szCs w:val="22"/>
          <w:color w:val="auto"/>
        </w:rPr>
        <w:t>Manager, Investor Relations</w:t>
      </w:r>
    </w:p>
    <w:p>
      <w:pPr>
        <w:spacing w:after="0"/>
        <w:rPr>
          <w:sz w:val="20"/>
          <w:szCs w:val="20"/>
          <w:color w:val="auto"/>
        </w:rPr>
      </w:pPr>
      <w:r>
        <w:rPr>
          <w:rFonts w:ascii="Arial" w:cs="Arial" w:eastAsia="Arial" w:hAnsi="Arial"/>
          <w:sz w:val="22"/>
          <w:szCs w:val="22"/>
          <w:color w:val="auto"/>
        </w:rPr>
        <w:t>(509) 891-3574</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1"/>
      <w:numFmt w:val="decimal"/>
      <w:start w:val="36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2019-12-28T15:47:21Z</dcterms:created>
  <dcterms:modified xsi:type="dcterms:W3CDTF">2019-12-28T15:47:21Z</dcterms:modified>
</cp:coreProperties>
</file>