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September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ectPr>
          <w:pgSz w:w="11900" w:h="16838" w:orient="portrait"/>
          <w:cols w:equalWidth="0" w:num="1">
            <w:col w:w="11420"/>
          </w:cols>
          <w:pgMar w:left="240" w:top="234" w:right="239" w:bottom="1440" w:gutter="0" w:footer="0" w:header="0"/>
        </w:sectPr>
      </w:pPr>
    </w:p>
    <w:bookmarkStart w:id="1" w:name="page2"/>
    <w:bookmarkEnd w:id="1"/>
    <w:p>
      <w:pPr>
        <w:jc w:val="both"/>
        <w:spacing w:after="0" w:line="244" w:lineRule="auto"/>
        <w:rPr>
          <w:sz w:val="20"/>
          <w:szCs w:val="20"/>
          <w:color w:val="auto"/>
        </w:rPr>
      </w:pPr>
      <w:r>
        <w:rPr>
          <w:rFonts w:ascii="Arial" w:cs="Arial" w:eastAsia="Arial" w:hAnsi="Arial"/>
          <w:sz w:val="20"/>
          <w:szCs w:val="20"/>
          <w:color w:val="auto"/>
        </w:rPr>
        <w:t>The Audit/Finance Committee of the Board of Directors (the Board) and the management of Itron, Inc. (Itron or the Company) conducted a comprehensive, competitive process to determine the Company’s independent registered public accounting firm for the Company’s year ending December 31, 2016. On September 10, 2015, the Board approved the appointment of Deloitte &amp; Touche LLP (Deloitte) as the Company’s independent registered public accounting firm for the year ending December 31, 2016. The appointment is subject to completion by Deloitte of its customary client acceptance procedures.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Additionally on September 10, 2015, the Board approved the dismissal of Ernst &amp; Young LLP (EY) as independent registered public accounting firm of the Company effective following the issuance by EY of its reports on the Company’s consolidated financial statements for the year ending December 31, 2015 and the effectiveness of internal control over financial reporting of the Company as of December 31, 2015, both reports to be included in Itron’s Annual Report on Form 10-K for the year ending December 31, 2015.</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reports of EY on the Company’s consolidated financial statements for the past two fiscal years did not contain an adverse opinion or disclaimer of opinion and were not qualified or modified as to uncertainty, audit scope, or accounting principles.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audits of the Company’s consolidated financial statements for each of the two fiscal years ended December 31, 2014 and 2013, and in the subsequent interim period through September 11, 2015, there were no disagreements with EY on any matters of accounting principles or practices, financial statement disclosure, or auditing scope and procedures which, if not resolved to the satisfaction of EY, would have caused EY to make reference to such matter in its report.</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has requested EY to furnish a letter addressed to the Securities and Exchange Commission stating whether it agrees with the above statements. A copy of that letter, dated September 11, 2015, is filed as Exhibit 16.1 to this Form 8-K.</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During the years ended December 31, 2014 and 2013 and during the interim period through September 11, 2015, neither the Company nor anyone on its behalf has consulted with Deloitte (1) on any matter regarding the application of accounting principles to a specified transaction, either completed or proposed, or the type of audit opinion that might be rendered on Itron’s financial statements, and neither a written report nor oral advice was provided to Itron that Deloitte concluded was an important factor considered by Itron in reaching a decision as to the accounting, auditing, or financial reporting issue, (2) on any matter that would have been the subject of a disagreement, as defined by Item 304(a)(1)(iv) of Regulation S-K or (3) on any matter that would have been a reportable event, as defined by Item 304(a)(1)(v) of Regulation S-K.</w:t>
      </w:r>
    </w:p>
    <w:p>
      <w:pPr>
        <w:spacing w:after="0" w:line="200" w:lineRule="exact"/>
        <w:rPr>
          <w:sz w:val="20"/>
          <w:szCs w:val="20"/>
          <w:color w:val="auto"/>
        </w:rPr>
      </w:pPr>
    </w:p>
    <w:p>
      <w:pPr>
        <w:spacing w:after="0" w:line="37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251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315"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Letter of Ernst &amp; Young LLP dated September 11, 2015.</w:t>
      </w:r>
    </w:p>
    <w:p>
      <w:pPr>
        <w:sectPr>
          <w:pgSz w:w="11900" w:h="16838" w:orient="portrait"/>
          <w:cols w:equalWidth="0" w:num="1">
            <w:col w:w="11420"/>
          </w:cols>
          <w:pgMar w:left="240" w:top="352"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4460" w:type="dxa"/>
            <w:vAlign w:val="bottom"/>
            <w:gridSpan w:val="2"/>
          </w:tcPr>
          <w:p>
            <w:pPr>
              <w:ind w:left="3340"/>
              <w:spacing w:after="0"/>
              <w:rPr>
                <w:sz w:val="20"/>
                <w:szCs w:val="20"/>
                <w:color w:val="auto"/>
              </w:rPr>
            </w:pPr>
            <w:r>
              <w:rPr>
                <w:rFonts w:ascii="Arial" w:cs="Arial" w:eastAsia="Arial" w:hAnsi="Arial"/>
                <w:sz w:val="20"/>
                <w:szCs w:val="20"/>
                <w:color w:val="auto"/>
                <w:w w:val="97"/>
              </w:rPr>
              <w:t>ITRON, INC.</w:t>
            </w:r>
          </w:p>
        </w:tc>
        <w:tc>
          <w:tcPr>
            <w:tcW w:w="4740" w:type="dxa"/>
            <w:vAlign w:val="bottom"/>
          </w:tcPr>
          <w:p>
            <w:pPr>
              <w:spacing w:after="0"/>
              <w:rPr>
                <w:sz w:val="21"/>
                <w:szCs w:val="21"/>
                <w:color w:val="auto"/>
              </w:rPr>
            </w:pPr>
          </w:p>
        </w:tc>
      </w:tr>
      <w:tr>
        <w:trPr>
          <w:trHeight w:val="608"/>
        </w:trPr>
        <w:tc>
          <w:tcPr>
            <w:tcW w:w="4460" w:type="dxa"/>
            <w:vAlign w:val="bottom"/>
            <w:gridSpan w:val="2"/>
          </w:tcPr>
          <w:p>
            <w:pPr>
              <w:ind w:left="334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6"/>
              </w:rPr>
              <w:t>/s/ W. MARK SCHMITZ</w:t>
            </w:r>
          </w:p>
        </w:tc>
      </w:tr>
      <w:tr>
        <w:trPr>
          <w:trHeight w:val="23"/>
        </w:trPr>
        <w:tc>
          <w:tcPr>
            <w:tcW w:w="3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254"/>
        </w:trPr>
        <w:tc>
          <w:tcPr>
            <w:tcW w:w="4460" w:type="dxa"/>
            <w:vAlign w:val="bottom"/>
            <w:gridSpan w:val="2"/>
          </w:tcPr>
          <w:p>
            <w:pPr>
              <w:spacing w:after="0"/>
              <w:rPr>
                <w:sz w:val="20"/>
                <w:szCs w:val="20"/>
                <w:color w:val="auto"/>
              </w:rPr>
            </w:pPr>
            <w:r>
              <w:rPr>
                <w:rFonts w:ascii="Arial" w:cs="Arial" w:eastAsia="Arial" w:hAnsi="Arial"/>
                <w:sz w:val="20"/>
                <w:szCs w:val="20"/>
                <w:color w:val="auto"/>
              </w:rPr>
              <w:t>Dated: September 11, 2015</w:t>
            </w: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Arial" w:cs="Arial" w:eastAsia="Arial" w:hAnsi="Arial"/>
                <w:sz w:val="20"/>
                <w:szCs w:val="20"/>
                <w:color w:val="auto"/>
                <w:w w:val="91"/>
              </w:rPr>
              <w:t>Executive Vice President and Chief Financial Officer</w:t>
            </w:r>
          </w:p>
        </w:tc>
      </w:tr>
    </w:tbl>
    <w:p>
      <w:pPr>
        <w:sectPr>
          <w:pgSz w:w="11900" w:h="16838" w:orient="portrait"/>
          <w:cols w:equalWidth="0" w:num="1">
            <w:col w:w="11300"/>
          </w:cols>
          <w:pgMar w:left="240" w:top="562" w:right="359" w:bottom="1440" w:gutter="0" w:footer="0" w:header="0"/>
        </w:sectPr>
      </w:pPr>
    </w:p>
    <w:bookmarkStart w:id="3" w:name="page4"/>
    <w:bookmarkEnd w:id="3"/>
    <w:p>
      <w:pPr>
        <w:jc w:val="center"/>
        <w:ind w:right="-380"/>
        <w:spacing w:after="0"/>
        <w:rPr>
          <w:sz w:val="20"/>
          <w:szCs w:val="20"/>
          <w:color w:val="auto"/>
        </w:rPr>
      </w:pPr>
      <w:r>
        <w:rPr>
          <w:rFonts w:ascii="Arial" w:cs="Arial" w:eastAsia="Arial" w:hAnsi="Arial"/>
          <w:sz w:val="20"/>
          <w:szCs w:val="20"/>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6251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315"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8"/>
          <w:szCs w:val="18"/>
          <w:color w:val="auto"/>
        </w:rPr>
        <w:t>Letter of Ernst &amp; Young LLP dated September 11, 2015.</w:t>
      </w:r>
    </w:p>
    <w:p>
      <w:pPr>
        <w:sectPr>
          <w:pgSz w:w="11900" w:h="16838" w:orient="portrait"/>
          <w:cols w:equalWidth="0" w:num="1">
            <w:col w:w="9399"/>
          </w:cols>
          <w:pgMar w:left="1060" w:top="33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September 11,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We have read Item 4.01 of Form 8-K dated September 11, 2015, of Itron, Inc. and are in agreement with the statements contained in the second, third and fourth paragraphs on page 2 therein. We have no basis to agree or disagree with other statements of the registrant contained therein.</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2019-12-05T22:40:52Z</dcterms:created>
  <dcterms:modified xsi:type="dcterms:W3CDTF">2019-12-05T22:40:52Z</dcterms:modified>
</cp:coreProperties>
</file>