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27, 2026, Itron, Inc. issued a press release announcing its financial results for the three and nine months ended September 30, 2026. A copy of this press release and accompanying financial statements are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17"/>
                <w:szCs w:val="17"/>
                <w:color w:val="auto"/>
              </w:rPr>
            </w:pPr>
          </w:p>
        </w:tc>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8"/>
              </w:rPr>
              <w:t>Press Release Dated October 27, 2026.*</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r>
    </w:tbl>
    <w:p>
      <w:pPr>
        <w:spacing w:after="0" w:line="9" w:lineRule="exact"/>
        <w:rPr>
          <w:sz w:val="20"/>
          <w:szCs w:val="20"/>
          <w:color w:val="auto"/>
        </w:rPr>
      </w:pPr>
    </w:p>
    <w:p>
      <w:pPr>
        <w:ind w:left="1460" w:hanging="1452"/>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2025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1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41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r>
    </w:tbl>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603" w:right="379" w:bottom="1440" w:gutter="0" w:footer="0" w:header="0"/>
        </w:sectPr>
      </w:pPr>
    </w:p>
    <w:bookmarkStart w:id="3" w:name="page4"/>
    <w:bookmarkEnd w:id="3"/>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Third Quarter 2026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LIBERTY LAKE, Wash., Oct. 27, 2026 (GLOBE NEWSWIRE) -- Itron, Inc. (NASDAQ: ITRI), which is innovating new ways for utilities and cities to manage energy and water, announced today financial results for its third quarter ended September 30, 2026. Key results for the quarter include (compared with the third quarter of 2025):</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$599 million, increased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Annual recurring revenue of $423 million, increased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net income attributable to Itron, Inc. of $71 million, increased $6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diluted earnings per share of $1.61, increased $0.20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Non-GAAP diluted EPS of $1.94, increased $0.40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EBITDA of $115 million, increased 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Free cash flow of $96 million, decreased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“Itron delivered a strong third quarter, with revenue returning to growth at the top end of our outlook, record adjusted EBITDA, and earnings well ahead of our expectations — demonstrating the earnings leverage of our stronger operating model,” said Tom Deitrich, Itron’s President and CEO. “Utilities’ needs for capacity, reliability, resiliency, and affordability continue to drive demand for our technology, while our expanding software and services portfolio is supporting recurring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Third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Total third quarter revenue of $599 million compared to $582 million in the prior year. The increase was driven primarily by growth in Outcomes and the contribution from Resiliency Solutions.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Device Solutions revenue decreased 2%, or 1% in constant currency due to lower legacy gas product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Networked Solutions revenue decreased 1% due to the timing of project deployments.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Outcomes revenue increased 9% due to higher services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Resiliency Solutions revenue was $16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Adjusted Gross Margin</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Itron's third quarter adjusted gross margin of 41.3% increased 350 basis points from the prior year due to customer and product mix as well as operational efficiencies.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Operating Expenses and Operating Income</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GAAP operating expenses of $149 million increased $12 million and non-GAAP operating expenses of $141 million increased $10 million from the prior year due to the Urbint and Locusview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GAAP operating income of $95 million was $14 million higher due to higher gross profit.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Non-GAAP operating income of $107 million was $18 million higher than the prior year due to higher gross profit, partially offset by higher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 (EPS)</w:t>
      </w:r>
    </w:p>
    <w:p>
      <w:pPr>
        <w:spacing w:after="0" w:line="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Net income attributable to Itron, Inc. for the quarter was $71 million, or $1.61 per diluted share, compared with net income attributable to Itron, Inc. of $66 million, or $1.41 per diluted share in 2025. The increase was driven by higher operating income.</w:t>
      </w:r>
    </w:p>
    <w:p>
      <w:pPr>
        <w:spacing w:after="0" w:line="1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Non-GAAP net income attributable to Itron, Inc., which excludes the expenses associated with amortization of intangible assets, amortization of debt placement fees, restructuring, loss on sale of business, strategic initiative expense, acquisition and integration related expenses, gain on the sale of equity method investments, and the tax effect of excluding these expenses, was $86 million, or $1.94 per diluted share, compared with $72 million, or $1.54 per diluted share, in 2025. The increase was driven by higher non-GAAP operating income and lower non-GAAP taxes.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cash provided by operating activities was $102 million in the third quarter compared with $118 million in the prior year. Free</w:t>
      </w:r>
    </w:p>
    <w:p>
      <w:pPr>
        <w:sectPr>
          <w:pgSz w:w="11900" w:h="16846" w:orient="portrait"/>
          <w:cols w:equalWidth="0" w:num="1">
            <w:col w:w="11240"/>
          </w:cols>
          <w:pgMar w:left="320" w:top="108" w:right="339" w:bottom="0" w:gutter="0" w:footer="0" w:header="0"/>
        </w:sectPr>
      </w:pPr>
    </w:p>
    <w:bookmarkStart w:id="4" w:name="page5"/>
    <w:bookmarkEnd w:id="4"/>
    <w:p>
      <w:pPr>
        <w:spacing w:after="0" w:line="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cash flow was $96 million in the third quarter compared with $113 million in the prior year. The decrease in free cash flow was primarily due to changes in working capital, higher cash tax payments and lower interest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backlog at quarter end was $4.3 billion and bookings during the quarter totaled $482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Q4 and Updated Full Year 2026 Outlook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Fourth Quarter 2026 financial outlook:</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$621 and $636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$1.70 and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Updated Full Year 2026 financial outlook:</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$2.37 and $2.385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$6.72 and $6.82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Itron will host a conference call to discuss the financial results contained in this release at 10:00 a.m. EDT on October 27, 2026. Interested parties may listen to the conference call on a live webcast. The webcast, along with a supplemental presentation, may be accessed from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 xml:space="preserve">. Participants should access the webcast 10 minutes prior to the start of the call. A webcast replay of the conference call may be accessed on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18"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Itron is a proven global leader in energy, water, smart city, IIoT and intelligent infrastructure services. For utilities, cities and society, we build innovative systems, create new efficiencies, connect communities, encourage conservation and increase resourcefulness. By safeguarding our invaluable natural resources today and tomorrow, we improve the quality of life for people around the world. Join us: www.itron.com</w:t>
      </w:r>
    </w:p>
    <w:p>
      <w:pPr>
        <w:spacing w:after="0" w:line="18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and the Itron Logo are registered trademarks of Itron, Inc. in the United States and other countries and regions. All third-party trademarks are property of their respective owners and any usage herein does not suggest or imply any relationship between Itron and the third party unless expressly 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2025 and other reports on file with the Securities and Exchange Commission. Itron undertakes no obligation to update or revise any information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1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w:t>
      </w:r>
    </w:p>
    <w:p>
      <w:pPr>
        <w:sectPr>
          <w:pgSz w:w="11900" w:h="16856" w:orient="portrait"/>
          <w:cols w:equalWidth="0" w:num="1">
            <w:col w:w="11240"/>
          </w:cols>
          <w:pgMar w:left="320" w:top="112" w:right="339" w:bottom="0" w:gutter="0" w:footer="0" w:header="0"/>
        </w:sectPr>
      </w:pPr>
    </w:p>
    <w:bookmarkStart w:id="5" w:name="page6"/>
    <w:bookmarkEnd w:id="5"/>
    <w:p>
      <w:pPr>
        <w:ind w:right="60"/>
        <w:spacing w:after="0" w:line="233" w:lineRule="auto"/>
        <w:rPr>
          <w:sz w:val="20"/>
          <w:szCs w:val="20"/>
          <w:color w:val="auto"/>
        </w:rPr>
      </w:pPr>
      <w:r>
        <w:rPr>
          <w:rFonts w:ascii="Times New Roman" w:cs="Times New Roman" w:eastAsia="Times New Roman" w:hAnsi="Times New Roman"/>
          <w:sz w:val="22"/>
          <w:szCs w:val="22"/>
          <w:color w:val="auto"/>
        </w:rPr>
        <w:t>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(512) 560-1172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Stephanie Tarlton, CFA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Investor Relations</w:t>
      </w:r>
    </w:p>
    <w:p>
      <w:pPr>
        <w:jc w:val="center"/>
        <w:ind w:right="9400" w:firstLine="8"/>
        <w:spacing w:after="0" w:line="258" w:lineRule="auto"/>
        <w:tabs>
          <w:tab w:leader="none" w:pos="5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676-8365 </w:t>
      </w:r>
      <w:r>
        <w:rPr>
          <w:rFonts w:ascii="Times New Roman" w:cs="Times New Roman" w:eastAsia="Times New Roman" w:hAnsi="Times New Roman"/>
          <w:sz w:val="21"/>
          <w:szCs w:val="21"/>
          <w:u w:val="single" w:color="auto"/>
          <w:color w:val="auto"/>
        </w:rPr>
        <w:t>Investors@itron.com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https://www.linkedin.com/company/itroninc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X: https://x.com/ItronInc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Newsroom: https://na.itron.com/newsroom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Blog: https://blogs.itron.com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p>
      <w:pPr>
        <w:sectPr>
          <w:pgSz w:w="11900" w:h="16838" w:orient="portrait"/>
          <w:cols w:equalWidth="0" w:num="1">
            <w:col w:w="11240"/>
          </w:cols>
          <w:pgMar w:left="320" w:top="111" w:right="339" w:bottom="0" w:gutter="0" w:footer="0" w:header="0"/>
        </w:sectPr>
      </w:pPr>
    </w:p>
    <w:p>
      <w:pPr>
        <w:spacing w:after="0" w:line="2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21"/>
          <w:szCs w:val="21"/>
          <w:b w:val="1"/>
          <w:bCs w:val="1"/>
          <w:color w:val="auto"/>
        </w:rPr>
        <w:t>Three Months Ended</w:t>
      </w:r>
    </w:p>
    <w:p>
      <w:pPr>
        <w:spacing w:after="0" w:line="1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22"/>
          <w:szCs w:val="22"/>
          <w:b w:val="1"/>
          <w:bCs w:val="1"/>
          <w:color w:val="auto"/>
        </w:rPr>
        <w:t>September 30,</w:t>
      </w:r>
    </w:p>
    <w:p>
      <w:pPr>
        <w:spacing w:after="0" w:line="5" w:lineRule="exact"/>
        <w:rPr>
          <w:sz w:val="20"/>
          <w:szCs w:val="20"/>
          <w:color w:val="auto"/>
        </w:rPr>
      </w:pPr>
    </w:p>
    <w:p>
      <w:pPr>
        <w:ind w:left="5820"/>
        <w:spacing w:after="0"/>
        <w:tabs>
          <w:tab w:leader="none" w:pos="7260" w:val="left"/>
        </w:tabs>
        <w:rPr>
          <w:sz w:val="20"/>
          <w:szCs w:val="20"/>
          <w:color w:val="auto"/>
        </w:rPr>
      </w:pPr>
      <w:r>
        <w:rPr>
          <w:rFonts w:ascii="Times New Roman" w:cs="Times New Roman" w:eastAsia="Times New Roman" w:hAnsi="Times New Roman"/>
          <w:sz w:val="22"/>
          <w:szCs w:val="22"/>
          <w:b w:val="1"/>
          <w:bCs w:val="1"/>
          <w:color w:val="auto"/>
        </w:rPr>
        <w:t>2026</w:t>
      </w:r>
      <w:r>
        <w:rPr>
          <w:sz w:val="20"/>
          <w:szCs w:val="20"/>
          <w:color w:val="auto"/>
        </w:rPr>
        <w:tab/>
      </w:r>
      <w:r>
        <w:rPr>
          <w:rFonts w:ascii="Times New Roman" w:cs="Times New Roman" w:eastAsia="Times New Roman" w:hAnsi="Times New Roman"/>
          <w:sz w:val="22"/>
          <w:szCs w:val="22"/>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-158750</wp:posOffset>
            </wp:positionV>
            <wp:extent cx="1851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b w:val="1"/>
          <w:bCs w:val="1"/>
          <w:color w:val="auto"/>
        </w:rPr>
        <w:t>Nine Months Ended</w:t>
      </w:r>
    </w:p>
    <w:p>
      <w:pPr>
        <w:spacing w:after="0" w:line="1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b w:val="1"/>
          <w:bCs w:val="1"/>
          <w:color w:val="auto"/>
        </w:rPr>
        <w:t>September 30,</w:t>
      </w:r>
    </w:p>
    <w:p>
      <w:pPr>
        <w:spacing w:after="0" w:line="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2026</w:t>
      </w:r>
      <w:r>
        <w:rPr>
          <w:sz w:val="20"/>
          <w:szCs w:val="20"/>
          <w:color w:val="auto"/>
        </w:rPr>
        <w:tab/>
      </w:r>
      <w:r>
        <w:rPr>
          <w:rFonts w:ascii="Times New Roman" w:cs="Times New Roman" w:eastAsia="Times New Roman" w:hAnsi="Times New Roman"/>
          <w:sz w:val="22"/>
          <w:szCs w:val="22"/>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-158750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8120" w:space="720"/>
            <w:col w:w="2400"/>
          </w:cols>
          <w:pgMar w:left="320" w:top="111" w:right="339" w:bottom="0" w:gutter="0" w:footer="0" w:header="0"/>
          <w:type w:val="continuous"/>
        </w:sectPr>
      </w:pPr>
    </w:p>
    <w:tbl>
      <w:tblPr>
        <w:tblLayout w:type="fixed"/>
        <w:tblInd w:w="20" w:type="dxa"/>
        <w:tblCellMar>
          <w:top w:w="0" w:type="dxa"/>
          <w:left w:w="0" w:type="dxa"/>
          <w:bottom w:w="0" w:type="dxa"/>
          <w:right w:w="0" w:type="dxa"/>
        </w:tblCellMar>
      </w:tblP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Revenues</w:t>
            </w:r>
          </w:p>
        </w:tc>
        <w:tc>
          <w:tcPr>
            <w:tcW w:w="3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revenues</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489,002</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494,323</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1,420,265</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1,534,648</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revenues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110,331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87,302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328,952</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260,889</w:t>
            </w:r>
          </w:p>
        </w:tc>
      </w:tr>
      <w:tr>
        <w:trPr>
          <w:trHeight w:val="251"/>
        </w:trPr>
        <w:tc>
          <w:tcPr>
            <w:tcW w:w="5280" w:type="dxa"/>
            <w:vAlign w:val="bottom"/>
          </w:tcPr>
          <w:p>
            <w:pPr>
              <w:ind w:left="24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38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599,333</w:t>
            </w:r>
          </w:p>
        </w:tc>
        <w:tc>
          <w:tcPr>
            <w:tcW w:w="400" w:type="dxa"/>
            <w:vAlign w:val="bottom"/>
          </w:tcPr>
          <w:p>
            <w:pPr>
              <w:spacing w:after="0"/>
              <w:rPr>
                <w:sz w:val="21"/>
                <w:szCs w:val="21"/>
                <w:color w:val="auto"/>
              </w:rPr>
            </w:pPr>
          </w:p>
        </w:tc>
        <w:tc>
          <w:tcPr>
            <w:tcW w:w="10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581,625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1,749,217</w:t>
            </w: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1,795,537</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Cost of revenues</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Product cost of revenues</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302,831</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319,238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883,732</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1,003,074</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cost of revenues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51,632</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42,842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153,656</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132,081</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cost of revenues</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354,463</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362,080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1,037,388</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1,135,155</w:t>
            </w:r>
          </w:p>
        </w:tc>
      </w:tr>
      <w:tr>
        <w:trPr>
          <w:trHeight w:val="276"/>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244,870</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219,545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711,829</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660,382</w:t>
            </w:r>
          </w:p>
        </w:tc>
      </w:tr>
      <w:tr>
        <w:trPr>
          <w:trHeight w:val="514"/>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general and administrative</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84,067</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83,139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279,146</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257,665</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56,957</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50,032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168,097</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153,932</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8,460</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25,110</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13,425</w:t>
            </w: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Restructuring</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149,382</w:t>
            </w:r>
          </w:p>
        </w:tc>
        <w:tc>
          <w:tcPr>
            <w:tcW w:w="4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137,762</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472,698</w:t>
            </w:r>
          </w:p>
        </w:tc>
        <w:tc>
          <w:tcPr>
            <w:tcW w:w="3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425,973</w:t>
            </w: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95,488</w:t>
            </w:r>
          </w:p>
        </w:tc>
        <w:tc>
          <w:tcPr>
            <w:tcW w:w="4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81,783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239,131</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234,409</w:t>
            </w: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7,194</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13,569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19,107</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37,582</w:t>
            </w:r>
          </w:p>
        </w:tc>
      </w:tr>
      <w:tr>
        <w:trPr>
          <w:trHeight w:val="282"/>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(5,863)</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(17,440)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(16,888)</w:t>
            </w:r>
          </w:p>
        </w:tc>
      </w:tr>
    </w:tbl>
    <w:p>
      <w:pPr>
        <w:sectPr>
          <w:pgSz w:w="11900" w:h="16838" w:orient="portrait"/>
          <w:cols w:equalWidth="0" w:num="1">
            <w:col w:w="11240"/>
          </w:cols>
          <w:pgMar w:left="320" w:top="111" w:right="3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 (expense), net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996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3,624</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1,359</w:t>
            </w:r>
          </w:p>
        </w:tc>
      </w:tr>
      <w:tr>
        <w:trPr>
          <w:trHeight w:val="265"/>
        </w:trPr>
        <w:tc>
          <w:tcPr>
            <w:tcW w:w="5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other income (expense)</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1,533</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8,918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5,291</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22,053</w:t>
            </w: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97,021</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90,701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244,422</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256,462</w:t>
            </w: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Income tax provision</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(25,750)</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(24,478)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(66,092)</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(56,137)</w:t>
            </w:r>
          </w:p>
        </w:tc>
      </w:t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40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71,271</w:t>
            </w:r>
          </w:p>
        </w:tc>
        <w:tc>
          <w:tcPr>
            <w:tcW w:w="42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66,223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178,330</w:t>
            </w:r>
          </w:p>
        </w:tc>
        <w:tc>
          <w:tcPr>
            <w:tcW w:w="38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200,325</w:t>
            </w:r>
          </w:p>
        </w:tc>
      </w:tr>
      <w:tr>
        <w:trPr>
          <w:trHeight w:val="283"/>
        </w:trPr>
        <w:tc>
          <w:tcPr>
            <w:tcW w:w="52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 (loss) attributable to noncontrolling interests</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610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230</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898</w:t>
            </w:r>
          </w:p>
        </w:tc>
      </w:tr>
      <w:tr>
        <w:trPr>
          <w:trHeight w:val="264"/>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Itron, Inc.</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71,369</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65,613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178,100</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199,427</w:t>
            </w: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34"/>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Basic</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1.43</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4.03</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4.38</w:t>
            </w: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3"/>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Diluted</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3.97</w:t>
            </w: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4.30</w:t>
            </w:r>
          </w:p>
        </w:tc>
      </w:tr>
      <w:tr>
        <w:trPr>
          <w:trHeight w:val="21"/>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Basic</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43,812</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45,746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44,210</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45,574</w:t>
            </w: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Diluted</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44,411</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46,660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44,827</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SEGMENT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20" w:type="dxa"/>
            <w:vAlign w:val="bottom"/>
          </w:tcPr>
          <w:p>
            <w:pPr>
              <w:spacing w:after="0"/>
              <w:rPr>
                <w:sz w:val="24"/>
                <w:szCs w:val="24"/>
                <w:color w:val="auto"/>
              </w:rPr>
            </w:pPr>
          </w:p>
        </w:tc>
        <w:tc>
          <w:tcPr>
            <w:tcW w:w="284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300" w:type="dxa"/>
            <w:vAlign w:val="bottom"/>
          </w:tcPr>
          <w:p>
            <w:pPr>
              <w:spacing w:after="0"/>
              <w:rPr>
                <w:sz w:val="24"/>
                <w:szCs w:val="24"/>
                <w:color w:val="auto"/>
              </w:rPr>
            </w:pPr>
          </w:p>
        </w:tc>
        <w:tc>
          <w:tcPr>
            <w:tcW w:w="2780" w:type="dxa"/>
            <w:vAlign w:val="bottom"/>
            <w:gridSpan w:val="3"/>
            <w:vMerge w:val="restart"/>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00" w:type="dxa"/>
            <w:vAlign w:val="bottom"/>
          </w:tcPr>
          <w:p>
            <w:pPr>
              <w:spacing w:after="0"/>
              <w:rPr>
                <w:sz w:val="24"/>
                <w:szCs w:val="24"/>
                <w:color w:val="auto"/>
              </w:rPr>
            </w:pPr>
          </w:p>
        </w:tc>
        <w:tc>
          <w:tcPr>
            <w:tcW w:w="2780" w:type="dxa"/>
            <w:vAlign w:val="bottom"/>
            <w:gridSpan w:val="3"/>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Product revenues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101,189</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103,097</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335,857</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340,423</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359,581</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365,378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989,929</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1,119,381</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27,276</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92,031</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74,844</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Resiliency Solutions</w:t>
            </w:r>
          </w:p>
        </w:tc>
        <w:tc>
          <w:tcPr>
            <w:tcW w:w="3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956</w:t>
            </w:r>
          </w:p>
        </w:tc>
        <w:tc>
          <w:tcPr>
            <w:tcW w:w="4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2,448</w:t>
            </w:r>
          </w:p>
        </w:tc>
        <w:tc>
          <w:tcPr>
            <w:tcW w:w="4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489,002</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494,323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1,420,265</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1,534,648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Service revenues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331</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525</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1,485</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1,830</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29,921</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28,324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89,474</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85,987</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64,965</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58,453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192,519</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173,072</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Resiliency Solutions</w:t>
            </w:r>
          </w:p>
        </w:tc>
        <w:tc>
          <w:tcPr>
            <w:tcW w:w="3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15,114</w:t>
            </w:r>
          </w:p>
        </w:tc>
        <w:tc>
          <w:tcPr>
            <w:tcW w:w="4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45,474</w:t>
            </w:r>
          </w:p>
        </w:tc>
        <w:tc>
          <w:tcPr>
            <w:tcW w:w="4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110,331</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87,302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328,952</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260,889</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101,520</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103,622</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337,342</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342,253</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389,502</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393,702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1,079,403</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1,205,368</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92,241</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84,301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284,550</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247,916</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Resiliency Solutions</w:t>
            </w:r>
          </w:p>
        </w:tc>
        <w:tc>
          <w:tcPr>
            <w:tcW w:w="3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16,070</w:t>
            </w:r>
          </w:p>
        </w:tc>
        <w:tc>
          <w:tcPr>
            <w:tcW w:w="4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47,922</w:t>
            </w:r>
          </w:p>
        </w:tc>
        <w:tc>
          <w:tcPr>
            <w:tcW w:w="4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599,333</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581,625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1,749,217</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1,795,537</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gross profit</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35,900</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32,007</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118,678</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103,351</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162,685</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154,761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450,912</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460,718</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36,902</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32,777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114,306</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96,313</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Resiliency Solutions</w:t>
            </w:r>
          </w:p>
        </w:tc>
        <w:tc>
          <w:tcPr>
            <w:tcW w:w="3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11,953</w:t>
            </w:r>
          </w:p>
        </w:tc>
        <w:tc>
          <w:tcPr>
            <w:tcW w:w="4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35,568</w:t>
            </w:r>
          </w:p>
        </w:tc>
        <w:tc>
          <w:tcPr>
            <w:tcW w:w="4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247,440</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219,545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719,464</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660,382</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segment operating income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28,851</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24,875</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97,264</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80,800</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130,420</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121,880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352,617</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358,988</w:t>
            </w:r>
          </w:p>
        </w:tc>
        <w:tc>
          <w:tcPr>
            <w:tcW w:w="0" w:type="dxa"/>
            <w:vAlign w:val="bottom"/>
          </w:tcPr>
          <w:p>
            <w:pPr>
              <w:spacing w:after="0"/>
              <w:rPr>
                <w:sz w:val="1"/>
                <w:szCs w:val="1"/>
                <w:color w:val="auto"/>
              </w:rPr>
            </w:pPr>
          </w:p>
        </w:tc>
      </w:tr>
      <w:tr>
        <w:trPr>
          <w:trHeight w:val="270"/>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32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18,828</w:t>
            </w:r>
          </w:p>
        </w:tc>
        <w:tc>
          <w:tcPr>
            <w:tcW w:w="4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16,806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61,725</w:t>
            </w:r>
          </w:p>
        </w:tc>
        <w:tc>
          <w:tcPr>
            <w:tcW w:w="4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46,823</w:t>
            </w:r>
          </w:p>
        </w:tc>
        <w:tc>
          <w:tcPr>
            <w:tcW w:w="0" w:type="dxa"/>
            <w:vAlign w:val="bottom"/>
          </w:tcPr>
          <w:p>
            <w:pPr>
              <w:spacing w:after="0"/>
              <w:rPr>
                <w:sz w:val="1"/>
                <w:szCs w:val="1"/>
                <w:color w:val="auto"/>
              </w:rPr>
            </w:pPr>
          </w:p>
        </w:tc>
      </w:tr>
      <w:tr>
        <w:trPr>
          <w:trHeight w:val="283"/>
        </w:trPr>
        <w:tc>
          <w:tcPr>
            <w:tcW w:w="4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Resiliency Solutions</w:t>
            </w:r>
          </w:p>
        </w:tc>
        <w:tc>
          <w:tcPr>
            <w:tcW w:w="3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4,213</w:t>
            </w:r>
          </w:p>
        </w:tc>
        <w:tc>
          <w:tcPr>
            <w:tcW w:w="4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12,920</w:t>
            </w:r>
          </w:p>
        </w:tc>
        <w:tc>
          <w:tcPr>
            <w:tcW w:w="4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182,312</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163,561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524,526</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486,611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Gross Margin</w:t>
            </w:r>
          </w:p>
        </w:tc>
        <w:tc>
          <w:tcPr>
            <w:tcW w:w="29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41.3%</w:t>
            </w:r>
          </w:p>
        </w:tc>
        <w:tc>
          <w:tcPr>
            <w:tcW w:w="15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37.7%</w:t>
            </w:r>
          </w:p>
        </w:tc>
        <w:tc>
          <w:tcPr>
            <w:tcW w:w="160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41.1%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0" w:type="dxa"/>
            <w:vAlign w:val="bottom"/>
          </w:tcPr>
          <w:p>
            <w:pPr>
              <w:spacing w:after="0"/>
              <w:rPr>
                <w:sz w:val="22"/>
                <w:szCs w:val="22"/>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86"/>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1"/>
        </w:trPr>
        <w:tc>
          <w:tcPr>
            <w:tcW w:w="8200" w:type="dxa"/>
            <w:vAlign w:val="bottom"/>
          </w:tcPr>
          <w:p>
            <w:pPr>
              <w:ind w:left="3680"/>
              <w:spacing w:after="0" w:line="251" w:lineRule="exact"/>
              <w:rPr>
                <w:sz w:val="20"/>
                <w:szCs w:val="20"/>
                <w:color w:val="auto"/>
              </w:rPr>
            </w:pPr>
            <w:r>
              <w:rPr>
                <w:rFonts w:ascii="Times New Roman" w:cs="Times New Roman" w:eastAsia="Times New Roman" w:hAnsi="Times New Roman"/>
                <w:sz w:val="22"/>
                <w:szCs w:val="22"/>
                <w:b w:val="1"/>
                <w:bCs w:val="1"/>
                <w:color w:val="auto"/>
              </w:rPr>
              <w:t>ASSETS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840,323</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1,020,397</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380,063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367,794</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280,972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242,886</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182,972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191,241</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assets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1,684,330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1,822,318</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120,634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112,193</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258,787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265,183</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assets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61,870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63,352</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45,937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29,341</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255,052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83,337</w:t>
            </w:r>
          </w:p>
        </w:tc>
        <w:tc>
          <w:tcPr>
            <w:tcW w:w="0" w:type="dxa"/>
            <w:vAlign w:val="bottom"/>
          </w:tcPr>
          <w:p>
            <w:pPr>
              <w:spacing w:after="0"/>
              <w:rPr>
                <w:sz w:val="1"/>
                <w:szCs w:val="1"/>
                <w:color w:val="auto"/>
              </w:rPr>
            </w:pPr>
          </w:p>
        </w:tc>
      </w:tr>
      <w:tr>
        <w:trPr>
          <w:trHeight w:val="28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1,690,417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1,344,983</w:t>
            </w:r>
          </w:p>
        </w:tc>
        <w:tc>
          <w:tcPr>
            <w:tcW w:w="0" w:type="dxa"/>
            <w:vAlign w:val="bottom"/>
          </w:tcPr>
          <w:p>
            <w:pPr>
              <w:spacing w:after="0"/>
              <w:rPr>
                <w:sz w:val="1"/>
                <w:szCs w:val="1"/>
                <w:color w:val="auto"/>
              </w:rPr>
            </w:pPr>
          </w:p>
        </w:tc>
      </w:tr>
      <w:tr>
        <w:trPr>
          <w:trHeight w:val="264"/>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assets</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4,117,027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3,720,707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72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193,960</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156,288</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40,568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58,864</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122,245</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payable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27,687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16,618</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debt, net</w:t>
            </w: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459,522</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warranty</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10,868</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218,971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187,822</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595,833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1,012,227</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Long-term debt, net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1,577,039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788,805</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Long-term warranty</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7,350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Pension benefit obligation</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59,804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61,998</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40,907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19,623</w:t>
            </w:r>
          </w:p>
        </w:tc>
        <w:tc>
          <w:tcPr>
            <w:tcW w:w="0" w:type="dxa"/>
            <w:vAlign w:val="bottom"/>
          </w:tcPr>
          <w:p>
            <w:pPr>
              <w:spacing w:after="0"/>
              <w:rPr>
                <w:sz w:val="1"/>
                <w:szCs w:val="1"/>
                <w:color w:val="auto"/>
              </w:rPr>
            </w:pPr>
          </w:p>
        </w:tc>
      </w:tr>
      <w:tr>
        <w:trPr>
          <w:trHeight w:val="28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obligations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115,519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91,885</w:t>
            </w:r>
          </w:p>
        </w:tc>
        <w:tc>
          <w:tcPr>
            <w:tcW w:w="0" w:type="dxa"/>
            <w:vAlign w:val="bottom"/>
          </w:tcPr>
          <w:p>
            <w:pPr>
              <w:spacing w:after="0"/>
              <w:rPr>
                <w:sz w:val="1"/>
                <w:szCs w:val="1"/>
                <w:color w:val="auto"/>
              </w:rPr>
            </w:pP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2,397,715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1,982,511</w:t>
            </w:r>
          </w:p>
        </w:tc>
        <w:tc>
          <w:tcPr>
            <w:tcW w:w="0" w:type="dxa"/>
            <w:vAlign w:val="bottom"/>
          </w:tcPr>
          <w:p>
            <w:pPr>
              <w:spacing w:after="0"/>
              <w:rPr>
                <w:sz w:val="1"/>
                <w:szCs w:val="1"/>
                <w:color w:val="auto"/>
              </w:rPr>
            </w:pP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1,485,168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1,661,350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other comprehensive loss, net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(56,505)</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Retained earnings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289,851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111,751</w:t>
            </w:r>
          </w:p>
        </w:tc>
        <w:tc>
          <w:tcPr>
            <w:tcW w:w="0" w:type="dxa"/>
            <w:vAlign w:val="bottom"/>
          </w:tcPr>
          <w:p>
            <w:pPr>
              <w:spacing w:after="0"/>
              <w:rPr>
                <w:sz w:val="1"/>
                <w:szCs w:val="1"/>
                <w:color w:val="auto"/>
              </w:rPr>
            </w:pPr>
          </w:p>
        </w:tc>
      </w:tr>
      <w:tr>
        <w:trPr>
          <w:trHeight w:val="251"/>
        </w:trPr>
        <w:tc>
          <w:tcPr>
            <w:tcW w:w="8200" w:type="dxa"/>
            <w:vAlign w:val="bottom"/>
          </w:tcPr>
          <w:p>
            <w:pPr>
              <w:ind w:left="240"/>
              <w:spacing w:after="0" w:line="251" w:lineRule="exact"/>
              <w:rPr>
                <w:sz w:val="20"/>
                <w:szCs w:val="20"/>
                <w:color w:val="auto"/>
              </w:rPr>
            </w:pPr>
            <w:r>
              <w:rPr>
                <w:rFonts w:ascii="Times New Roman" w:cs="Times New Roman" w:eastAsia="Times New Roman" w:hAnsi="Times New Roman"/>
                <w:sz w:val="22"/>
                <w:szCs w:val="22"/>
                <w:color w:val="auto"/>
              </w:rPr>
              <w:t>Total Itron, Inc. shareholders' equity</w:t>
            </w:r>
          </w:p>
        </w:tc>
        <w:tc>
          <w:tcPr>
            <w:tcW w:w="300" w:type="dxa"/>
            <w:vAlign w:val="bottom"/>
          </w:tcPr>
          <w:p>
            <w:pPr>
              <w:spacing w:after="0"/>
              <w:rPr>
                <w:sz w:val="21"/>
                <w:szCs w:val="21"/>
                <w:color w:val="auto"/>
              </w:rPr>
            </w:pPr>
          </w:p>
        </w:tc>
        <w:tc>
          <w:tcPr>
            <w:tcW w:w="11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1,698,748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1,716,596</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20,564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21,600</w:t>
            </w:r>
          </w:p>
        </w:tc>
        <w:tc>
          <w:tcPr>
            <w:tcW w:w="0" w:type="dxa"/>
            <w:vAlign w:val="bottom"/>
          </w:tcPr>
          <w:p>
            <w:pPr>
              <w:spacing w:after="0"/>
              <w:rPr>
                <w:sz w:val="1"/>
                <w:szCs w:val="1"/>
                <w:color w:val="auto"/>
              </w:rPr>
            </w:pPr>
          </w:p>
        </w:tc>
      </w:tr>
      <w:tr>
        <w:trPr>
          <w:trHeight w:val="265"/>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equity</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1,719,312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1,738,196</w:t>
            </w:r>
          </w:p>
        </w:tc>
        <w:tc>
          <w:tcPr>
            <w:tcW w:w="0" w:type="dxa"/>
            <w:vAlign w:val="bottom"/>
          </w:tcPr>
          <w:p>
            <w:pPr>
              <w:spacing w:after="0"/>
              <w:rPr>
                <w:sz w:val="1"/>
                <w:szCs w:val="1"/>
                <w:color w:val="auto"/>
              </w:rPr>
            </w:pPr>
          </w:p>
        </w:tc>
      </w:tr>
      <w:tr>
        <w:trPr>
          <w:trHeight w:val="264"/>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4,117,027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3,720,707</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ectPr>
          <w:pgSz w:w="11900" w:h="16838" w:orient="portrait"/>
          <w:cols w:equalWidth="0" w:num="1">
            <w:col w:w="11220"/>
          </w:cols>
          <w:pgMar w:left="340" w:top="378" w:right="339" w:bottom="47"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302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Nine Months Ended September</w:t>
            </w:r>
          </w:p>
        </w:tc>
      </w:tr>
      <w:tr>
        <w:trPr>
          <w:trHeight w:val="287"/>
        </w:trPr>
        <w:tc>
          <w:tcPr>
            <w:tcW w:w="8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30,</w:t>
            </w:r>
          </w:p>
        </w:tc>
        <w:tc>
          <w:tcPr>
            <w:tcW w:w="1160" w:type="dxa"/>
            <w:vAlign w:val="bottom"/>
            <w:tcBorders>
              <w:bottom w:val="single" w:sz="8" w:color="auto"/>
            </w:tcBorders>
          </w:tcPr>
          <w:p>
            <w:pPr>
              <w:spacing w:after="0"/>
              <w:rPr>
                <w:sz w:val="24"/>
                <w:szCs w:val="24"/>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82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activities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178,330</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200,325</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reconcile net income to net cash provided by operating activities: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Depreciation and amortization of intangible assets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55,602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36,221</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Non-cash operating lease expense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8,856</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Stock-based compensation</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44,527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47,819</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prepaid debt fees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5,401</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Deferred taxes, net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48,860</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 non-cash</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adjustments, net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Changes in operating assets and liabilities, net of acquisition and sale of business: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(12,127)</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(40,344)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19,828</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(40,295)</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long-term assets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6,918</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other current liabilities, and taxes payable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27,932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(5,959)</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(30,801)</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32,960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34,320</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Warranty</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(2,404)</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(16,445)</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operating, net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(13,409)</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275,545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286,631</w:t>
            </w: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Investing activities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proceeds related to the sale of business</w:t>
            </w: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278</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(15,077)</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Business acquisitions, net of cash and cash equivalents acquired</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(514,888)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investing, net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3,098</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(1,995)</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(531,330)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(16,794)</w:t>
            </w:r>
          </w:p>
        </w:tc>
      </w:tr>
      <w:tr>
        <w:trPr>
          <w:trHeight w:val="51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Financing activities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Proceeds from borrowings</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805,000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 on debt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Issuance of common stock</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6,332</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 on call spread for convertible offering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(92,817)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Repurchase of common stock</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(152,234)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debt fees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(2,207)</w:t>
            </w: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financing, net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(2,006)</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(2,288)</w:t>
            </w:r>
          </w:p>
        </w:tc>
      </w:tr>
      <w:tr>
        <w:trPr>
          <w:trHeight w:val="277"/>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79,131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1,837</w:t>
            </w:r>
          </w:p>
        </w:tc>
      </w:tr>
      <w:tr>
        <w:trPr>
          <w:trHeight w:val="526"/>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changes on cash and cash equivalents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(3,420)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9,033</w:t>
            </w: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Increase (decrease) in cash and cash equivalents</w:t>
            </w: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(180,074)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280,707</w:t>
            </w:r>
          </w:p>
        </w:tc>
      </w:tr>
      <w:tr>
        <w:trPr>
          <w:trHeight w:val="283"/>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1,020,397</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1,051,237</w:t>
            </w:r>
          </w:p>
        </w:tc>
      </w:tr>
      <w:tr>
        <w:trPr>
          <w:trHeight w:val="26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840,323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1,331,944</w:t>
            </w: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ectPr>
          <w:pgSz w:w="11900" w:h="16838" w:orient="portrait"/>
          <w:cols w:equalWidth="0" w:num="1">
            <w:col w:w="11240"/>
          </w:cols>
          <w:pgMar w:left="320" w:top="98" w:right="339" w:bottom="167" w:gutter="0" w:footer="0" w:header="0"/>
        </w:sectPr>
      </w:pPr>
    </w:p>
    <w:bookmarkStart w:id="9" w:name="page10"/>
    <w:bookmarkEnd w:id="9"/>
    <w:p>
      <w:pPr>
        <w:jc w:val="both"/>
        <w:spacing w:after="0" w:line="233" w:lineRule="auto"/>
        <w:rPr>
          <w:sz w:val="20"/>
          <w:szCs w:val="20"/>
          <w:color w:val="auto"/>
        </w:rPr>
      </w:pPr>
      <w:r>
        <w:rPr>
          <w:rFonts w:ascii="Times New Roman" w:cs="Times New Roman" w:eastAsia="Times New Roman" w:hAnsi="Times New Roman"/>
          <w:sz w:val="22"/>
          <w:szCs w:val="22"/>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and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u w:val="single" w:color="auto"/>
          <w:color w:val="auto"/>
        </w:rPr>
        <w:t>Non-GAAP operating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non-GAAP operating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non-GAAP operating expenses as operating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excluding certain 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attributable to Itron,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excluding the expenses associated with amortization of intangible assets, amortization of debt placement fees, restructuring, loss on sale of business, strategic initiative expenses, acquisition and integration related expenses, gain on sale of equity method investment,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 time it increases or decreases by 200 basis points or more from the prior interim period.</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Adjusted EBITDA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adjusted EBITDA as net income (a) minus interest income and gain on sale of equity method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(b) plus interest expense, depreciation and amortization, 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ectPr>
          <w:pgSz w:w="11900" w:h="16838" w:orient="portrait"/>
          <w:cols w:equalWidth="0" w:num="1">
            <w:col w:w="11240"/>
          </w:cols>
          <w:pgMar w:left="320" w:top="111" w:right="339" w:bottom="223" w:gutter="0" w:footer="0" w:header="0"/>
        </w:sectPr>
      </w:pPr>
    </w:p>
    <w:bookmarkStart w:id="10" w:name="page11"/>
    <w:bookmarkEnd w:id="10"/>
    <w:p>
      <w:pPr>
        <w:jc w:val="both"/>
        <w:ind w:right="20"/>
        <w:spacing w:after="0" w:line="260" w:lineRule="auto"/>
        <w:rPr>
          <w:sz w:val="20"/>
          <w:szCs w:val="20"/>
          <w:color w:val="auto"/>
        </w:rPr>
      </w:pPr>
      <w:r>
        <w:rPr>
          <w:rFonts w:ascii="Times New Roman" w:cs="Times New Roman" w:eastAsia="Times New Roman" w:hAnsi="Times New Roman"/>
          <w:sz w:val="22"/>
          <w:szCs w:val="22"/>
          <w:i w:val="1"/>
          <w:iCs w:val="1"/>
          <w:u w:val="single" w:color="auto"/>
          <w:color w:val="auto"/>
        </w:rPr>
        <w:t>Adjusted gross profit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adjusted gross profit as gross profit excluding the amortization expense of core-developed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technology intangible assets.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Adjusted operating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adjusted operating income as operating income excluding the amortization of core-developed technology intangible assets.</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0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 except per share data)</w:t>
            </w:r>
          </w:p>
        </w:tc>
        <w:tc>
          <w:tcPr>
            <w:tcW w:w="300" w:type="dxa"/>
            <w:vAlign w:val="bottom"/>
          </w:tcPr>
          <w:p>
            <w:pPr>
              <w:spacing w:after="0"/>
              <w:rPr>
                <w:sz w:val="24"/>
                <w:szCs w:val="24"/>
                <w:color w:val="auto"/>
              </w:rPr>
            </w:pPr>
          </w:p>
        </w:tc>
        <w:tc>
          <w:tcPr>
            <w:tcW w:w="272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20" w:type="dxa"/>
            <w:vAlign w:val="bottom"/>
          </w:tcPr>
          <w:p>
            <w:pPr>
              <w:spacing w:after="0"/>
              <w:rPr>
                <w:sz w:val="24"/>
                <w:szCs w:val="24"/>
                <w:color w:val="auto"/>
              </w:rPr>
            </w:pPr>
          </w:p>
        </w:tc>
        <w:tc>
          <w:tcPr>
            <w:tcW w:w="2600" w:type="dxa"/>
            <w:vAlign w:val="bottom"/>
            <w:gridSpan w:val="3"/>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300" w:type="dxa"/>
            <w:vAlign w:val="bottom"/>
          </w:tcPr>
          <w:p>
            <w:pPr>
              <w:spacing w:after="0"/>
              <w:rPr>
                <w:sz w:val="24"/>
                <w:szCs w:val="24"/>
                <w:color w:val="auto"/>
              </w:rPr>
            </w:pPr>
          </w:p>
        </w:tc>
        <w:tc>
          <w:tcPr>
            <w:tcW w:w="272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20" w:type="dxa"/>
            <w:vAlign w:val="bottom"/>
          </w:tcPr>
          <w:p>
            <w:pPr>
              <w:spacing w:after="0"/>
              <w:rPr>
                <w:sz w:val="24"/>
                <w:szCs w:val="24"/>
                <w:color w:val="auto"/>
              </w:rPr>
            </w:pPr>
          </w:p>
        </w:tc>
        <w:tc>
          <w:tcPr>
            <w:tcW w:w="260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300" w:type="dxa"/>
            <w:vAlign w:val="bottom"/>
            <w:tcBorders>
              <w:top w:val="single" w:sz="8" w:color="auto"/>
              <w:bottom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EXPENSES</w:t>
            </w: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53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expenses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149,382</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137,762</w:t>
            </w:r>
          </w:p>
        </w:tc>
        <w:tc>
          <w:tcPr>
            <w:tcW w:w="10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472,698</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425,973</w:t>
            </w:r>
          </w:p>
        </w:tc>
        <w:tc>
          <w:tcPr>
            <w:tcW w:w="0" w:type="dxa"/>
            <w:vAlign w:val="bottom"/>
          </w:tcPr>
          <w:p>
            <w:pPr>
              <w:spacing w:after="0"/>
              <w:rPr>
                <w:sz w:val="1"/>
                <w:szCs w:val="1"/>
                <w:color w:val="auto"/>
              </w:rPr>
            </w:pPr>
          </w:p>
        </w:tc>
      </w:tr>
      <w:tr>
        <w:trPr>
          <w:trHeight w:val="315"/>
        </w:trPr>
        <w:tc>
          <w:tcPr>
            <w:tcW w:w="5300" w:type="dxa"/>
            <w:vAlign w:val="bottom"/>
          </w:tcPr>
          <w:p>
            <w:pPr>
              <w:ind w:left="380"/>
              <w:spacing w:after="0" w:line="314" w:lineRule="exact"/>
              <w:rPr>
                <w:sz w:val="20"/>
                <w:szCs w:val="20"/>
                <w:color w:val="auto"/>
              </w:rPr>
            </w:pPr>
            <w:r>
              <w:rPr>
                <w:rFonts w:ascii="Times New Roman" w:cs="Times New Roman" w:eastAsia="Times New Roman" w:hAnsi="Times New Roman"/>
                <w:sz w:val="22"/>
                <w:szCs w:val="22"/>
                <w:color w:val="auto"/>
              </w:rPr>
              <w:t>Amortization of intangible assets</w:t>
            </w:r>
            <w:r>
              <w:rPr>
                <w:rFonts w:ascii="Times New Roman" w:cs="Times New Roman" w:eastAsia="Times New Roman" w:hAnsi="Times New Roman"/>
                <w:sz w:val="35"/>
                <w:szCs w:val="35"/>
                <w:color w:val="auto"/>
                <w:vertAlign w:val="superscript"/>
              </w:rPr>
              <w:t>(1)</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(8,460)</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(25,110)</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(13,425)</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w:t>
            </w:r>
          </w:p>
        </w:tc>
        <w:tc>
          <w:tcPr>
            <w:tcW w:w="0" w:type="dxa"/>
            <w:vAlign w:val="bottom"/>
          </w:tcPr>
          <w:p>
            <w:pPr>
              <w:spacing w:after="0"/>
              <w:rPr>
                <w:sz w:val="1"/>
                <w:szCs w:val="1"/>
                <w:color w:val="auto"/>
              </w:rPr>
            </w:pPr>
          </w:p>
        </w:tc>
      </w:tr>
      <w:tr>
        <w:trPr>
          <w:trHeight w:val="283"/>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(7,474)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(1,370)</w:t>
            </w:r>
          </w:p>
        </w:tc>
        <w:tc>
          <w:tcPr>
            <w:tcW w:w="0" w:type="dxa"/>
            <w:vAlign w:val="bottom"/>
          </w:tcPr>
          <w:p>
            <w:pPr>
              <w:spacing w:after="0"/>
              <w:rPr>
                <w:sz w:val="1"/>
                <w:szCs w:val="1"/>
                <w:color w:val="auto"/>
              </w:rPr>
            </w:pPr>
          </w:p>
        </w:tc>
      </w:tr>
      <w:tr>
        <w:trPr>
          <w:trHeight w:val="264"/>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140,646</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130,319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439,161</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408,661</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income</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95,488</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81,783</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239,131</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234,409</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11,030</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13,425</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w:t>
            </w:r>
          </w:p>
        </w:tc>
        <w:tc>
          <w:tcPr>
            <w:tcW w:w="0" w:type="dxa"/>
            <w:vAlign w:val="bottom"/>
          </w:tcPr>
          <w:p>
            <w:pPr>
              <w:spacing w:after="0"/>
              <w:rPr>
                <w:sz w:val="1"/>
                <w:szCs w:val="1"/>
                <w:color w:val="auto"/>
              </w:rPr>
            </w:pPr>
          </w:p>
        </w:tc>
      </w:tr>
      <w:tr>
        <w:trPr>
          <w:trHeight w:val="283"/>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1,286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7,474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1,370</w:t>
            </w:r>
          </w:p>
        </w:tc>
        <w:tc>
          <w:tcPr>
            <w:tcW w:w="0" w:type="dxa"/>
            <w:vAlign w:val="bottom"/>
          </w:tcPr>
          <w:p>
            <w:pPr>
              <w:spacing w:after="0"/>
              <w:rPr>
                <w:sz w:val="1"/>
                <w:szCs w:val="1"/>
                <w:color w:val="auto"/>
              </w:rPr>
            </w:pPr>
          </w:p>
        </w:tc>
      </w:tr>
      <w:tr>
        <w:trPr>
          <w:trHeight w:val="264"/>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income</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106,794</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89,226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280,303</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251,721</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71,369</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65,613</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178,100</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199,427</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11,030</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13,425</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debt placement fees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1,956</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5,711</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5,271</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Gain on sale of equity method investment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(3,249)</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7,474</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1,370</w:t>
            </w:r>
          </w:p>
        </w:tc>
        <w:tc>
          <w:tcPr>
            <w:tcW w:w="0" w:type="dxa"/>
            <w:vAlign w:val="bottom"/>
          </w:tcPr>
          <w:p>
            <w:pPr>
              <w:spacing w:after="0"/>
              <w:rPr>
                <w:sz w:val="1"/>
                <w:szCs w:val="1"/>
                <w:color w:val="auto"/>
              </w:rPr>
            </w:pPr>
          </w:p>
        </w:tc>
      </w:tr>
      <w:tr>
        <w:trPr>
          <w:trHeight w:val="283"/>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Income tax effect of non-GAAP adjustments</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1,702</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(4,974)</w:t>
            </w:r>
          </w:p>
        </w:tc>
        <w:tc>
          <w:tcPr>
            <w:tcW w:w="0" w:type="dxa"/>
            <w:vAlign w:val="bottom"/>
          </w:tcPr>
          <w:p>
            <w:pPr>
              <w:spacing w:after="0"/>
              <w:rPr>
                <w:sz w:val="1"/>
                <w:szCs w:val="1"/>
                <w:color w:val="auto"/>
              </w:rPr>
            </w:pPr>
          </w:p>
        </w:tc>
      </w:tr>
      <w:tr>
        <w:trPr>
          <w:trHeight w:val="264"/>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net income attributable to Itron, Inc.</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86,333</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71,812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224,752</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217,036</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diluted EPS</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4.68</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GAAP weighted average common shares outstanding -</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Diluted</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44,411</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46,660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44,827</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46,405</w:t>
            </w:r>
          </w:p>
        </w:tc>
        <w:tc>
          <w:tcPr>
            <w:tcW w:w="0" w:type="dxa"/>
            <w:vAlign w:val="bottom"/>
          </w:tcPr>
          <w:p>
            <w:pPr>
              <w:spacing w:after="0"/>
              <w:rPr>
                <w:sz w:val="1"/>
                <w:szCs w:val="1"/>
                <w:color w:val="auto"/>
              </w:rPr>
            </w:pPr>
          </w:p>
        </w:tc>
      </w:tr>
      <w:tr>
        <w:trPr>
          <w:trHeight w:val="282"/>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Effect of call option transaction - 2021 Notes</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11"/>
        </w:trPr>
        <w:tc>
          <w:tcPr>
            <w:tcW w:w="530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rPr>
              <w:t>Non-GAAP weighted average common shares</w:t>
            </w:r>
          </w:p>
        </w:tc>
        <w:tc>
          <w:tcPr>
            <w:tcW w:w="3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44,411</w:t>
            </w:r>
          </w:p>
        </w:tc>
        <w:tc>
          <w:tcPr>
            <w:tcW w:w="340" w:type="dxa"/>
            <w:vAlign w:val="bottom"/>
          </w:tcPr>
          <w:p>
            <w:pPr>
              <w:spacing w:after="0"/>
              <w:rPr>
                <w:sz w:val="18"/>
                <w:szCs w:val="18"/>
                <w:color w:val="auto"/>
              </w:rPr>
            </w:pPr>
          </w:p>
        </w:tc>
        <w:tc>
          <w:tcPr>
            <w:tcW w:w="114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46,626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44,827</w:t>
            </w: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46,394</w:t>
            </w:r>
          </w:p>
        </w:tc>
        <w:tc>
          <w:tcPr>
            <w:tcW w:w="0" w:type="dxa"/>
            <w:vAlign w:val="bottom"/>
          </w:tcPr>
          <w:p>
            <w:pPr>
              <w:spacing w:after="0"/>
              <w:rPr>
                <w:sz w:val="1"/>
                <w:szCs w:val="1"/>
                <w:color w:val="auto"/>
              </w:rPr>
            </w:pPr>
          </w:p>
        </w:tc>
      </w:tr>
      <w:tr>
        <w:trPr>
          <w:trHeight w:val="257"/>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outstanding - Diluted</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90" w:gutter="0" w:footer="0" w:header="0"/>
        </w:sectPr>
      </w:pPr>
    </w:p>
    <w:bookmarkStart w:id="11" w:name="page12"/>
    <w:bookmarkEnd w:id="11"/>
    <w:p>
      <w:pPr>
        <w:spacing w:after="0" w:line="7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Excludes amortization of core-developed technology intangible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0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300" w:type="dxa"/>
            <w:vAlign w:val="bottom"/>
          </w:tcPr>
          <w:p>
            <w:pPr>
              <w:spacing w:after="0"/>
              <w:rPr>
                <w:sz w:val="24"/>
                <w:szCs w:val="24"/>
                <w:color w:val="auto"/>
              </w:rPr>
            </w:pPr>
          </w:p>
        </w:tc>
        <w:tc>
          <w:tcPr>
            <w:tcW w:w="272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20" w:type="dxa"/>
            <w:vAlign w:val="bottom"/>
          </w:tcPr>
          <w:p>
            <w:pPr>
              <w:spacing w:after="0"/>
              <w:rPr>
                <w:sz w:val="24"/>
                <w:szCs w:val="24"/>
                <w:color w:val="auto"/>
              </w:rPr>
            </w:pPr>
          </w:p>
        </w:tc>
        <w:tc>
          <w:tcPr>
            <w:tcW w:w="2600" w:type="dxa"/>
            <w:vAlign w:val="bottom"/>
            <w:gridSpan w:val="3"/>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300" w:type="dxa"/>
            <w:vAlign w:val="bottom"/>
          </w:tcPr>
          <w:p>
            <w:pPr>
              <w:spacing w:after="0"/>
              <w:rPr>
                <w:sz w:val="24"/>
                <w:szCs w:val="24"/>
                <w:color w:val="auto"/>
              </w:rPr>
            </w:pPr>
          </w:p>
        </w:tc>
        <w:tc>
          <w:tcPr>
            <w:tcW w:w="272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20" w:type="dxa"/>
            <w:vAlign w:val="bottom"/>
          </w:tcPr>
          <w:p>
            <w:pPr>
              <w:spacing w:after="0"/>
              <w:rPr>
                <w:sz w:val="24"/>
                <w:szCs w:val="24"/>
                <w:color w:val="auto"/>
              </w:rPr>
            </w:pPr>
          </w:p>
        </w:tc>
        <w:tc>
          <w:tcPr>
            <w:tcW w:w="260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300" w:type="dxa"/>
            <w:vAlign w:val="bottom"/>
            <w:tcBorders>
              <w:top w:val="single" w:sz="8" w:color="auto"/>
              <w:bottom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53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71,369</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65,613</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178,100</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199,427</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Interest income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(19,107)</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(37,582)</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Interest expense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5,863</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5,647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17,440</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16,888</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Income tax provision</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25,750</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24,478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66,092</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56,137</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18,440</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55,602</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36,221</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1,566</w:t>
            </w:r>
          </w:p>
        </w:tc>
        <w:tc>
          <w:tcPr>
            <w:tcW w:w="0" w:type="dxa"/>
            <w:vAlign w:val="bottom"/>
          </w:tcPr>
          <w:p>
            <w:pPr>
              <w:spacing w:after="0"/>
              <w:rPr>
                <w:sz w:val="1"/>
                <w:szCs w:val="1"/>
                <w:color w:val="auto"/>
              </w:rPr>
            </w:pPr>
          </w:p>
        </w:tc>
      </w:tr>
      <w:tr>
        <w:trPr>
          <w:trHeight w:val="270"/>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w:t>
            </w: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7,474</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1,370</w:t>
            </w:r>
          </w:p>
        </w:tc>
        <w:tc>
          <w:tcPr>
            <w:tcW w:w="0" w:type="dxa"/>
            <w:vAlign w:val="bottom"/>
          </w:tcPr>
          <w:p>
            <w:pPr>
              <w:spacing w:after="0"/>
              <w:rPr>
                <w:sz w:val="1"/>
                <w:szCs w:val="1"/>
                <w:color w:val="auto"/>
              </w:rPr>
            </w:pPr>
          </w:p>
        </w:tc>
      </w:tr>
      <w:tr>
        <w:trPr>
          <w:trHeight w:val="283"/>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Gain on sale of equity method investment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(3,249)</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Adjusted EBITDA</w:t>
            </w: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114,504</w:t>
            </w:r>
          </w:p>
        </w:tc>
        <w:tc>
          <w:tcPr>
            <w:tcW w:w="3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97,248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303,305</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274,978</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101,953</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117,829</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275,545</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286,631</w:t>
            </w:r>
          </w:p>
        </w:tc>
        <w:tc>
          <w:tcPr>
            <w:tcW w:w="0" w:type="dxa"/>
            <w:vAlign w:val="bottom"/>
          </w:tcPr>
          <w:p>
            <w:pPr>
              <w:spacing w:after="0"/>
              <w:rPr>
                <w:sz w:val="1"/>
                <w:szCs w:val="1"/>
                <w:color w:val="auto"/>
              </w:rPr>
            </w:pPr>
          </w:p>
        </w:tc>
      </w:tr>
      <w:tr>
        <w:trPr>
          <w:trHeight w:val="283"/>
        </w:trPr>
        <w:tc>
          <w:tcPr>
            <w:tcW w:w="53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(6,408)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(19,540)</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(15,077)</w:t>
            </w:r>
          </w:p>
        </w:tc>
        <w:tc>
          <w:tcPr>
            <w:tcW w:w="0" w:type="dxa"/>
            <w:vAlign w:val="bottom"/>
          </w:tcPr>
          <w:p>
            <w:pPr>
              <w:spacing w:after="0"/>
              <w:rPr>
                <w:sz w:val="1"/>
                <w:szCs w:val="1"/>
                <w:color w:val="auto"/>
              </w:rPr>
            </w:pPr>
          </w:p>
        </w:tc>
      </w:tr>
      <w:tr>
        <w:trPr>
          <w:trHeight w:val="264"/>
        </w:trPr>
        <w:tc>
          <w:tcPr>
            <w:tcW w:w="5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Free Cash Flow</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95,545</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113,408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256,005</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271,554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 of adjusted gross profit with the most directly comparable GAAP financial measure.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7"/>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RECONCILIATIONS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Three months ended September 30, 2026</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60"/>
              <w:spacing w:after="0" w:line="220" w:lineRule="exact"/>
              <w:rPr>
                <w:sz w:val="20"/>
                <w:szCs w:val="20"/>
                <w:color w:val="auto"/>
              </w:rPr>
            </w:pPr>
            <w:r>
              <w:rPr>
                <w:rFonts w:ascii="Times New Roman" w:cs="Times New Roman" w:eastAsia="Times New Roman" w:hAnsi="Times New Roman"/>
                <w:sz w:val="22"/>
                <w:szCs w:val="22"/>
                <w:b w:val="1"/>
                <w:bCs w:val="1"/>
                <w:color w:val="auto"/>
                <w:w w:val="98"/>
              </w:rPr>
              <w:t>Resiliency</w:t>
            </w:r>
          </w:p>
        </w:tc>
        <w:tc>
          <w:tcPr>
            <w:tcW w:w="220" w:type="dxa"/>
            <w:vAlign w:val="bottom"/>
          </w:tcPr>
          <w:p>
            <w:pPr>
              <w:spacing w:after="0"/>
              <w:rPr>
                <w:sz w:val="19"/>
                <w:szCs w:val="19"/>
                <w:color w:val="auto"/>
              </w:rPr>
            </w:pPr>
          </w:p>
        </w:tc>
        <w:tc>
          <w:tcPr>
            <w:tcW w:w="1300" w:type="dxa"/>
            <w:vAlign w:val="bottom"/>
          </w:tcPr>
          <w:p>
            <w:pPr>
              <w:jc w:val="center"/>
              <w:ind w:right="112"/>
              <w:spacing w:after="0" w:line="220" w:lineRule="exact"/>
              <w:rPr>
                <w:sz w:val="20"/>
                <w:szCs w:val="20"/>
                <w:color w:val="auto"/>
              </w:rPr>
            </w:pPr>
            <w:r>
              <w:rPr>
                <w:rFonts w:ascii="Times New Roman" w:cs="Times New Roman" w:eastAsia="Times New Roman" w:hAnsi="Times New Roman"/>
                <w:sz w:val="22"/>
                <w:szCs w:val="22"/>
                <w:b w:val="1"/>
                <w:bCs w:val="1"/>
                <w:color w:val="auto"/>
                <w:w w:val="98"/>
              </w:rPr>
              <w:t>Segments</w:t>
            </w:r>
          </w:p>
        </w:tc>
      </w:tr>
      <w:tr>
        <w:trPr>
          <w:trHeight w:val="287"/>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Outcomes</w:t>
            </w:r>
          </w:p>
        </w:tc>
        <w:tc>
          <w:tcPr>
            <w:tcW w:w="28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220" w:type="dxa"/>
            <w:vAlign w:val="bottom"/>
          </w:tcPr>
          <w:p>
            <w:pPr>
              <w:spacing w:after="0"/>
              <w:rPr>
                <w:sz w:val="24"/>
                <w:szCs w:val="24"/>
                <w:color w:val="auto"/>
              </w:rPr>
            </w:pPr>
          </w:p>
        </w:tc>
        <w:tc>
          <w:tcPr>
            <w:tcW w:w="130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Subtotal</w:t>
            </w:r>
          </w:p>
        </w:tc>
      </w:tr>
      <w:tr>
        <w:trPr>
          <w:trHeight w:val="250"/>
        </w:trPr>
        <w:tc>
          <w:tcPr>
            <w:tcW w:w="3280" w:type="dxa"/>
            <w:vAlign w:val="bottom"/>
            <w:tcBorders>
              <w:top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101,520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389,502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92,241</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16,070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599,333</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65,620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226,817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55,964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354,463</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35,900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162,685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36,277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244,870</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w:t>
            </w:r>
          </w:p>
        </w:tc>
      </w:tr>
      <w:tr>
        <w:trPr>
          <w:trHeight w:val="243"/>
        </w:trPr>
        <w:tc>
          <w:tcPr>
            <w:tcW w:w="3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technology intangible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625</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1,945</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2,570</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35,900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162,685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36,902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247,440</w:t>
            </w:r>
          </w:p>
        </w:tc>
      </w:tr>
      <w:tr>
        <w:trPr>
          <w:trHeight w:val="282"/>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w:t>
            </w:r>
          </w:p>
        </w:tc>
      </w:tr>
      <w:tr>
        <w:trPr>
          <w:trHeight w:val="540"/>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22"/>
                <w:szCs w:val="22"/>
                <w:b w:val="1"/>
                <w:bCs w:val="1"/>
                <w:color w:val="auto"/>
              </w:rPr>
              <w:t>Three Months Ended September 30, 2025</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right="172"/>
              <w:spacing w:after="0" w:line="220" w:lineRule="exact"/>
              <w:rPr>
                <w:sz w:val="20"/>
                <w:szCs w:val="20"/>
                <w:color w:val="auto"/>
              </w:rPr>
            </w:pPr>
            <w:r>
              <w:rPr>
                <w:rFonts w:ascii="Times New Roman" w:cs="Times New Roman" w:eastAsia="Times New Roman" w:hAnsi="Times New Roman"/>
                <w:sz w:val="22"/>
                <w:szCs w:val="22"/>
                <w:b w:val="1"/>
                <w:bCs w:val="1"/>
                <w:color w:val="auto"/>
                <w:w w:val="98"/>
              </w:rPr>
              <w:t>Segments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7"/>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Outcomes</w:t>
            </w:r>
          </w:p>
        </w:tc>
        <w:tc>
          <w:tcPr>
            <w:tcW w:w="28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Subtotal</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280" w:type="dxa"/>
            <w:vAlign w:val="bottom"/>
            <w:tcBorders>
              <w:top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103,622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393,702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84,301</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581,625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71,615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238,941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51,524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362,080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32,007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154,761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32,777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219,545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3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technology intangible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32,007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154,761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32,777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219,545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2"/>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7"/>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7"/>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RECONCILIATIONS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 30, 2026</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60"/>
              <w:spacing w:after="0" w:line="220" w:lineRule="exact"/>
              <w:rPr>
                <w:sz w:val="20"/>
                <w:szCs w:val="20"/>
                <w:color w:val="auto"/>
              </w:rPr>
            </w:pPr>
            <w:r>
              <w:rPr>
                <w:rFonts w:ascii="Times New Roman" w:cs="Times New Roman" w:eastAsia="Times New Roman" w:hAnsi="Times New Roman"/>
                <w:sz w:val="22"/>
                <w:szCs w:val="22"/>
                <w:b w:val="1"/>
                <w:bCs w:val="1"/>
                <w:color w:val="auto"/>
                <w:w w:val="98"/>
              </w:rPr>
              <w:t>Resiliency</w:t>
            </w:r>
          </w:p>
        </w:tc>
        <w:tc>
          <w:tcPr>
            <w:tcW w:w="220" w:type="dxa"/>
            <w:vAlign w:val="bottom"/>
          </w:tcPr>
          <w:p>
            <w:pPr>
              <w:spacing w:after="0"/>
              <w:rPr>
                <w:sz w:val="19"/>
                <w:szCs w:val="19"/>
                <w:color w:val="auto"/>
              </w:rPr>
            </w:pPr>
          </w:p>
        </w:tc>
        <w:tc>
          <w:tcPr>
            <w:tcW w:w="1300" w:type="dxa"/>
            <w:vAlign w:val="bottom"/>
          </w:tcPr>
          <w:p>
            <w:pPr>
              <w:jc w:val="center"/>
              <w:ind w:right="112"/>
              <w:spacing w:after="0" w:line="220" w:lineRule="exact"/>
              <w:rPr>
                <w:sz w:val="20"/>
                <w:szCs w:val="20"/>
                <w:color w:val="auto"/>
              </w:rPr>
            </w:pPr>
            <w:r>
              <w:rPr>
                <w:rFonts w:ascii="Times New Roman" w:cs="Times New Roman" w:eastAsia="Times New Roman" w:hAnsi="Times New Roman"/>
                <w:sz w:val="22"/>
                <w:szCs w:val="22"/>
                <w:b w:val="1"/>
                <w:bCs w:val="1"/>
                <w:color w:val="auto"/>
                <w:w w:val="98"/>
              </w:rPr>
              <w:t>Segments</w:t>
            </w:r>
          </w:p>
        </w:tc>
      </w:tr>
      <w:tr>
        <w:trPr>
          <w:trHeight w:val="286"/>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9"/>
              </w:rPr>
              <w:t>Outcomes</w:t>
            </w:r>
          </w:p>
        </w:tc>
        <w:tc>
          <w:tcPr>
            <w:tcW w:w="28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220" w:type="dxa"/>
            <w:vAlign w:val="bottom"/>
          </w:tcPr>
          <w:p>
            <w:pPr>
              <w:spacing w:after="0"/>
              <w:rPr>
                <w:sz w:val="24"/>
                <w:szCs w:val="24"/>
                <w:color w:val="auto"/>
              </w:rPr>
            </w:pPr>
          </w:p>
        </w:tc>
        <w:tc>
          <w:tcPr>
            <w:tcW w:w="130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Subtotal</w:t>
            </w:r>
          </w:p>
        </w:tc>
      </w:tr>
      <w:tr>
        <w:trPr>
          <w:trHeight w:val="251"/>
        </w:trPr>
        <w:tc>
          <w:tcPr>
            <w:tcW w:w="32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337,342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1,079,403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284,550</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47,922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1,749,217</w:t>
            </w:r>
          </w:p>
        </w:tc>
      </w:tr>
      <w:tr>
        <w:trPr>
          <w:trHeight w:val="282"/>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218,664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628,491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172,119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18,114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1,037,388</w:t>
            </w:r>
          </w:p>
        </w:tc>
      </w:tr>
    </w:tbl>
    <w:p>
      <w:pPr>
        <w:sectPr>
          <w:pgSz w:w="11900" w:h="16917" w:orient="portrait"/>
          <w:cols w:equalWidth="0" w:num="1">
            <w:col w:w="11240"/>
          </w:cols>
          <w:pgMar w:left="320" w:top="3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118,678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450,912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112,431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29,808</w:t>
            </w:r>
          </w:p>
        </w:tc>
        <w:tc>
          <w:tcPr>
            <w:tcW w:w="4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711,829</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62.2%</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40.7%</w:t>
            </w:r>
          </w:p>
        </w:tc>
      </w:tr>
      <w:tr>
        <w:trPr>
          <w:trHeight w:val="243"/>
        </w:trPr>
        <w:tc>
          <w:tcPr>
            <w:tcW w:w="3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technology intangible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1,875</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5,760</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7,635</w:t>
            </w: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118,678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450,912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114,306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35,568</w:t>
            </w:r>
          </w:p>
        </w:tc>
        <w:tc>
          <w:tcPr>
            <w:tcW w:w="48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719,464</w:t>
            </w:r>
          </w:p>
        </w:tc>
      </w:tr>
      <w:tr>
        <w:trPr>
          <w:trHeight w:val="282"/>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74.2%</w:t>
            </w: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w:t>
            </w:r>
          </w:p>
        </w:tc>
      </w:tr>
      <w:tr>
        <w:trPr>
          <w:trHeight w:val="541"/>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22"/>
                <w:szCs w:val="22"/>
                <w:b w:val="1"/>
                <w:bCs w:val="1"/>
                <w:color w:val="auto"/>
              </w:rPr>
              <w:t>Nine Months Ended September 30, 2025</w:t>
            </w:r>
          </w:p>
        </w:tc>
        <w:tc>
          <w:tcPr>
            <w:tcW w:w="12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line="220" w:lineRule="exact"/>
              <w:rPr>
                <w:sz w:val="20"/>
                <w:szCs w:val="20"/>
                <w:color w:val="auto"/>
              </w:rPr>
            </w:pPr>
            <w:r>
              <w:rPr>
                <w:rFonts w:ascii="Times New Roman" w:cs="Times New Roman" w:eastAsia="Times New Roman" w:hAnsi="Times New Roman"/>
                <w:sz w:val="22"/>
                <w:szCs w:val="22"/>
                <w:b w:val="1"/>
                <w:bCs w:val="1"/>
                <w:color w:val="auto"/>
              </w:rPr>
              <w:t>Segments</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6"/>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Outcomes</w:t>
            </w:r>
          </w:p>
        </w:tc>
        <w:tc>
          <w:tcPr>
            <w:tcW w:w="26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Subtotal</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1"/>
        </w:trPr>
        <w:tc>
          <w:tcPr>
            <w:tcW w:w="32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342,253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1,205,368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247,916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1,795,537</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238,902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744,650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1,135,155</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460,718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96,313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660,382</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3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technology intangible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460,718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96,313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660,382</w:t>
            </w: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2"/>
        </w:trPr>
        <w:tc>
          <w:tcPr>
            <w:tcW w:w="3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51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2026-10-27T07:36:47Z</dcterms:created>
  <dcterms:modified xsi:type="dcterms:W3CDTF">2026-10-27T07:36:47Z</dcterms:modified>
</cp:coreProperties>
</file>