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10-K</w:t>
      </w:r>
    </w:p>
    <w:p>
      <w:pPr>
        <w:spacing w:after="0" w:line="178" w:lineRule="exact"/>
        <w:rPr>
          <w:sz w:val="24"/>
          <w:szCs w:val="24"/>
          <w:color w:val="auto"/>
        </w:rPr>
      </w:pPr>
    </w:p>
    <w:p>
      <w:pPr>
        <w:ind w:left="368" w:right="3379" w:hanging="368"/>
        <w:spacing w:after="0" w:line="243"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5"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For the fiscal year ended December 31, 2001</w:t>
      </w:r>
    </w:p>
    <w:p>
      <w:pPr>
        <w:spacing w:after="0" w:line="177" w:lineRule="exact"/>
        <w:rPr>
          <w:sz w:val="24"/>
          <w:szCs w:val="24"/>
          <w:color w:val="auto"/>
        </w:rPr>
      </w:pPr>
    </w:p>
    <w:p>
      <w:pPr>
        <w:ind w:left="342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368" w:right="3819" w:hanging="360"/>
        <w:spacing w:after="0" w:line="243"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pacing w:after="0" w:line="175"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77"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Commission file number 0-22418</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580" w:right="1440" w:bottom="1440" w:gutter="0" w:footer="0" w:header="0"/>
        </w:sectPr>
      </w:pPr>
    </w:p>
    <w:p>
      <w:pPr>
        <w:spacing w:after="0" w:line="177" w:lineRule="exact"/>
        <w:rPr>
          <w:sz w:val="24"/>
          <w:szCs w:val="24"/>
          <w:color w:val="auto"/>
        </w:rPr>
      </w:pPr>
    </w:p>
    <w:p>
      <w:pPr>
        <w:jc w:val="center"/>
        <w:ind w:left="1268"/>
        <w:spacing w:after="0"/>
        <w:rPr>
          <w:sz w:val="20"/>
          <w:szCs w:val="20"/>
          <w:color w:val="auto"/>
        </w:rPr>
      </w:pPr>
      <w:r>
        <w:rPr>
          <w:rFonts w:ascii="Courier New" w:cs="Courier New" w:eastAsia="Courier New" w:hAnsi="Courier New"/>
          <w:sz w:val="15"/>
          <w:szCs w:val="15"/>
          <w:color w:val="auto"/>
        </w:rPr>
        <w:t>Washington</w:t>
      </w:r>
    </w:p>
    <w:p>
      <w:pPr>
        <w:spacing w:after="0" w:line="4" w:lineRule="exact"/>
        <w:rPr>
          <w:sz w:val="24"/>
          <w:szCs w:val="24"/>
          <w:color w:val="auto"/>
        </w:rPr>
      </w:pPr>
    </w:p>
    <w:p>
      <w:pPr>
        <w:jc w:val="center"/>
        <w:ind w:left="1268"/>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5"/>
          <w:szCs w:val="15"/>
          <w:color w:val="auto"/>
        </w:rPr>
        <w:t>91-1011792</w:t>
      </w:r>
    </w:p>
    <w:p>
      <w:pPr>
        <w:spacing w:after="0" w:line="3"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5"/>
          <w:szCs w:val="15"/>
          <w:color w:val="auto"/>
        </w:rPr>
        <w:t>Identification Number)</w:t>
      </w:r>
    </w:p>
    <w:p>
      <w:pPr>
        <w:spacing w:after="0" w:line="177" w:lineRule="exact"/>
        <w:rPr>
          <w:sz w:val="24"/>
          <w:szCs w:val="24"/>
          <w:color w:val="auto"/>
        </w:rPr>
      </w:pPr>
    </w:p>
    <w:p>
      <w:pPr>
        <w:sectPr>
          <w:pgSz w:w="11900" w:h="16838" w:orient="portrait"/>
          <w:cols w:equalWidth="0" w:num="2">
            <w:col w:w="3428" w:space="260"/>
            <w:col w:w="6539"/>
          </w:cols>
          <w:pgMar w:left="232" w:top="580" w:right="1440" w:bottom="1440" w:gutter="0" w:footer="0" w:header="0"/>
          <w:type w:val="continuous"/>
        </w:sectPr>
      </w:pPr>
    </w:p>
    <w:p>
      <w:pPr>
        <w:jc w:val="center"/>
        <w:ind w:right="3192"/>
        <w:spacing w:after="0"/>
        <w:rPr>
          <w:sz w:val="20"/>
          <w:szCs w:val="20"/>
          <w:color w:val="auto"/>
        </w:rPr>
      </w:pPr>
      <w:r>
        <w:rPr>
          <w:rFonts w:ascii="Courier New" w:cs="Courier New" w:eastAsia="Courier New" w:hAnsi="Courier New"/>
          <w:sz w:val="15"/>
          <w:szCs w:val="15"/>
          <w:color w:val="auto"/>
        </w:rPr>
        <w:t>2818 North Sullivan Road</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Spokane, Washington 99216-1897</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(509) 924-9900</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7"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Title of each class</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Common stock, no par value</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7" w:lineRule="exact"/>
        <w:rPr>
          <w:sz w:val="24"/>
          <w:szCs w:val="24"/>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7" w:lineRule="exact"/>
        <w:rPr>
          <w:sz w:val="24"/>
          <w:szCs w:val="24"/>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As of February 28, 2002, there were outstanding 16,344,662 shares of the registrant's common stock, no par value, which is the only class of common or voting stock of the registrant. As of that date, the aggregate market value of the shares of common stock held by non-affiliates of the registrant (based on the closing price for the common stock on the Nasdaq National Market on February 28, 2002) was approximately $338,244,991.</w:t>
      </w:r>
    </w:p>
    <w:p>
      <w:pPr>
        <w:spacing w:after="0" w:line="176"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information called for by Part III is incorporated by reference to the definitive Proxy Statement for the Annual Meeting of Shareholders of the Company to be held May 24, 2002.</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580" w:right="1440" w:bottom="1440" w:gutter="0" w:footer="0" w:header="0"/>
          <w:type w:val="continuous"/>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OVERVIEW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Itron, Inc., is a leading technology provider and source of knowledge to the energy and water industries for collecting, analyzing, and applying critical data about electric, gas, and water usage. Since our founding in 1977, we have continually brought advancements in technology, both hardware and software, to our customers to enable a transition from manpower intensive activities, such as manual meter reading, to more automated and efficient systems that help them optimize the delivery and use of energy and water.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Today, Itron provides the knowledge to shape the future of electric, gas and water providers throughout the world. Over 2,000 utilities in more than 45 countries use our handheld meter reading hardware and software systems to collect and process information from over 250 million meters. Those utilities include over 75% of the largest electric and gas utilities in the US and Canada. More than 850 utilities worldwide use our radio and telephone-based technology to automatically collect, analyze and apply meter data from over 20 million electric, gas and water meters. Our enterprise software solutions for managing complex commercial and industrial meter data are used by over 600 utilities worldwide, including over 90% of the largest electric and gas utilities in the US and Canada. Our software systems are also in use at a number of the newly created wholesale energy markets in the US and Canada to provide critical data management, billing, and settlement systems for the power flowing into and out of those deregulating markets. Our technology now "touches" over $200 billion in energy and water transactions every year in North America alone. In 2001 we began to expand our solutions portfolio for optimizing the delivery and use of energy and water, beyond meter reading, with the acquisition of licensing rights to software that enables utility field workforce automation. Also, in March 2002, we acquired LineSoft Corporation, a company that provides software tools and engineering consulting services to electric utilities that are used for designing new transmission and distribution lines and substations, as well as upgrades to existing facilities.</w:t>
      </w:r>
    </w:p>
    <w:p>
      <w:pPr>
        <w:spacing w:after="0" w:line="18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With overall penetration for meter reading automation in the US and Canada at approximately 14 percent at December 31, 2001, we have plenty of room to gain customers and increase revenues in this market alone. We believe our technology, industry knowledge and relationships with virtually every large utility in North America, give us a strong foothold for extending our leadership into additional systems that give utilities and their customers the knowledge to distribute and use electricity, gas and water more efficiently than ever before. We are aggressively pursuing those opportunities. Knowledge to shape your future--that's Itron.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Energy and Water Industries Overview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a number of years, the energy and water markets have undergone significant changes as governments in the United States and Canada have significantly reduced the regulation of the electricity and gas markets in order to stimulate competition. Transactions previously controlled by a single vertically integrated provider may now be handled by a variety of unrelated market participants. The move from regulated industries towards a deregulated market model has resulted in numerous challenges for utilities to face in terms of how to run their businesses and serve their customers.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At the same time, the energy and water industries have experienced the effects of supply not keeping up with increasing demand. In the last decade, electricity demand increased by 17% while supplies only increased by 2.3%. Since 1970, the demand for water has tripled while the amount of potable water remains stagnant at 1% of the earth's total supply. As many utilities have discovered, building new generation, transmission, or distribution facilities is time consuming, expensive, and with environmental and other permitting requirements, very difficult to do.</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2" w:name="page3"/>
    <w:bookmarkEnd w:id="2"/>
    <w:p>
      <w:pPr>
        <w:ind w:right="3099" w:firstLine="271"/>
        <w:spacing w:after="0" w:line="244" w:lineRule="auto"/>
        <w:rPr>
          <w:sz w:val="20"/>
          <w:szCs w:val="20"/>
          <w:color w:val="auto"/>
        </w:rPr>
      </w:pPr>
      <w:r>
        <w:rPr>
          <w:rFonts w:ascii="Courier New" w:cs="Courier New" w:eastAsia="Courier New" w:hAnsi="Courier New"/>
          <w:sz w:val="15"/>
          <w:szCs w:val="15"/>
          <w:color w:val="auto"/>
        </w:rPr>
        <w:t>A number of utilities across the United States experienced a new height in peak electric demands once or more in the summer of 2001. These records in peak demand, coupled with insufficient transmission infrastructure to carry electricity from the generation source to the distribution facilities, caused blackouts or reductions in voltage on systems in several areas of the country beyond California. Customer pressure for reliability is mounting as power outages become increasingly expensive and disruptive. Extremely high wholesale energy prices early in 2001 translated into a general trend toward rate increases in the latter half of the year. The increased visibility of rolling blackouts, system outages and disruptions, coupled with increased rates, have resulted in a renewed interest in energy conservation, energy management, and upgrading and adding technology to the infrastructure by utility commissions, other political bodies, and consumers, both individuals and businesses.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Many regulatory issues whose outcomes for utilities were uncertain have recently been clarified. The meter reading automation market has begun to expand as issues surrounding metering, meter reading, customer service and billing have begun to be resolved. At the same time, over 30 of the states in the US have implemented performance-based rate systems, in which utilities are measured against performance standards for things like billing accuracy, customer service and satisfaction, outages and system reliability and reductions in infrastructure cost. Meeting or surpassing these standards can result in significant financial rewards while failure to meet them can result in substantial financial penalties. Numerous merger-and-acquisition activities are also prompting utilities to fulfill their promises to achieve new levels of cost and operating synergies.</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These market trends give utilities powerful incentives to reduce costs, streamline operations, enhance system reliability and provide superior customer service--the same goals targeted by Itron technology. All of these issues are gaining momentum and attention, and we believe they will lead to increased business for Itron as we help utilities solve these problems.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Itron's Vision and Strategy</w:t>
      </w:r>
    </w:p>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Itron's growth potential may be viewed in two ways. First, we are an industry leader and source of knowledge for meter data collection and communication solutions and services. In 2001, the Company achieved revenue growth of over 25% related to our core business. Automated data collection and communication technologies are in place on only 14% of the approximately 270 million electric, gas and water meters in the United States and Canada. Of those, at least 50% use Itron's technology. We will continue to aggressively pursue the numerous opportunities available for the automation of meter reading and utility revenue cycle services.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Secondly, Itron is expanding beyond meter data collection and communication automation technologies. Utilities and their customers have entered an era that underscores the critical need to understand more about how and when electricity, natural gas and water are used--and how to better manage the distribution of both. Knowledge-based systems that optimize the delivery and use of energy and water are a natural extension of what we do. We believe our customer relationships, industry knowledge and technology expertise ideally position us to capture a significant part of the large growth opportunity remaining in this market. They also give us excellent positioning to expand our core competencies in meter reading data collection and information creation into what we believe are even larger growth opportunities for data collection, data and system analysis, and system planning and operations--all aimed at giving utilities the knowledge to make their distribution systems more efficient and help their customers increase energy and water usage efficiency.</w:t>
      </w:r>
    </w:p>
    <w:p>
      <w:pPr>
        <w:spacing w:after="0" w:line="182"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With this strategic growth path in mind, our next-generation product development is focused on data collection, communications equipment and software applications--all of which will give utilities the knowledge to distribute and use their valuable resources more efficiently than ever before. In addition to internal development, we are also looking outside of Itron for potential licensing, partnering and acquisition opportunities that will enable us to expand our solutions portfolio. We may also provide services in data collection and information provisioning.</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Market Opportunities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Meter Reading Systems and Services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handheld systems have been installed at over 2,000 utilities in more than 45 countries and are being used to read approximately 250 million meters worldwide. These installations include approximately 75% of the utilities in North America that have meter populations greater than 50,000. While most utilities in the US and Canada have handheld meter reading systems in use today, this still represents a good market for us as these utilities upgrade and replace their handheld meter reading systems, on average every 5 years. Outside of the US and Canada, there are numerous opportunities for new handheld meter reading system sales as well as upgrade and replacement opportunities. In 2001, handheld meter reading systems represented approximately 29% of our total revenues.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estimate there are approximately 130 million electric meters, 70 million gas meters, and 70 million water meters in the US and Canada. Automated Meter Reading ("AMR") technology is in use on approximately 37 million or 14% of the total meters in the US and Canada. We estimate that there are another 600 to 800 million meters outside of the US and Canada with minimal AMR deployments. We have established ourselves as the world's leading supplier of AMR systems having shipped just over 20 million AMR meter modules to utilities in the US and Canada, and approximately 500,000 to utilities elsewhere around the world as of December 31, 2001. In total, over 850 utilities have installed our AMR technology. With the direction of deregulation becoming clearer, many utilities are returning to a "back to basics" strategy to running their business. Fundamentals including cost reduction, improved reliability and enhanced customer connections are the focus of many utility strategies. Automation technology helps enable utilities to meet these goals.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industry-leading MV-90 commercial and industrial ("C&amp;I") meter data collection and analysis software is used by more than 600 utilities throughout the world including more than 90% of the major electric and gas utilities in the US and Canada. In 2001, we introduced MV-90 Enterprise Edition, an enhancement to our core system that makes critical energy usage data readily available to an entirely new cast of users, data subscribers and software developers to support a wide variety of energy-related applications. As deregulated market environments unfold and interest in energy management and control increases, we expect timely and open access to energy usage information to become increasingly important. All installed MV-90 software platforms are available for upgrade to the new open architecture which provides utility enterprise wide data access via standard internet and data exchange technologies. MV-90 Enterprise Edition information exchange server software along with our corresponding data analysis and web presentment solutions help enable energy providers and their customers to have the information and knowledge they need to make decisions on how to most efficiently and cost effectively use energy.</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Regional Transmission Grid Systems and Services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Regulatory reform is creating new opportunities on the "wholesale" side of the business such as systems for reconciling the supply of power to, and purchases of power from, electric power transmission grids. Our products and systems are currently being used to manage critical market settlement transactions between the myriad of market participants for electric transmission grids in the UK, California, Arizona, and Alberta and Ontario, Canada. Itron provides a comprehensive suite of proven software and business solutions to meet the energy data collection and management needs of participants in the new energy marketplace including generation companies, transmission companies, distribution companies, energy service providers, marketers and retailers, independent system operators (ISOs), and end customers. While the 2001 energy crisis in California has slowed decisions related to opening the wholesale markets in certain areas of the country, we believe we will continue to see opportunities in this market as additional regional and state transmission grids are established.</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Utility Field Service Workforce Automation</w:t>
      </w:r>
    </w:p>
    <w:p>
      <w:pPr>
        <w:spacing w:after="0" w:line="178" w:lineRule="exact"/>
        <w:rPr>
          <w:sz w:val="20"/>
          <w:szCs w:val="20"/>
          <w:color w:val="auto"/>
        </w:rPr>
      </w:pPr>
    </w:p>
    <w:p>
      <w:pPr>
        <w:jc w:val="both"/>
        <w:ind w:right="3199" w:firstLine="271"/>
        <w:spacing w:after="0" w:line="244" w:lineRule="auto"/>
        <w:rPr>
          <w:sz w:val="20"/>
          <w:szCs w:val="20"/>
          <w:color w:val="auto"/>
        </w:rPr>
      </w:pPr>
      <w:r>
        <w:rPr>
          <w:rFonts w:ascii="Courier New" w:cs="Courier New" w:eastAsia="Courier New" w:hAnsi="Courier New"/>
          <w:sz w:val="15"/>
          <w:szCs w:val="15"/>
          <w:color w:val="auto"/>
        </w:rPr>
        <w:t>Electric, gas and water utilities have a number of utility field workforces that perform operations in the field. In 2001, we obtained exclusive rights to market and sell a web-based, wireless mobile workforce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4" w:name="page5"/>
    <w:bookmarkEnd w:id="4"/>
    <w:p>
      <w:pPr>
        <w:ind w:right="3099"/>
        <w:spacing w:after="0" w:line="244" w:lineRule="auto"/>
        <w:rPr>
          <w:sz w:val="20"/>
          <w:szCs w:val="20"/>
          <w:color w:val="auto"/>
        </w:rPr>
      </w:pPr>
      <w:r>
        <w:rPr>
          <w:rFonts w:ascii="Courier New" w:cs="Courier New" w:eastAsia="Courier New" w:hAnsi="Courier New"/>
          <w:sz w:val="15"/>
          <w:szCs w:val="15"/>
          <w:color w:val="auto"/>
        </w:rPr>
        <w:t>automation management software package to utilities throughout the United States, Canada, Mexico, Taiwan, the Peoples Republic of China, Japan and South Korea. Many of the economic and other pressures that drive automation of meter reading also result in the requirement for more immediate access to information between the office and the field. This tool allows utility field workers to access via the web the information they need to make decisions, eliminate costly paperwork, and work more effectively for operations such as service turn-ons/turn-offs, gas leak detection, credit and collections, meter services and trouble calls. We estimate that many utilities have a field workforce for these operations that is roughly three times the size of their meter reading workforce. While a number of utilities have solutions in place for one or more of their field workforce crews, we believe the need to increase operational efficiency will drive further consolidation and automation of these crews.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Transmission and Distribution Products and Services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Significant utility budget dollars are spent annually on building, maintaining and upgrading utility transmission and distribution ("T&amp;D") systems. Electrical Power Research Institute and Cambridge Energy Research Associates reports indicate that approximately $10B is spent each year on the construction and maintenance of T&amp;D facilities. Research reports and market conditions point to an increasing need for investments by utilities in their transmission and distribution systems. There are a number of geographic areas which lack adequate transmission system capacity to move electricity from the generation facilities to the distribution systems. This has been one of the causes of rolling blackouts in California and outages and voltage reductions in the Northeast. To support the increase in energy demand, new transmission system infrastructure must be built and existing infrastructure needs to be upgraded. Efficiently designing and upgrading the distribution system can improve reliability and safety.</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March, 2002, we acquired LineSoft Corporation, a leading provider of software solutions and engineering consulting services for optimizing utility transmission and distribution systems. Given the current state of utility transmission and distribution systems, with demand far exceeding supplies in many parts of the country, we believe there is an excellent market ahead for the LineSoft suite of products. LineSoft provides software licenses and software services for the optimized design of transmission and distribution lines as well as distribution substations, applicable to new construction, upgrades and maintenance; engineering design services for transmission and distribution lines; and a joint use business, which helps utilities keep track of what is attached to their existing distribution poles, what can be added to them, whether or not the poles are in compliance with existing codes and safety regulations, and whether they are being used most effectively.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Products and Solutions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Itron has a broad portfolio of solutions for collecting and communicating data from and throughout complex utility networks and creating information that has high value to suppliers, distributors and end-users of electricity, natural gas and water.</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meter reading solutions integrate a broad array of meter modules, private and public radio and telephone-based communications systems, and data management, storage and delivery applications. Our solutions support electric, gas, and water service. Itron's integrated approach provides our customers with the flexibility needed to apply a cost-effective solution to each of their situations--rural, suburban, urban; residential, commercial, and industrial.</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meter reading automation technologies are designed to accommodate the inevitability of change so that our customers can select solutions that meet their needs today while also laying the foundation for more advanced solutions to meet their future goals and objectives. Our radio-based solutions encompass handheld (off-site), mobile and network reading technology options. Because the same radio-based meter modules can be used with any of these alternatives, our technologies facilitate the migration from one level of systems automation to another by eliminating the need to replace the meter endpoint. Our telephone-based solutions offer an economically attractive alternative for low density or selective deployment situations.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5" w:name="page6"/>
    <w:bookmarkEnd w:id="5"/>
    <w:p>
      <w:pPr>
        <w:ind w:right="3099" w:firstLine="271"/>
        <w:spacing w:after="0" w:line="244" w:lineRule="auto"/>
        <w:rPr>
          <w:sz w:val="20"/>
          <w:szCs w:val="20"/>
          <w:color w:val="auto"/>
        </w:rPr>
      </w:pPr>
      <w:r>
        <w:rPr>
          <w:rFonts w:ascii="Courier New" w:cs="Courier New" w:eastAsia="Courier New" w:hAnsi="Courier New"/>
          <w:sz w:val="15"/>
          <w:szCs w:val="15"/>
          <w:color w:val="auto"/>
        </w:rPr>
        <w:t>We have developed software solutions that integrate, store, manage and apply information from diverse data collection systems and technologies. This allows for the deployment of various collection technologies within a service territory, tailored to the economic and functional considerations of different portions of the territory. Itron also provides software solutions that take collected load data and enable customized billing and settlement, internet-based presentment and information exchange. Itron software solutions are integrated with the widest array of utility billing systems in the industry, with our communication protocols, in many respects, representing the defacto industry standard. In addition, Itron has one of the largest project management organizations in the industry supporting our products and services.</w:t>
      </w:r>
    </w:p>
    <w:p>
      <w:pPr>
        <w:spacing w:after="0" w:line="180"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Traditionally, many of our customers have deployed our technology primarily on the basis of reducing costs and improving the efficiency of their meter reading applications. While this remains a critical piece of Itron's value proposition, our products, systems and solutions can provide a wide range of benefits to our customers that go far beyond meter reading and billing. Our customers are finding that Itron's technology and services can be an integral component of their operational and strategic objectives of reducing costs, improving customer service, delivering real process improvement, and successfully evolving their businesses to manage the threats and seize the opportunities presented by an increasingly competitive marketplace.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Automatic Meter Reading (AMR) Systems and Products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AMR product line primarily involves the use of radio and telephone communications technology to collect and transmit meter data along with a host of software solutions for billing and settlement, data storage and retrieval, internet data presentment, load profiling and forecasting, and numerous other applications for meter data. The Company's radio-based AMR solutions encompass Off-Site AMR, Mobile AMR and Network AMR. Due to the geographic features and varying population density of a utility's service territory, generally no single meter reading solution is technologically or economically suited to all parts of the utility's service territory. Our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 area. In a deregulated marketplace, target marketing of specific features will be desirable. We provide technology that can be selectively deployed to targeted end-use consumers. This flexibility helps our customers achieve economic and operational benefits from their initial investments in our AMR systems, while enabling migration to more comprehensive AMR solutions in the future as the marketplace requires.</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Meter Modules: Our encoder, receiver, transmitter (ERT) meter modules serve as the data collection endpoint for Itron's fully integrated portfolio of radio-based data collection solutions. ERTs are radio-based modules that fit on electric, gas or water meters. The ERTs encode consumption and tamper information from the meters and communicate the data via radio to Itron's handheld, mobile and network radio data collection systems. ERTs can be retrofitted to existing meters or installed on new meters during the manufacturing process. Electric ERTs are installed under the glass of new or existing electric meters and are powered by the electricity running to the meter. Gas and water ERTs attach to the meter and are powered by long-life batteries.</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also offer a separate line of meter modules for use outside of North America. The primary differences between the meter modules used by the Company in North America and those used in international markets are the radio frequency band in which they operate and the physical configuration of the module.</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Off-Site Meter Reading: Off-site Meter Reading ("OMR") uses radio-equipped handheld computers to read module-equipped electric, gas or water meters via radio without the need to access the meter or customer premises. A radio is integrated into a handheld computer. A software module in the meter reading system allows the handheld computer to determine which meters are read by radio vs. which are read manually, or by an optical probe. As a meter reader walks a route, the radio-equipped handheld computer sends a radio "wake-up" signal to</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 w:name="page7"/>
    <w:bookmarkEnd w:id="6"/>
    <w:p>
      <w:pPr>
        <w:ind w:right="3279"/>
        <w:spacing w:after="0" w:line="244" w:lineRule="auto"/>
        <w:rPr>
          <w:sz w:val="20"/>
          <w:szCs w:val="20"/>
          <w:color w:val="auto"/>
        </w:rPr>
      </w:pPr>
      <w:r>
        <w:rPr>
          <w:rFonts w:ascii="Courier New" w:cs="Courier New" w:eastAsia="Courier New" w:hAnsi="Courier New"/>
          <w:sz w:val="15"/>
          <w:szCs w:val="15"/>
          <w:color w:val="auto"/>
        </w:rPr>
        <w:t>nearby radio-based meter modules that have been installed on electric, gas or water meters. The unit then receives meter reading and tamper data back from the meter modules. The same handheld computer can read any combination of properly equipped electric, gas and water meter modules.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OMR is normally used to read the 5-10 percent of accounts within the utility service territory that have high-cost or hazardous-to-read meters. The meters are typically located in a geographically dispersed environment, scattered throughout the service territory. These meters may be situated in a basement, in a back yard with a bad dog or locked gate, or with an angry customer who doesn't want the meter reader on the property.</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Mobile AMR: Mobile AMR uses vehicles equipped with radio units to read ERT module-equipped electric, gas or water meters via radio without the need to access the meter. A radio transceiver, called a DataCommand Unit or a portable DataPac, is installed in a utility vehicle. Route information is downloaded from the utility billing system and loaded into the radio transceiver. While driving along a meter reading route, the transceiver broadcasts a radio wake-up signal to all ERT meter modules within range and receives the ERT messages when they respond. Mobile AMR is usually used in areas where there may be large populations of difficult-to-access, or hazardous-to-read meters. As a result of this level of saturation, meter reading efficiency is dramatically improved. A single DataCommand Unit transceiver reads an average of 10,000 to 12,000 meters in an 8-hour shift, and can read up to 24,000 meters per day, depending on meter density and system use. A portable DataPac reads an average of 4,000 to 5,000 meters per day. The same radio transceiver can read electric, gas and water meter modules.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Network AMR: We offer a number of variations of Network AMR products. Our Network solutions provide utilities with the capability of automating meter reading in segments of a utility's service area, thereby eliminating the need to send meter readers to or near customer premises. Our Network AMR technology provides utilities with a number of utility-related applications, including daily or more frequent meter reads, time-of-use pricing, on-request meter reads for final reads or customer inquiries, tamper monitoring and reporting, high-level outage detection and power restoration reporting, load profiling and virtual connect/disconnect capabilities.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Saturated Network Deployments: Our Network AMR solution for saturated deployments uses a fixed radio communication network to collect data from electric, gas or water meters equipped with ERT modules and transports the data over a wide-area communications network to a central host processor. The network components include a Cell Control Unit (CCU), Network Control Node (NCN) and Itron Host Processor. The CCU is typically installed on power poles or street light arms. It is a neighborhood concentrator that reads meter modules, processes data into a variety of applications, stores data temporarily, and transports the data to the host processor when required. The NCN is a regional concentrator and routing device that is installed in radio communication facilities, such as leased towers, substations or other communication facilities. The primary functions of the NCN are data transfer and information routing between CCUs and the host processor. The Itron Host Processor is the head-end host processor. The software manages the collection of data from the network devices and facilitates the download of schedules and other application information to appropriate network devices. The host processor also transfers the data to a database for storage and retrieval.</w:t>
      </w:r>
    </w:p>
    <w:p>
      <w:pPr>
        <w:spacing w:after="0" w:line="184"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Drop-In Network Deployments: Our MicroNetwork is a drop-in network meter reading and submetering solution that combines radio and telephone technology to collect metering data from groups of electric, gas or water meters. The MicroNetwork combines radio and telephone communications technology to collect daily, weekly, monthly and on-request reads from groups of meters in a variety of environments. The MicroNetwork consists of ERT meter modules, locally installed communications nodes called Concentrators, and Itron meter reading software and host processing station. Using RF communications technology, the Concentrator Units automatically gather consumption information from electric, gas or water meters equipped with ERT meter modules. Concentrators gather information directly from ERT meter modules, or through a series of Repeater Concentrators when direct communication to a particular ERT is difficult. The MicroNetwork then employs existing public telephone networks to send the gathered data from the Concentrator Units to the host processor. If desired, data can also be gathered from MicroNetwork Concentrators using an Itron DataCommand mobile AMR</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7" w:name="page8"/>
    <w:bookmarkEnd w:id="7"/>
    <w:p>
      <w:pPr>
        <w:ind w:right="3099"/>
        <w:spacing w:after="0" w:line="244" w:lineRule="auto"/>
        <w:rPr>
          <w:sz w:val="20"/>
          <w:szCs w:val="20"/>
          <w:color w:val="auto"/>
        </w:rPr>
      </w:pPr>
      <w:r>
        <w:rPr>
          <w:rFonts w:ascii="Courier New" w:cs="Courier New" w:eastAsia="Courier New" w:hAnsi="Courier New"/>
          <w:sz w:val="15"/>
          <w:szCs w:val="15"/>
          <w:color w:val="auto"/>
        </w:rPr>
        <w:t>unit. The MicroNetwork is ideally suited for smaller clusters of meters that require more frequent reads, but where there are not enough meter points to effectively distribute the cost of fixed network infrastructure. Like all Itron radio-based technologies, the MicroNetwork reads the same electric, gas and water meter modules as OMR, Mobile AMR and Saturated Fixed Network AMR.</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Commercial and Industrial (C&amp;I) Network: Our C&amp;I Network uses advanced, peer-to-peer radio communications to transport metering data from solid-state electric meters equipped with Itron External Meter Modems (EMMs). The data travels from the EMMs, through a system of radio relays, to a hub, which then routes the data using a single dedicated phone line to an Itron MV-90 host processor. There the data can be integrated with a variety of Itron and other software applications to provide a variety of billing, internet-based data presentment, load forecasting and settlements, marketing, load curtailment, energy management, load research and system engineering applications.</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By using a system of radio frequency relays to communicate with these meters, the C&amp;I Network eliminates the need for dedicated phone lines and the associated on-going phone charges to each meter. This makes the C&amp;I Network a very economical network communication solution and enables energy providers to meet advanced data collection needs for a significantly broader segment of commercial and industrial energy customers.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Telephone-Based Technology: Our telephone-based meter modules encode consumption, interval and tamper information from meters, then transmit this data via telephone communications to a host processor at pre-programmed times. Module-equipped meters are installed at the customer location and a telephone connection is installed between the meter and the telephone junction box. The existing telephone line at the customer premises is used for communication between the meter and host processor, so no installation of dedicated phone lines to the meter is required. Our telephone-based technologies use "polite" technology to detect when the customer is using the phone line. The modules will not initiate calls or continue a call when the customer's phone line is in use. Meter modules are programmed, from the host processor to collect and store data in the module at scheduled times. The devices are also programmed to call into the host processor at pre-scheduled times.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residential and commercial applications, our telephone based modules for electric meters attach under the glass of those meters and collect and report consumption, demand, and load profile data. In addition, certain telephone-based modules for electric use report power outages and restoration of power. For large volume gas meters, our telephone-based modules collect information that is used to bill transport gas and interruptible gas customers, as well as critical load survey data for applications such as peak day forecasting, supply forecasting and assessments, rate design and marketing. For residential gas applications, modules are attached to existing or new residential gas meters to provide consumption and load survey data.</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Commercial and Industrial Data Collection and Management Software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Commercial and industrial (C&amp;I) meters have much more sophisticated measurement capabilities than do meters for residential customers. Therefore, they collect much more data from the meter that must be conveyed back to energy providers and others. There are a wide variety of these meters by multiple meter vendors with no uniform communications standards. We are the leading worldwide provider of software systems for metering data acquisition and analysis for the large C&amp;I customers of electric and gas utilities. These systems include the following:</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MV-90 system is the world's leading system for collection, validation and editing of interval, register and event data from solid-state metering and data-logging devices. The MV-90 system collects interval, register and event data from over 120 different gas and electric metering devices. MV-90 has extensive functionality to support data validation and data editing. A variety of system interfaces and optional packages for data totalization, time-of-use pricing, load research and interactive graphics are available to provide complete meter data management services. MV-90 is very scalable and can be operated on a single PC as well as in wide-area network operating environments and distributed systems. Most functions within MV-90 are automated, significantly improving the ability to process complex meter data.</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 w:name="page9"/>
    <w:bookmarkEnd w:id="8"/>
    <w:p>
      <w:pPr>
        <w:ind w:right="3099" w:firstLine="271"/>
        <w:spacing w:after="0" w:line="244" w:lineRule="auto"/>
        <w:rPr>
          <w:sz w:val="20"/>
          <w:szCs w:val="20"/>
          <w:color w:val="auto"/>
        </w:rPr>
      </w:pPr>
      <w:r>
        <w:rPr>
          <w:rFonts w:ascii="Courier New" w:cs="Courier New" w:eastAsia="Courier New" w:hAnsi="Courier New"/>
          <w:sz w:val="15"/>
          <w:szCs w:val="15"/>
          <w:color w:val="auto"/>
        </w:rPr>
        <w:t>In late 2001, we introduced MV-90 Enterprise Edition, which enables MV-90 to function as an advanced, two-way information exchange server for an array of applications. These include billing and financial settlement, load forecasting and demand management, distribution operations and planning, marketing and customer care, deregulated marketplace transactions, and more. Energy providers can use MV-90 Enterprise Edition to perform advanced load aggregation, generate reports and view graphs, integrate the data with other systems, and more. Its advanced search capabilities and thin-client architecture, incorporated into a relational database, enable improved efficiencies while expanding access rich and accurate information for value-added applications.</w:t>
      </w:r>
    </w:p>
    <w:p>
      <w:pPr>
        <w:spacing w:after="0" w:line="180"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MV-90 Enterprise Edition features industry standard data exchange formats, open access to MV-90 via an XML API services layer for third-party software developers, a calculation engine to build and execute complex load calculations, and a scalable Oracle relational database. MV-90 Enterprise Edition supports Unix or Windows 2000 for the database platform, Windows 2000 as the application server platform and any Microsoft operating system on the client/server.</w:t>
      </w:r>
    </w:p>
    <w:p>
      <w:pPr>
        <w:spacing w:after="0" w:line="178" w:lineRule="exact"/>
        <w:rPr>
          <w:sz w:val="20"/>
          <w:szCs w:val="20"/>
          <w:color w:val="auto"/>
        </w:rPr>
      </w:pPr>
    </w:p>
    <w:p>
      <w:pPr>
        <w:ind w:right="3199" w:firstLine="271"/>
        <w:spacing w:after="0" w:line="265" w:lineRule="auto"/>
        <w:rPr>
          <w:sz w:val="20"/>
          <w:szCs w:val="20"/>
          <w:color w:val="auto"/>
        </w:rPr>
      </w:pPr>
      <w:r>
        <w:rPr>
          <w:rFonts w:ascii="Courier New" w:cs="Courier New" w:eastAsia="Courier New" w:hAnsi="Courier New"/>
          <w:sz w:val="14"/>
          <w:szCs w:val="14"/>
          <w:color w:val="auto"/>
        </w:rPr>
        <w:t>In addition to the base MV-90 platforms, we offer a number of MV-90 add-on software solutions that enable MV-90 to efficiently handle and store large volumes of complex meter and load data, generate customized bills and invoices to meet specific needs of C&amp;I customers under a variety of complex rates, supply contracts and schedules, perform billing and financial settlements, and enable use of the Internet for C&amp;I customers to view and graph load data.</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Handheld Systems and Products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Almost all utilities in the US and Canada, and utilities in numerous other countries around the world, use handheld meter reading systems to automate a substantial portion of their meter reading and billing functions. Approximately 75% of the largest utilities (those with 50,000 or more meters) in the United States and Canada, use our handheld systems. We provide several models of handheld computers to meet the varying requirements of our customers. Each model is designed for use in harsh environments with standard text and graphics, back-lit displays, several memory sizes, multiple communications options, interface devices for electronic meters and easy to use keyboards that can be customized to the needs of the our customers.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Handheld systems are used as follows: (1) key customer data is downloaded from the utility's host processor to our handheld computers prior to commencement of a meter reader's daily route; (2) a meter reader visually reads meters along a route and enters the readings into a handheld computer; and (3) after a meter reader's daily route has been completed, collected data is uploaded directly into the utility's host billing system. Additionally, handheld systems can collect non-meter reading information, including meter condition, hazardous conditions, tamper information, survey data and high/low reading checks. Our family of software systems provides data consolidation and storage, reformatting, linkage to a utility's host billing system, meter reading route management, route downloading and time-of-use and interval data recording data management and distribution.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Utility Field Workforce Automation Software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utilities of all service types and sizes, field service operations represent an opportunity in which technologies such as wireless communications, the Internet, and real-time data exchange can be applied to achieve operational efficiency, productivity and customer service. In 2001, we acquired exclusive distribution rights to Service-Link, a field service workforce automation solution developed by eMobile Data of Vancouver, Canada. Service-Link enables information to be downloaded to mobile computers via regular dial-up docking station connections or via wireless communications. Service-Link supports numerous handheld devices ranging from a pocket PC/PDA to a full Laptop. Service-Link uses the Internet and a utility's local area network or wide area network to provide connections between a server, dispatcher workstations, customer service representatives, and the wireless network.</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Transmission and Distribution Software and Engineering Services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In March 2002, we acquired LineSoft Corporation, a leading provider of software solutions and engineering consulting services for optimizing utility transmission and distribution systems. Specific LineSoft products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ind w:right="3099"/>
        <w:spacing w:after="0" w:line="244" w:lineRule="auto"/>
        <w:rPr>
          <w:sz w:val="20"/>
          <w:szCs w:val="20"/>
          <w:color w:val="auto"/>
        </w:rPr>
      </w:pPr>
      <w:r>
        <w:rPr>
          <w:rFonts w:ascii="Courier New" w:cs="Courier New" w:eastAsia="Courier New" w:hAnsi="Courier New"/>
          <w:sz w:val="15"/>
          <w:szCs w:val="15"/>
          <w:color w:val="auto"/>
        </w:rPr>
        <w:t>include: (1) licensed software tools, typically sold on a seat license basis with follow-on software maintenance contracts for transmission line design, distribution line design, and substation design, (2) software services that help utilities apply LineSoft's tools, including data entry of utility codes and standards, electrical and mechanical design standards for the utility, safety standards, electrical codes (local, state regional), interfaces to other utility systems such as graphical information systems, work management systems, material management systems, and accounting systems, (3) engineering consulting services for transmission and distribution line design, and (4) joint use business, which includes services and software tools, including services for surveying utility poles in preparation for attachment of cables and equipment of other carriers (cable companies, competitive local exchange carriers, etc.) and software tools for calculating utility pole's capability for carrying wires and other devices, creating work orders to repair or make poles ready for additional attachments, and determining compliance with local codes and safety rules.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Sales and Distribution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Today, Itron provides the knowledge needed to shape the future of electric, gas and water utilities throughout the world. Our technology, industry knowledge and relationships with virtually every large utility in the US and Canada, and our relationships with a number of key utilities around the world, give us a strong foothold for extending our leadership position in meter reading into additional systems that give utilities and their customers the knowledge they need to distribute and use electricity, gas and water more efficiently than ever before. We are aggressively pursuing those opportunities.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Over 2,000 utilities in more than 45 countries use our handheld meter reading hardware and software systems to collect and process information from over 250 million meters. Those utilities include over 75% of the largest electric and gas utilities in the US and Canada. Handheld meter reading sales in the US and Canada are expected to be predominantly system upgrades and replacements. We believe that international markets represent a growth opportunity for sales of our handheld systems and AMR systems where penetration of these systems is substantially less than that of our domestic market.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More than 850 utilities use our radio and telephone-based technology to automatically collect, analyze and apply meter data from over 20 million electric, gas and water meters. With overall penetration for meter reading automation in the US and Canada at approximately 14 percent, and minimal AMR penetration elsewhere, we have plenty of room to gain customers and increase revenues in this market alone. We have established ourselves as the world's largest provider of AMR solutions in the US and Canada as a result of having shipped over 20 million meter modules as of December 31, 2001, which represents slightly more than half of all modules shipped.</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enterprise software solutions for managing complex commercial and industrial meter data are used by over 600 utilities worldwide, including over 90% of the largest electric and gas utilities in the US and Canada. Our software systems are also in use at a number of the wholesale energy markets in the US and Canada, including California, Arizona, and Ontario to provide critical billing and settlement systems for the power flowing into and out of those deregulating markets.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With the acquisition of LineSoft in March 2002, we have over 130 utilities in 14 countries that also use our software tools and engineering design services for transmission and distribution system optimization.</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the US and Canada we use a combination of direct and indirect sales channels. For the largest electric, gas and water utilities we primarily utilize direct sales and technical and administrative support teams to serve the needs of our customers. For smaller utilities, we conduct sales and technical support activities primarily through numerous business associates and manufacturer representatives, including several major meter manufacturers.</w:t>
      </w:r>
    </w:p>
    <w:p>
      <w:pPr>
        <w:spacing w:after="0" w:line="177"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We segment the market in the US and Canada for all of our product offerings according to the following market segments:</w:t>
      </w:r>
    </w:p>
    <w:p>
      <w:pPr>
        <w:spacing w:after="0" w:line="176"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Natural Gas Systems: Our Natural Gas systems business unit focuses on 71 operating utilities encompassing approximately 37 million gas meters and approximately 3 million electric meters. Of these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jc w:val="both"/>
        <w:ind w:right="3379"/>
        <w:spacing w:after="0" w:line="244" w:lineRule="auto"/>
        <w:rPr>
          <w:sz w:val="20"/>
          <w:szCs w:val="20"/>
          <w:color w:val="auto"/>
        </w:rPr>
      </w:pPr>
      <w:r>
        <w:rPr>
          <w:rFonts w:ascii="Courier New" w:cs="Courier New" w:eastAsia="Courier New" w:hAnsi="Courier New"/>
          <w:sz w:val="15"/>
          <w:szCs w:val="15"/>
          <w:color w:val="auto"/>
        </w:rPr>
        <w:t>utilities, the great majority use our handheld meter reading systems and two thirds of these utilities have installed our AMR technology over portions of their territories.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Water and Public Power Systems: This business unit focuses on approximately 60,000 water utilities and 3,000 municipal electric and gas and rural electric cooperative utilities in the US and Canada. Only 60% of customers/households are currently being metered for water. To serve the needs of the smaller utilities within this segment, we use a network of 19 business associates. We sell directly to the largest utilities within this segment, which includes approximately 137 utilities, representing approximately 24 million water meters, 4 million electric meters, and 1 million gas meters. Of these larger utilities, many use our handheld meter reading technology and roughly 15% have installed our AMR technology.</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Electric Systems: The Electric systems business unit focuses on roughly 120 operating utilities, primarily large, investor-owned electric-only utilities and electric and gas combination utilities. In total, these customers represent approximately 102 million electric meters, 27 million gas meters, and 4 million water meters. The great majority use our handheld meter reading systems, over half have installed our AMR meter modules over portions of their territories, and almost all of these utilities have installed our MV-90 software applications.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all of the above market segments, we also sell electric and water meter modules through original equipment manufacturer arrangements with several major meter manufacturers, in which the manufacturers incorporate our meter modules at their own facilities into new meters and then offer them for sale. In addition, we license certain AMR technology to Schlumberger. In 2001, Schlumberger sold approximately 600,000 modules that went on electric meters using the licensed technology.</w:t>
      </w:r>
    </w:p>
    <w:p>
      <w:pPr>
        <w:spacing w:after="0" w:line="178"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International Systems: Our International business unit is focused on sales of products, systems and services outside of the US and Canada. We estimate that outside of the US and Canada, there are approximately 600 to 800 million meters. The majority of revenues for this business unit currently consist of sales and servicing of our handheld meter reading systems and commercial and industrial data collection and analysis software. We have particularly strong handheld meter reading market share with utilities in Japan, Korea, Australia, and many parts of Europe. Interest in AMR systems and technology varies widely from country to country and overall is at a very early penetration level. With offices in the U.K., France and Australia, and excellent distributor relationships in a number of other key areas, we believe that Itron's International business unit has the technology, knowledge and global reach to deliver the data collection and management solutions tailored to meet the specific needs of electric, gas and water utilities in a wide variety of business and operational environments throughout the world.</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Marketing activities include product marketing, industry marketing, marketing communications, customer relationship management, and regulatory and legislative affairs. Our marketing efforts focus on company and product awareness and recognition principally through an integrated marketing communications approach including trade shows, symposiums, brochures and collateral, published papers, the Itron web site, advertising, direct mail, electronic communications, newsletters, conferences, annual user's forums, industry standards committee representation and regulatory support. We maintain communications with our customers through integrated marketing communication campaigns. Additionally, we are continuing to build and expand our customer relationship management system based upon Siebel software.</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attend and participate in several major industry conferences each year, including: the DistribuTECH Conference; the Automatic Meter Reading Association conference; the Edison Electric Institute (EEI) Conference; Customer Information Systems (CIS) Conference; American Water Works Association Conference; the Geospacial Information Technology Association Conference, Energy IT Conference and Metering Americas Conference. Our Annual Users Conferences are an important opportunity for Itron our customers to come together and share ideas about Itron products, industry happenings and customer needs.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Product Development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have maintained our leadership position in part because of our commitment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developing new products and continued enhancement of existing products.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next generation technology development is primarily focused on data collection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communications technologies, and software applications. We also invest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expanding and upgrading new hardware and software platforms for handheld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meter reading systems. We spent $30.0 million and $21.3 million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in 2001 and 2000, respectively. See "Management's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and Analysis of Financial Condition and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Operations--Operating Expenses to our accompanying financial statements."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future success will depend in part on our ability to continue to develop or acquire new competitive products and technology. In 2001, we spent over 13% of our revenues in product development, an investment level that will continue for several years. By year-end, over 60% of our product development dollars were being spent on products we do not expect to ship until at least the 2003 timeframe. See "Certain Risk Factors--Dependence on New Product Development."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manufacture meter modules and other communications technology products, as well as certain peripheral equipment. Our primary manufacturing objective is to design and produce cost-effective, high-quality meter modules and other network components utilizing high-volume automation equipment. We outsource the manufacturing of certain handheld systems and peripheral equipment, as well as other lower-volume AMR products to a contract manufacturer in which we have a minority ownership interest. The contract manufacturer leases from us approximately 21% of the space in our Spokane facility, approximately 30,000 square feet. In addition, most of our handheld systems products, telephone modules and international meter module products are manufactured for us by third parties.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primary manufacturing facility is located in Waseca, Minnesota. We currently have the capacity to produce approximately 5.2 million (combination of electric, gas and water) meter modules annually on a three-shift basis. We are currently running at approximately 80% capacity. In 2002, we intend to begin to outsource a minimal amount of meter module production in order to gear up for demands in excess of current capacity, should the need arise.</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installed extensive automated testing equipment in our manufacturing facilities to provide quality control and process repeatability. Our testing includes both visual inspection and automated testing of technical parameters established for each of our products. Our quality control equipment also includes a sophisticated information system that collects data from testing equipment and provides extensive reports and analyses of such data. This information system permits us to promptly identify potential problems or weaknesses in our manufacturing processes. During 2001, we upgraded our quality system to ISO 9001 certification.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of February 28, 2002, we employed 1,092 full-time permanent and full-time contract manufacturing persons, 36% in manufacturing, 23% in product development, 3% in marketing, 13% in client service and support, 12% in finance and corporate administration, and 12% in our business units. Of these employees, 94% were located in the US and Canada, and the remainder in Europe and Australia. With the LineSoft acquisition in March 2002, we added approximately 200 more employees, primarily in software product development and operations. None of our domestic employees is represented by a labor union. We have not experienced any work stoppages and consider our employee relations to be good.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Although we are the industry leader in supplying energy and water data collection products, systems and services to the utility industry in the US and Canada, and in many other areas around the world, we face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099"/>
        <w:spacing w:after="0" w:line="244" w:lineRule="auto"/>
        <w:rPr>
          <w:sz w:val="20"/>
          <w:szCs w:val="20"/>
          <w:color w:val="auto"/>
        </w:rPr>
      </w:pPr>
      <w:r>
        <w:rPr>
          <w:rFonts w:ascii="Courier New" w:cs="Courier New" w:eastAsia="Courier New" w:hAnsi="Courier New"/>
          <w:sz w:val="15"/>
          <w:szCs w:val="15"/>
          <w:color w:val="auto"/>
        </w:rPr>
        <w:t>competition from a variety of companies in each of the markets we serve. The large market potential for meter reading automation has led communications, electronics and other companies to begin developing various systems. Some of these companies currently compete, and in the future others may compete, with our products, systems, and services. These competitors can be expected to offer a variety of technologies and communications approaches, as well as meter reading, installation and other services to utilities and other industry participants.</w:t>
      </w:r>
    </w:p>
    <w:p>
      <w:pPr>
        <w:spacing w:after="0" w:line="178"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We believe that we enjoy certain competitive advantages. We believe the diversity of our energy and water information collection, analysis and application solutions is broader than that of other providers. This diversity gives us the ability to provide value to our customers across a broad value chain within their organizations. Our radio-based communications solutions utilize the same AMR radio meter modules and facilitate the migration from one level of systems automation to another. We believe that we are able to price our AMR meter modules competitively as a result of our highly automated manufacturing lines as well as high production volumes. We have a larger installed base of handheld and automated meter reading systems than any of our competitors. We believe this gives us the advantage of a proven record of providing cost-efficient, quality products and services and the proven ability to interface meter data with a wide variety of utility host billing systems.</w:t>
      </w:r>
    </w:p>
    <w:p>
      <w:pPr>
        <w:spacing w:after="0" w:line="16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of December 31, 2001, we had at least a 50% market share in terms of AMR meter modules shipped in the US and Canada. The next largest competitor is Schlumberger Sema who represents roughly 20% of the installed market. There are also a few new communications providers, radio-based, and power-line-carrier-based, most of whom are narrowly focused, that have recently been awarded systems at utilities, including companies such as Nexus, Hexagram, Ramar, and DCSI. These companies currently offer alternative solutions and compete aggressively with us.</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In the area of energy information management, there are many market participants that may be both competitors and potential partners. We face competition from a number of companies such as ABB, Siemens, Lodestar, ICF Kaiser, and Accenture. In competitive wholesale markets in California and Ontario, Canada, we have partnered with ABB and Cap Gemini to offer a total integrated system solution. We will continue to partner with some of these companies, as well as other consulting and system integration companies, to address future competitive energy markets with Itron systems.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believe that as we expand our offerings towards optimizing energy delivery there are several very large suppliers of equipment, services or technology to the utility industry that have developed or could develop competitive products for this market, such as ABB, Siemens, Hexagram, Ramar, and Invensys. Similarly, we believe that as we move towards offering systems and solutions for end-user customers, we will face competition from billing and in-building controls companies. We hope to develop cooperative relationships with several of these companies to jointly develop and offer solutions to the market.</w:t>
      </w:r>
    </w:p>
    <w:p>
      <w:pPr>
        <w:spacing w:after="0" w:line="179"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In the market for utility field workforce automation, we expect to compete with companies such as MDSI and Utility Partners.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our newly acquired transmission systems products, among others, we compete with Power Lines Systems, the maker of PLS Cadd. In the distribution software business, we compete with Cook-Hurlbert. Additionally, Roussey and Enghouse offer underground distribution products. In the engineering consulting business the primary competitors are Black and Veatch, Power Engineers and Sargent and Lundy along with other regional players. In our Joint Use business, the primary competition is Osmose.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Some of our present and potential competitors have substantially greater financial, marketing, technical and manufacturing resources, and in some cases, greater name recognition and experience. Our competitors may be able to respond more quickly to new or emerging technologies and changes in customer requirements. They may also be able to devote greater resources to the development, promotion and sale of their products and services than we can. In addition, current and potential competitors may make strategic acquisitions or establish</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13" w:name="page14"/>
    <w:bookmarkEnd w:id="13"/>
    <w:p>
      <w:pPr>
        <w:ind w:right="3199"/>
        <w:spacing w:after="0" w:line="244" w:lineRule="auto"/>
        <w:rPr>
          <w:sz w:val="20"/>
          <w:szCs w:val="20"/>
          <w:color w:val="auto"/>
        </w:rPr>
      </w:pPr>
      <w:r>
        <w:rPr>
          <w:rFonts w:ascii="Courier New" w:cs="Courier New" w:eastAsia="Courier New" w:hAnsi="Courier New"/>
          <w:sz w:val="15"/>
          <w:szCs w:val="15"/>
          <w:color w:val="auto"/>
        </w:rPr>
        <w:t>cooperative relationships among themselves or with third parties that increase their ability to address the needs of our prospective customers. Accordingly, it is possible that new competitors or alliances among current and new competitors may emerge and rapidly gain significant market share. There can be no assurance that we will be able to compete successfully against current and future competitors, and any failure to do so would have a material adverse effect on our business, financial condition, results of operations and cash flow. See "Certain Risk Factors--Competition."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own or license numerous United States, Canadian and foreign patents and have filed various patent applications. These patents cover a range of technologies for meter reading, portable handheld computer and AMR-related technologies. We also rely on copyrights to protect our proprietary software and documentation. We have registered trademarks for most of our major product lines in the United States and many foreign countries. While we believe that our patents, copyrights, trademarks and other intellectual property have significant value, there can be no assurance that these patents, copyrights or trademarks, or any patents, copyrights or trademarks issued in the future, will provide meaningful competitive advantages. The Company is currently involved a legal action related to the Company's alleged infringement of a patent; see "Legal Proceedings." We believe that our continued success will be based on continued innovation, market knowledge, technical and marketing capabilities, existing product relationships with utilities and a fundamental commitment to customer service excellence. See "Certain Risk Factors--Intellectual Property."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 and Allocation of Radio Frequencies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Certain of our products made for use in the United States use radio frequencies, the access to and use of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Although radio licenses generally are required for radio stations, Part 15 of the FCC's rules permit certain low-power radio devices ("Part 15 devices") to operate on an unlicensed basis. Part 15 devices are designed to be used on frequencies used by others. These other users may include licensed users, which have priority over Part 15 users. Part 15 devices are not permitted to cause harmful interference to licensed users and must be designed to accept interference from licensed radio devices. Our radio meter modules are Part 15 devices that transmit information back to either the handheld, mobile or network AMR reading devices in the 910-920 MHz band pursuant to these rules.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radio frequency products are designed to eliminate virtually all interference to other frequency users, while still enabling a complete and accurate read from our radio meter modules. However, if we were unable to eliminate harmful interference caused by our Part 15 devices through technical or other means, we or our customers could be required to cease operations in the band in the locations affected by the harmful interference. Further, in the event that the unlicensed frequencies used by our customers and us become unacceptably crowded or restrictive, and no additional frequencies that are suitable are available or allocated, our business could be materially and adversely affected.</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1994 the Company was issued a non-exclusive nationwide Federal Communications Commission (FCC) license to operate in the 1427-1432 MHz band. With the exception of communication to and from some of our ERT meter modules, our network products operate in parts of this band. At the time our license was issued, the 1427-1432 MHz band was allocated primarily for use by the federal government, which consented to our use of the band on a secondary, non-interference basis. Current government use of the band is limited to a discrete number of well-defined locations, and we do not expect the fact that we are secondary to federal government operations to have material impact on our business.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9" w:right="1440" w:bottom="1440" w:gutter="0" w:footer="0" w:header="0"/>
        </w:sectPr>
      </w:pPr>
    </w:p>
    <w:bookmarkStart w:id="14" w:name="page15"/>
    <w:bookmarkEnd w:id="14"/>
    <w:p>
      <w:pPr>
        <w:ind w:right="3199" w:firstLine="271"/>
        <w:spacing w:after="0" w:line="244" w:lineRule="auto"/>
        <w:rPr>
          <w:sz w:val="20"/>
          <w:szCs w:val="20"/>
          <w:color w:val="auto"/>
        </w:rPr>
      </w:pPr>
      <w:r>
        <w:rPr>
          <w:rFonts w:ascii="Courier New" w:cs="Courier New" w:eastAsia="Courier New" w:hAnsi="Courier New"/>
          <w:sz w:val="15"/>
          <w:szCs w:val="15"/>
          <w:color w:val="auto"/>
        </w:rPr>
        <w:t>The 1427-1432 MHz band is among 235 MHz of spectrum that has been earmarked for reallocation from federal government users to private sector users (to be licensed by the FCC). The band is subject to continuing federal government use in specified areas through 2004.</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June 2000, the FCC issued a Report and Order allocating three MHz of the band (1429-1432MHz) on a primary basis for use by wireless medical telemetry. Use of the remaining two MHz (1427-1429MHz) was the subject of additional rulemaking proceedings by the FCC. On January 2, 2002, the FCC released a Report and Order allocating the full 1427-32 MHz band. The FCC chose an allocation that substantially incorporated a "band plan" suggested by Itron and the representatives of wireless medical telemetry, but deferred to a further proceeding adoption of service rules that would provide more assurance that Itron would have access to adequate spectrum in this band. The FCC now has issued a notice in that further proceeding containing proposed service rules that would incorporate additional elements of the Itron-medical telemetry "band plan" in its final rules. There can be no assurance, however, that the FCC will adopt such rules as final or that the Company will have adequate spectrum in the 1427-32 MHz band for its network systems.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we are not successful in our efforts to obtain future spectrum allocations in the 1427-1432 MHz band under favorable conditions, we believe that current installations will be permitted to continue under a grandfathering provision. However, there can be no assurance that such grandfathering will be adequate or that we will have any useful rights whatsoever in the band after final rulemaking by the FCC. In such event, our network products (other than modules) would have to be redesigned to operate at a different frequency spectrum, and the cost associated with that could have a material adverse effect on our business.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regulatory environment we operate in is subject to change. There can be no assurance that the FCC or Congress will not take regulatory actions in the future that would have a material adverse effect on us. See "Certain Risk Factors--Availability and Regulation of Radio Spectrum." We are also subject to regulatory requirements in international markets. These regulations, which vary by country, require modifications to our products, including operating on different frequencies with different power specifications.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 of Orders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While backlog is one indicator of future revenues for us, our backlog fluctuates from quarter-end to quarter-end primarily as a result of the timing of large contracts. In recent years we have increased the amount of revenue derived from distribution channels for smaller utilities and municipalities. In addition, with the recent acquisition of LineSoft, we will add more of a software and service component to our business. To the extent that future revenues are derived from our distribution channels, which typically have a smaller order size that may book and ship within the same quarter, or from software and service offerings verses product sales, backlog may not be as reliable an indicator of future revenues. Our twelve-month revenue backlog of unshipped factory orders at December 31, 2001 and 2000 was approximately $115 million and $56 million, respectively. We expect that substantially all of the orders in twelve-month backlog at the end of 2001 will be shipped during 2002. In addition, we have multi-year contracts to supply radio meter modules and multi-year outsourcing arrangements with several customers. Total backlog, including revenues beyond the next twelve months, was $203 million and $151 million at December 31, 2001 and 2000, respectively. Our backlog does not include approximately $40 million in annual service contract revenues from service contracts, many of which renew annually.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the ordinary course of our business, we use metals, solvents, and similar materials that are stored on site. The waste created by use of these materials is transported off site on a regular basis by a state-registered waste hauler. Although we are not aware of any material claim or investigation with respect to these activities, there can be no assurance that such a claim may not arise in the future or that the cost of complying with governmental regulations in the future will not have a material adverse effect on us.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Working Capital</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Information on the Company's practice relating to working capital items is contained in "Item 7: Management's Discussion and Analysis of Financial Condition and Results of Operations" and "Note 1 to our accompanying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by Geographic Area</w:t>
      </w:r>
    </w:p>
    <w:p>
      <w:pPr>
        <w:spacing w:after="0" w:line="178"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Financial information for our International operation is contained in "Note 16 to our accompanying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We do not have any contracts with the federal government. Our business is not significantly seasonal.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Risk Factors</w:t>
      </w:r>
    </w:p>
    <w:p>
      <w:pPr>
        <w:spacing w:after="0" w:line="178" w:lineRule="exact"/>
        <w:rPr>
          <w:sz w:val="20"/>
          <w:szCs w:val="20"/>
          <w:color w:val="auto"/>
        </w:rPr>
      </w:pPr>
    </w:p>
    <w:p>
      <w:pPr>
        <w:ind w:left="180" w:right="3739"/>
        <w:spacing w:after="0" w:line="243" w:lineRule="auto"/>
        <w:rPr>
          <w:sz w:val="20"/>
          <w:szCs w:val="20"/>
          <w:color w:val="auto"/>
        </w:rPr>
      </w:pPr>
      <w:r>
        <w:rPr>
          <w:rFonts w:ascii="Courier New" w:cs="Courier New" w:eastAsia="Courier New" w:hAnsi="Courier New"/>
          <w:sz w:val="15"/>
          <w:szCs w:val="15"/>
          <w:color w:val="auto"/>
        </w:rPr>
        <w:t>Itron is dependent on the utility industry, the economics of which are uncertain due to mergers and acquisitions and regulatory reform:</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derive substantially all of our revenues from sales of products and services to the utility industry. We have experienced variability of operating results, on both an annual and a quarterly basis, due primarily to utility purchasing patterns and delays of purchasing decisions as a result of changes or potential changes in the state and federal regulatory frameworks within which the utility industry operates, and mergers and acquisitions in the utility industry.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utility industry, both domestic and foreign, is generally characterized by long budgeting, purchasing and regulatory process cycles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Purchases of our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domestic electric utility industry is currently the focus of regulatory reform initiatives in virtually every state. These initiatives have resulted in significant uncertainty for industry participants and raised concerns regarding assets that would not be considered for recovery through ratepayer charges. Consequently, in recent years, many utilities have delayed purchasing decisions that involve significant capital commitments. While we expect some states will act on these regulatory reform initiatives in the near term, there can be no assurance that the current regulatory uncertainty will be resolved in the near future or that the advent of new regulatory frameworks will not have a material adverse effect on our business, financial condition and results of operations. For example, in California, where the new regulatory framework put utilities in the position of selling electricity at prices substantially below their cost, Pacific Gas and Electric Company has filed for bankruptcy and Southern California Edison (SCE) has come close to bankruptcy. In the event that SCE or additional utilities were to enter into bankruptcy proceedings, our business could be adversely affected. See "Note 11 to our accompanying financial statements--Commitments and Contingencies."</w:t>
      </w:r>
    </w:p>
    <w:p>
      <w:pPr>
        <w:spacing w:after="0" w:line="18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Moreover, in part as a result of the competitive pressures in the utility industry arising from the regulatory reform process, many utility companies are pursuing merger and acquisition strategies. We have experienced considerable delays in purchase decisions by utilities that have become parties to merger or acquisition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16" w:name="page17"/>
    <w:bookmarkEnd w:id="16"/>
    <w:p>
      <w:pPr>
        <w:ind w:right="3099"/>
        <w:spacing w:after="0" w:line="244" w:lineRule="auto"/>
        <w:rPr>
          <w:sz w:val="20"/>
          <w:szCs w:val="20"/>
          <w:color w:val="auto"/>
        </w:rPr>
      </w:pPr>
      <w:r>
        <w:rPr>
          <w:rFonts w:ascii="Courier New" w:cs="Courier New" w:eastAsia="Courier New" w:hAnsi="Courier New"/>
          <w:sz w:val="15"/>
          <w:szCs w:val="15"/>
          <w:color w:val="auto"/>
        </w:rPr>
        <w:t>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our revenues may continue to be materially adversely affected. Certain state regulatory agencies are considering the "unbundling" of metering and certain other services from the basic transport aspects of electricity distribution. Unbundling includes the identification of the separate costs of metering and other services and may extend to subjecting metering and other services to competition. The discontinuance of a utility's metering monopoly could have a significant impact upon the manner in which we market and sell our products and services. As the customer for our products and services could change from utilities alone to utilities and their competitive suppliers of metering services, we could also be required to modify our products and services (or develop new products and services) to meet the needs of the participants in a competitive meter services market.</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Itron has suffered recent operating losses: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While we were profitable for the last seven quarters, we have experienced operating losses in certain quarters and in the years from 1996 through the first quarter of 2000. There can be no assurance that we will maintain consistent profitability on a quarterly or annual basis. We have experienced variability of quarterly results and believe our quarterly results will continue to fluctuate as a result of factors such as size and timing of significant customer orders, delays in customer purchasing decisions, FCC or other governmental actions, timing and levels of development and other operating expenses, shifts in product or sales channel mix, and increased competition. Our operating margins have in the past been adversely affected by excess manufacturing capacity. We expect competition in the AMR market to increase as current competitors and new market entrants introduce competitive products. Operating margins also may be affected by other factors. For example, in the past, we entered into large network automated meter reading contracts with Duquesne and Virginia Power with margins significantly below our historical margins due to the early stage of our network products at the time those systems were shipped and installed, and due to competitive pressures.</w:t>
      </w:r>
    </w:p>
    <w:p>
      <w:pPr>
        <w:spacing w:after="0" w:line="184"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Itron has a concentrated customer base, and therefore the loss of a single customer could negatively affect its operating results: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In some years, our revenues are concentrated with a limited number of customers, the identity of which changes over time. From time to time, we are dependent on large, multi-year contracts that are subject to cancellation or rescheduling by our customers. Cancellation or postponement of one or more of these contracts would have a material adverse effect on us. See "Management's Discussion and Analysis of Financial Condition and Results of Operations."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Itron depends on its ability to develop new products: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made, and expect to continue to make, substantial investments in technology development. Our future success will depend, in part, on our ability to continue to design and manufacture new competitive products and to enhance our existing products. This product development will require continued investment in order to maintain our market position. There can be no assurance that unforeseen problems will not occur with respect to the development, performance or market acceptance of our technologies or products. Development schedules for technology products are subject to uncertainty, and there can be no assurance that we will meet our product development schedules. We have previously experienced significant delays and cost overruns in development of new products, and there can be no assurance that delays or cost overruns will not be experienced in the future. Delays in new product development, including software, can result from a number of causes, including but not limited to the following: changes in product definition during the development stage, changes in customer or regulatory requirements, initial failures of products or unexpected behavior of products under certain conditions, failure of third-party-supplied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7" w:name="page18"/>
    <w:bookmarkEnd w:id="17"/>
    <w:p>
      <w:pPr>
        <w:ind w:right="3199"/>
        <w:spacing w:after="0" w:line="267" w:lineRule="auto"/>
        <w:rPr>
          <w:sz w:val="20"/>
          <w:szCs w:val="20"/>
          <w:color w:val="auto"/>
        </w:rPr>
      </w:pPr>
      <w:r>
        <w:rPr>
          <w:rFonts w:ascii="Courier New" w:cs="Courier New" w:eastAsia="Courier New" w:hAnsi="Courier New"/>
          <w:sz w:val="14"/>
          <w:szCs w:val="14"/>
          <w:color w:val="auto"/>
        </w:rPr>
        <w:t>the inability to successfully develop or acquire products that meet customer needs, could result in increased competition, the loss of revenue or increased service and warranty costs, any of which would have a material adverse effect on our business, financial condition and results of operations.</w:t>
      </w:r>
    </w:p>
    <w:p>
      <w:pPr>
        <w:spacing w:after="0" w:line="161" w:lineRule="exact"/>
        <w:rPr>
          <w:sz w:val="20"/>
          <w:szCs w:val="20"/>
          <w:color w:val="auto"/>
        </w:rPr>
      </w:pPr>
    </w:p>
    <w:p>
      <w:pPr>
        <w:ind w:left="180" w:right="3199"/>
        <w:spacing w:after="0" w:line="243" w:lineRule="auto"/>
        <w:rPr>
          <w:sz w:val="20"/>
          <w:szCs w:val="20"/>
          <w:color w:val="auto"/>
        </w:rPr>
      </w:pPr>
      <w:r>
        <w:rPr>
          <w:rFonts w:ascii="Courier New" w:cs="Courier New" w:eastAsia="Courier New" w:hAnsi="Courier New"/>
          <w:sz w:val="15"/>
          <w:szCs w:val="15"/>
          <w:color w:val="auto"/>
        </w:rPr>
        <w:t>Itron's acquisitions of and investments in third parties carry risks and may result in losses: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Acquisitions and investments in third parties are an important part of our business strategy. Since 1998 we have acquired or made investments totaling approximately $6 million in five companies. In addition, we recently acquired LineSoft Corporation.</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Our acquisitions and investments may involve numerous risks, including:</w:t>
      </w:r>
    </w:p>
    <w:p>
      <w:pPr>
        <w:spacing w:after="0" w:line="178" w:lineRule="exact"/>
        <w:rPr>
          <w:sz w:val="20"/>
          <w:szCs w:val="20"/>
          <w:color w:val="auto"/>
        </w:rPr>
      </w:pPr>
    </w:p>
    <w:p>
      <w:pPr>
        <w:ind w:left="540" w:right="3919" w:hanging="367"/>
        <w:spacing w:after="0" w:line="278" w:lineRule="auto"/>
        <w:tabs>
          <w:tab w:leader="none" w:pos="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diversion of our senior management's attention from our existing businesses, making it more difficult to manage effectively;</w:t>
      </w:r>
    </w:p>
    <w:p>
      <w:pPr>
        <w:spacing w:after="0" w:line="153" w:lineRule="exact"/>
        <w:rPr>
          <w:sz w:val="20"/>
          <w:szCs w:val="20"/>
          <w:color w:val="auto"/>
        </w:rPr>
      </w:pPr>
    </w:p>
    <w:p>
      <w:pPr>
        <w:ind w:left="540" w:right="3279" w:hanging="367"/>
        <w:spacing w:after="0" w:line="243"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our investments in a limited number of businesses that are related to the energy and water industries;</w:t>
      </w:r>
    </w:p>
    <w:p>
      <w:pPr>
        <w:spacing w:after="0" w:line="176" w:lineRule="exact"/>
        <w:rPr>
          <w:sz w:val="20"/>
          <w:szCs w:val="20"/>
          <w:color w:val="auto"/>
        </w:rPr>
      </w:pPr>
    </w:p>
    <w:p>
      <w:pPr>
        <w:ind w:left="540" w:right="3379" w:hanging="367"/>
        <w:spacing w:after="0" w:line="243"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maintain uniform product and service standards, controls, procedures and policies;</w:t>
      </w:r>
    </w:p>
    <w:p>
      <w:pPr>
        <w:spacing w:after="0" w:line="176" w:lineRule="exact"/>
        <w:rPr>
          <w:sz w:val="20"/>
          <w:szCs w:val="20"/>
          <w:color w:val="auto"/>
        </w:rPr>
      </w:pPr>
    </w:p>
    <w:p>
      <w:pPr>
        <w:ind w:left="540" w:right="3279" w:hanging="367"/>
        <w:spacing w:after="0" w:line="243"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into product and service markets in which we have no direct prior experience;</w:t>
      </w:r>
    </w:p>
    <w:p>
      <w:pPr>
        <w:spacing w:after="0" w:line="176" w:lineRule="exact"/>
        <w:rPr>
          <w:sz w:val="20"/>
          <w:szCs w:val="20"/>
          <w:color w:val="auto"/>
        </w:rPr>
      </w:pPr>
    </w:p>
    <w:p>
      <w:pPr>
        <w:ind w:left="540" w:right="3559" w:hanging="367"/>
        <w:spacing w:after="0" w:line="243"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improper evaluation of new services and technologies or inability to fully exploit the anticipated opportunities;</w:t>
      </w:r>
    </w:p>
    <w:p>
      <w:pPr>
        <w:spacing w:after="0" w:line="176" w:lineRule="exact"/>
        <w:rPr>
          <w:sz w:val="20"/>
          <w:szCs w:val="20"/>
          <w:color w:val="auto"/>
        </w:rPr>
      </w:pPr>
    </w:p>
    <w:p>
      <w:pPr>
        <w:ind w:left="540" w:right="3099" w:hanging="367"/>
        <w:spacing w:after="0" w:line="243"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successfully integrate the acquired businesses, technologies and other assets;</w:t>
      </w:r>
    </w:p>
    <w:p>
      <w:pPr>
        <w:spacing w:after="0" w:line="175" w:lineRule="exact"/>
        <w:rPr>
          <w:sz w:val="20"/>
          <w:szCs w:val="20"/>
          <w:color w:val="auto"/>
        </w:rPr>
      </w:pPr>
    </w:p>
    <w:p>
      <w:pPr>
        <w:ind w:left="540" w:hanging="367"/>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retain customers or key personnel;</w:t>
      </w:r>
    </w:p>
    <w:p>
      <w:pPr>
        <w:spacing w:after="0" w:line="178" w:lineRule="exact"/>
        <w:rPr>
          <w:sz w:val="20"/>
          <w:szCs w:val="20"/>
          <w:color w:val="auto"/>
        </w:rPr>
      </w:pPr>
    </w:p>
    <w:p>
      <w:pPr>
        <w:ind w:left="540" w:right="3099" w:hanging="367"/>
        <w:spacing w:after="0" w:line="243"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liquidate the investments or acquired companies in the event of an economic downturn; and</w:t>
      </w:r>
    </w:p>
    <w:p>
      <w:pPr>
        <w:spacing w:after="0" w:line="175" w:lineRule="exact"/>
        <w:rPr>
          <w:sz w:val="20"/>
          <w:szCs w:val="20"/>
          <w:color w:val="auto"/>
        </w:rPr>
      </w:pPr>
    </w:p>
    <w:p>
      <w:pPr>
        <w:ind w:left="540" w:hanging="367"/>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unforeseen losses by the companies that we invest in or acquire.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future acquisitions may involve the assumption of obligations or large one-time write-offs and amortization expenses. In order to finance any future acquisitions, we may also need to raise additional funds through public or private financings. In this event, we could be forced to obtain equity or debt financing on terms that are not favorable to us and that may result in dilution to our shareholders. Any of the factors listed above could adversely affect our results of operations.</w:t>
      </w:r>
    </w:p>
    <w:p>
      <w:pPr>
        <w:spacing w:after="0" w:line="178" w:lineRule="exact"/>
        <w:rPr>
          <w:sz w:val="20"/>
          <w:szCs w:val="20"/>
          <w:color w:val="auto"/>
        </w:rPr>
      </w:pPr>
    </w:p>
    <w:p>
      <w:pPr>
        <w:ind w:left="180" w:right="3559"/>
        <w:spacing w:after="0" w:line="243" w:lineRule="auto"/>
        <w:rPr>
          <w:sz w:val="20"/>
          <w:szCs w:val="20"/>
          <w:color w:val="auto"/>
        </w:rPr>
      </w:pPr>
      <w:r>
        <w:rPr>
          <w:rFonts w:ascii="Courier New" w:cs="Courier New" w:eastAsia="Courier New" w:hAnsi="Courier New"/>
          <w:sz w:val="15"/>
          <w:szCs w:val="15"/>
          <w:color w:val="auto"/>
        </w:rPr>
        <w:t>Itron depends in part on the installation, operations and maintenance of automated meter reading systems pursuant to outsourcing contracts: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minor portion of our business today consists of outsourcing, wherein we install, operate and maintain AMR systems that we may continue to own in order to provide meter reading and other related services to utilities and their customers. We currently have three outsourcing contracts involving mobile AMR solutions, which represented 2% of our 2001 revenues. We use the service method of accounting for our outsourcing contracts. These outsourcing contracts are subject to cancellation in certain circumstances in the event of a material and continuing failure on our part to meet contractual performance standards on a consistent basis over agreed time periods. See "Management's Discussion and Analysis of Financial Condition and Results of Operations--Revenues and Gross Margins".</w:t>
      </w:r>
    </w:p>
    <w:p>
      <w:pPr>
        <w:spacing w:after="0" w:line="18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Itron is facing increasing competition in the telecommunications industry: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face competitive pressures from a variety of companies in each of the markets we serve. In the radio-based network AMR market, companies such as Schlumberger, Hexagram, Ramar, and Nexus currently offer alternative solutions to the utility industry and compete aggressively with us. There is an emerging market for two-way communications systems for advanced metering and billing for the utility industry, and a potential</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18" w:name="page19"/>
    <w:bookmarkEnd w:id="18"/>
    <w:p>
      <w:pPr>
        <w:ind w:right="3099"/>
        <w:spacing w:after="0" w:line="244" w:lineRule="auto"/>
        <w:rPr>
          <w:sz w:val="20"/>
          <w:szCs w:val="20"/>
          <w:color w:val="auto"/>
        </w:rPr>
      </w:pPr>
      <w:r>
        <w:rPr>
          <w:rFonts w:ascii="Courier New" w:cs="Courier New" w:eastAsia="Courier New" w:hAnsi="Courier New"/>
          <w:sz w:val="15"/>
          <w:szCs w:val="15"/>
          <w:color w:val="auto"/>
        </w:rPr>
        <w:t>market for the same kind of systems to provide energy delivery optimization and Internet connections to customers. This has led communications, electronics and utility companies to begin developing various systems, some of which currently compete, and others of which may in the future compete, with our current and future product and service offerings. These competitors can be expected to offer a variety of technologies and communications approaches, as well as meter reading, installation and other services, to utilities and other industry participants.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believe that several large suppliers of equipment, services or technology to the utility industry may be developing competitive products for the AMR market. In addition, large meter manufacturers could expand their current product and services offerings so as to compete directly with us. To stimulate demand, and due to increasing competition in the AMR market, we have from time to time lowered prices on our AMR products and may continue to do so in the future. We also anticipate increasing competition with respect to the features and functions of our products. In the handheld systems market, we have encountered competition from a number of companies, resulting in margin pressures in the maturing domestic handheld systems business and in some international markets.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Many of our present and potential future competitors have or may have substantially greater financial, marketing, technical or manufacturing resources, and in some cases, greater name recognition and experience than we do. Our competitors may be able to respond more quickly to new or emerging technologies and changes in customer requirements. They may also be able to devote greater resources to the development, promotion and sale of their products and services than we can. In addition, current and potential competitors may make strategic acquisitions or establish cooperative relationships among themselves or with third parties that increase their ability to address the needs of our prospective customers. It is possible that new competitors or alliances among current and new competitors may emerge and rapidly gain significant market share. There can be no assurance that we will be able to compete successfully against current and future competitors, and any failure to do so would have a material adverse effect on our business, financial condition, results of operations and cash flow.</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Itron may be affected by uncertainty of market acceptance of new technology: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AMR market is evolving, and it is difficult to predict the future growth rate and size of this market. International market demand for AMR systems varies by country based on such factors as the regulatory and business environment, labor costs and other economic conditions. Further market acceptance of our new AMR products and systems, will depend in part on our ability to demonstrate cost effectiveness, strategic and other benefits of our products and systems, the utilities' ability to justify such expenditures and the direction and pace of federal and state regulatory reform actions. In the event that the utility industry does not adopt our technology or does not adopt it as quickly as we expect, our future results will be materially and adversely affected.</w:t>
      </w:r>
    </w:p>
    <w:p>
      <w:pPr>
        <w:spacing w:after="0" w:line="180" w:lineRule="exact"/>
        <w:rPr>
          <w:sz w:val="20"/>
          <w:szCs w:val="20"/>
          <w:color w:val="auto"/>
        </w:rPr>
      </w:pPr>
    </w:p>
    <w:p>
      <w:pPr>
        <w:ind w:left="180" w:right="3639"/>
        <w:spacing w:after="0" w:line="243" w:lineRule="auto"/>
        <w:rPr>
          <w:sz w:val="20"/>
          <w:szCs w:val="20"/>
          <w:color w:val="auto"/>
        </w:rPr>
      </w:pPr>
      <w:r>
        <w:rPr>
          <w:rFonts w:ascii="Courier New" w:cs="Courier New" w:eastAsia="Courier New" w:hAnsi="Courier New"/>
          <w:sz w:val="15"/>
          <w:szCs w:val="15"/>
          <w:color w:val="auto"/>
        </w:rPr>
        <w:t>The telecommunications industry is characterized by rapid technological evolution: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telecommunications industry, including the data-transmission segment,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mediums, including radio-based and cellular telephone networks. Competitors may offer significant cost savings or other benefits to our customers. There can be no assurance that technological advances will not cause our technology to become obsolete or uneconomical.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Itron is susceptible to the availability and regulation of radio spectrum:</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See "FCC Regulation and Allocation of Radio Frequencies." A significant portion of our products use radio spectrum and in the United States are subject to regulation by the FCC. Licenses for radio frequencies must be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9" w:right="1440" w:bottom="1440" w:gutter="0" w:footer="0" w:header="0"/>
        </w:sectPr>
      </w:pPr>
    </w:p>
    <w:bookmarkStart w:id="19" w:name="page20"/>
    <w:bookmarkEnd w:id="19"/>
    <w:p>
      <w:pPr>
        <w:ind w:right="3199"/>
        <w:spacing w:after="0" w:line="265" w:lineRule="auto"/>
        <w:rPr>
          <w:sz w:val="20"/>
          <w:szCs w:val="20"/>
          <w:color w:val="auto"/>
        </w:rPr>
      </w:pPr>
      <w:r>
        <w:rPr>
          <w:rFonts w:ascii="Courier New" w:cs="Courier New" w:eastAsia="Courier New" w:hAnsi="Courier New"/>
          <w:sz w:val="14"/>
          <w:szCs w:val="14"/>
          <w:color w:val="auto"/>
        </w:rPr>
        <w:t>obtained and periodically renewed. There can be no assurance that any license granted to us or our customers will be renewed on acceptable terms, if at all, or that the FCC will keep in place rules for our frequency bands that are compatible with our business. In the past, the FCC has adopted changes to the requirements for equipment using radio spectrum, and there can be no assurance that the FCC or Congress will not adopt additional changes in the future.</w:t>
      </w:r>
    </w:p>
    <w:p>
      <w:pPr>
        <w:spacing w:after="0" w:line="16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More recently, on January 2, 2002, the FCC released a Report and Order choosing among three options for allocating the 1427-1432 MHz band. The FCC chose a modified option that incorporated a "band plan" suggested by Itron and the representatives of wireless medical telemetry, but deferred to a further proceeding adoption of service rules that would provide more assurance that Itron would have access to adequate spectrum in this band. There can be no guarantee that the FCC ruling on this matter will not have a materially adverse impact on the Company's financial condition. See "FCC Regulation and Allocation of Radio Frequencies."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committed, and will continue to commit, significant resources to the development of products that use particular radio frequencies. Action by the FCC could require modifications to our products. There can be no assurance that we would be able to modify our products to meet such requirements, that we would not experience delays in completing such modifications or that the cost of such modifications would not have a material adverse effect on our future financial condition and results of operations.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our business could be materially adversely affected.</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are also subject to regulatory requirements in international markets that vary by country. To the extent we wish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number of key personnel are critical to the success of Itron's business: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success depends in large part upon our ability to retain highly qualified technical and management personnel, the loss of one or more of whom could have a material adverse effect on our business. Our success depends upon our ability to continue to attract and retain highly qualified personnel in all disciplines. There can be no assurance that we will be successful in hiring or retaining the requisite personnel.</w:t>
      </w:r>
    </w:p>
    <w:p>
      <w:pPr>
        <w:spacing w:after="0" w:line="177" w:lineRule="exact"/>
        <w:rPr>
          <w:sz w:val="20"/>
          <w:szCs w:val="20"/>
          <w:color w:val="auto"/>
        </w:rPr>
      </w:pPr>
    </w:p>
    <w:p>
      <w:pPr>
        <w:ind w:left="180" w:right="3279"/>
        <w:spacing w:after="0" w:line="244" w:lineRule="auto"/>
        <w:rPr>
          <w:sz w:val="20"/>
          <w:szCs w:val="20"/>
          <w:color w:val="auto"/>
        </w:rPr>
      </w:pPr>
      <w:r>
        <w:rPr>
          <w:rFonts w:ascii="Courier New" w:cs="Courier New" w:eastAsia="Courier New" w:hAnsi="Courier New"/>
          <w:sz w:val="15"/>
          <w:szCs w:val="15"/>
          <w:color w:val="auto"/>
        </w:rPr>
        <w:t>If Itron is not able to adequately protect its intellectual property, or if Itron infringes the intellectual property of third parties, Itron may be adversely affected:</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While we believe that our patents, trademarks and other intellectual property have significant value, there can be no assurance that these patents and trademarks, or any patents or trademarks issued in the future, will provide meaningful competitive advantages. There can be no assurance that our patents or pending applications will not be challenged, invalidated or circumvented by competitors or that rights granted there under will provide meaningful proprietary protection. Despite our efforts to safeguard and maintain our proprietary rights, there can also be no assurance that such rights will remain protected or that our competitors will not independently develop patentable technologies that are substantially equivalent or superior to our technologies.</w:t>
      </w:r>
    </w:p>
    <w:p>
      <w:pPr>
        <w:spacing w:after="0" w:line="180" w:lineRule="exact"/>
        <w:rPr>
          <w:sz w:val="20"/>
          <w:szCs w:val="20"/>
          <w:color w:val="auto"/>
        </w:rPr>
      </w:pPr>
    </w:p>
    <w:p>
      <w:pPr>
        <w:ind w:left="180" w:right="4279"/>
        <w:spacing w:after="0" w:line="243" w:lineRule="auto"/>
        <w:rPr>
          <w:sz w:val="20"/>
          <w:szCs w:val="20"/>
          <w:color w:val="auto"/>
        </w:rPr>
      </w:pPr>
      <w:r>
        <w:rPr>
          <w:rFonts w:ascii="Courier New" w:cs="Courier New" w:eastAsia="Courier New" w:hAnsi="Courier New"/>
          <w:sz w:val="15"/>
          <w:szCs w:val="15"/>
          <w:color w:val="auto"/>
        </w:rPr>
        <w:t>Itron depends on certain key vendors for components and internal manufacturing capabilities: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Certain of our products, subassemblies and components are procured from a single source, and others are procured only from limited sources. Our reliance on such components or on these limited or sole source vendors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8" w:right="1440" w:bottom="1440" w:gutter="0" w:footer="0" w:header="0"/>
        </w:sectPr>
      </w:pPr>
    </w:p>
    <w:bookmarkStart w:id="20" w:name="page21"/>
    <w:bookmarkEnd w:id="20"/>
    <w:p>
      <w:pPr>
        <w:ind w:right="3099"/>
        <w:spacing w:after="0" w:line="244" w:lineRule="auto"/>
        <w:rPr>
          <w:sz w:val="20"/>
          <w:szCs w:val="20"/>
          <w:color w:val="auto"/>
        </w:rPr>
      </w:pPr>
      <w:r>
        <w:rPr>
          <w:rFonts w:ascii="Courier New" w:cs="Courier New" w:eastAsia="Courier New" w:hAnsi="Courier New"/>
          <w:sz w:val="15"/>
          <w:szCs w:val="15"/>
          <w:color w:val="auto"/>
        </w:rPr>
        <w:t>or subcontractors involves certain risks, including the possibility of shortages and reduced control over delivery schedules, manufacturing capability, quality and costs. In particular, we currently obtain the majority of our handheld devices from one vendor. We may also be affected by worldwide shortages of certain components such as capacitors, inductors and certain types of memory and discrete semiconductor devices. A significant price increase in certain components or subassemblies could have a material adverse effect on our results of operations. We believe alternative suppliers of these products, subassemblies and components are available, in the event of supply problems from our sole- or limited-source vendors or subcontractors. Our ability to develop alternative sources of supply quickly or cost-effectively could materially affect our ability to manufacture our products and, therefore, could have a material adverse effect on our business, financial condition and results of operations. We have substantially decreased the number of sole-sourced components over the last two years. We have chosen to take on increased raw material inventory amounts to mitigate the sole-source situations we still have in place. In the event of a significant interruption in production at our manufacturing facilities, considerable time and effort could be required to establish an alternative production line. Depending on which production lines were affected, such a break in production would have a material adverse effect on our business, financial condition and results of operations.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Itron is dependent on outsourcing financing:</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intend to utilize limited recourse, long-term, fixed-rate project financing for our future outsourcing contracts. We have established Itron Finance, Inc. as a wholly owned Delaware subsidiary and plan to establish subsidiaries of Itron Finance, Inc. for this purpose. Although we completed a project financing facility for an AMR project in 1997, there can be no assurance that we will be able to effect other project financing facilities. If we are unable to utilize limited recourse, long-term, fixed-rate project financing for our outsourcing contracts, our borrowing capacity will be reduced, and we may be subject to the negative effects of floating interest rates if we cannot hedge this exposure.</w:t>
      </w:r>
    </w:p>
    <w:p>
      <w:pPr>
        <w:spacing w:after="0" w:line="17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Itron is subject to international regulation and business uncertainties: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International sales and operations may be subject to risks such as the following: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our products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180"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Itron has anti-takeover provisions in place that make it more difficult for a third party to acquire it: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the authority to issue 10 million shares of preferred stock in one or more series, and to fix the powers, designations, preferences, and relative, participating, optional or other rights thereof without any further vote or action by our shareholders. The issuance of preferred stock could dilute the voting power of holders of Common Stock and could have the effect of delaying or preventing a change in control of the Company. Certain provisions of our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our shares of Common Stock.</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Itron is subject to regulatory compliance: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are subject to various federal and state governmental regulations related to occupational safety and health, labor, and wage practices. We are also subject to federal, state, and local governmental regulations relating to the storage, discharge, handling, emission, generation, manufacture, and disposal of toxic or other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21" w:name="page22"/>
    <w:bookmarkEnd w:id="21"/>
    <w:p>
      <w:pPr>
        <w:ind w:right="3099"/>
        <w:spacing w:after="0" w:line="244" w:lineRule="auto"/>
        <w:rPr>
          <w:sz w:val="20"/>
          <w:szCs w:val="20"/>
          <w:color w:val="auto"/>
        </w:rPr>
      </w:pPr>
      <w:r>
        <w:rPr>
          <w:rFonts w:ascii="Courier New" w:cs="Courier New" w:eastAsia="Courier New" w:hAnsi="Courier New"/>
          <w:sz w:val="15"/>
          <w:szCs w:val="15"/>
          <w:color w:val="auto"/>
        </w:rPr>
        <w:t>hazardous substances used to produce our products. We believe that we are currently in material compliance with such regulations. Failure to comply with current or future environmental regulations could result in the imposition of substantial fines on us, suspension of production, alteration of our production processes, cessation of operations, or other actions which could materially and adversely affect our business, financial condition, and results of operations. In the ordinary course of our business, we use metals, solvents, and similar materials, which are stored on site. The waste created by use of these materials is transported off site on a regular basis by a state-registered waste hauler. Although we are not aware of any material claim or investigation with respect to these activities, there can be no assurance that such a claim will not arise in the future, or that the cost of complying with governmental regulations in the future, will not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ERT, Data Command, DataPac are registered trademarks of Itron,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MV-90, MV-RS, and "Knowledge to Shape Your Future" are trademarks of Itron, Inc.</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8" w:right="1440" w:bottom="1440" w:gutter="0" w:footer="0" w:header="0"/>
        </w:sectPr>
      </w:pPr>
    </w:p>
    <w:bookmarkStart w:id="22" w:name="page23"/>
    <w:bookmarkEnd w:id="22"/>
    <w:p>
      <w:pPr>
        <w:spacing w:after="0"/>
        <w:tabs>
          <w:tab w:leader="none" w:pos="880" w:val="left"/>
        </w:tabs>
        <w:rPr>
          <w:sz w:val="20"/>
          <w:szCs w:val="20"/>
          <w:color w:val="auto"/>
        </w:rPr>
      </w:pPr>
      <w:r>
        <w:rPr>
          <w:rFonts w:ascii="Courier New" w:cs="Courier New" w:eastAsia="Courier New" w:hAnsi="Courier New"/>
          <w:sz w:val="15"/>
          <w:szCs w:val="15"/>
          <w:color w:val="auto"/>
        </w:rPr>
        <w:t>ITEM 1A: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Set forth below are the names, ages, titles with the Company, and principal occupations and employment for the last five years of the persons serving as executive officers of Itron as of February 28, 2002.</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40" w:type="dxa"/>
            <w:vAlign w:val="bottom"/>
          </w:tcPr>
          <w:p>
            <w:pPr>
              <w:spacing w:after="0"/>
              <w:rPr>
                <w:sz w:val="15"/>
                <w:szCs w:val="15"/>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33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LeRoy D. Nosbaum.........</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Chief Executive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3300" w:type="dxa"/>
            <w:vAlign w:val="bottom"/>
          </w:tcPr>
          <w:p>
            <w:pPr>
              <w:spacing w:after="0"/>
              <w:rPr>
                <w:sz w:val="24"/>
                <w:szCs w:val="24"/>
                <w:color w:val="auto"/>
              </w:rPr>
            </w:pP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Robert D. Neilson........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5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William</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L. Brown.........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Competitive Resources</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Michael</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Cantelme.........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Client Services Group</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Russell</w:t>
            </w:r>
          </w:p>
        </w:tc>
        <w:tc>
          <w:tcPr>
            <w:tcW w:w="44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N. Fairbanks, Jr. 58  Vice President and General</w:t>
            </w:r>
          </w:p>
        </w:tc>
        <w:tc>
          <w:tcPr>
            <w:tcW w:w="3300" w:type="dxa"/>
            <w:vAlign w:val="bottom"/>
          </w:tcPr>
          <w:p>
            <w:pPr>
              <w:ind w:left="60"/>
              <w:spacing w:after="0"/>
              <w:rPr>
                <w:sz w:val="20"/>
                <w:szCs w:val="20"/>
                <w:color w:val="auto"/>
              </w:rPr>
            </w:pPr>
            <w:r>
              <w:rPr>
                <w:rFonts w:ascii="Courier New" w:cs="Courier New" w:eastAsia="Courier New" w:hAnsi="Courier New"/>
                <w:sz w:val="15"/>
                <w:szCs w:val="15"/>
                <w:color w:val="auto"/>
              </w:rPr>
              <w:t>Counsel</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Timothy</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J. Gelvin........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 and General</w:t>
            </w:r>
          </w:p>
        </w:tc>
        <w:tc>
          <w:tcPr>
            <w:tcW w:w="3300" w:type="dxa"/>
            <w:vAlign w:val="bottom"/>
          </w:tcPr>
          <w:p>
            <w:pPr>
              <w:ind w:left="60"/>
              <w:spacing w:after="0"/>
              <w:rPr>
                <w:sz w:val="20"/>
                <w:szCs w:val="20"/>
                <w:color w:val="auto"/>
              </w:rPr>
            </w:pPr>
            <w:r>
              <w:rPr>
                <w:rFonts w:ascii="Courier New" w:cs="Courier New" w:eastAsia="Courier New" w:hAnsi="Courier New"/>
                <w:sz w:val="15"/>
                <w:szCs w:val="15"/>
                <w:color w:val="auto"/>
              </w:rPr>
              <w:t>Manager, International Systems</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John W. Hengesh..........</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 and General</w:t>
            </w:r>
          </w:p>
        </w:tc>
        <w:tc>
          <w:tcPr>
            <w:tcW w:w="3300" w:type="dxa"/>
            <w:vAlign w:val="bottom"/>
          </w:tcPr>
          <w:p>
            <w:pPr>
              <w:ind w:left="60"/>
              <w:spacing w:after="0"/>
              <w:rPr>
                <w:sz w:val="20"/>
                <w:szCs w:val="20"/>
                <w:color w:val="auto"/>
              </w:rPr>
            </w:pPr>
            <w:r>
              <w:rPr>
                <w:rFonts w:ascii="Courier New" w:cs="Courier New" w:eastAsia="Courier New" w:hAnsi="Courier New"/>
                <w:sz w:val="15"/>
                <w:szCs w:val="15"/>
                <w:color w:val="auto"/>
              </w:rPr>
              <w:t>Manager, Natural Gas, and Water &amp;</w:t>
            </w:r>
          </w:p>
        </w:tc>
      </w:tr>
      <w:tr>
        <w:trPr>
          <w:trHeight w:val="173"/>
        </w:trPr>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Public Power Systems</w:t>
            </w:r>
          </w:p>
        </w:tc>
        <w:tc>
          <w:tcPr>
            <w:tcW w:w="3300" w:type="dxa"/>
            <w:vAlign w:val="bottom"/>
          </w:tcPr>
          <w:p>
            <w:pPr>
              <w:spacing w:after="0"/>
              <w:rPr>
                <w:sz w:val="15"/>
                <w:szCs w:val="15"/>
                <w:color w:val="auto"/>
              </w:rPr>
            </w:pP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Randi L. Neilson.........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39</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Marketing</w:t>
            </w:r>
          </w:p>
        </w:tc>
        <w:tc>
          <w:tcPr>
            <w:tcW w:w="3300" w:type="dxa"/>
            <w:vAlign w:val="bottom"/>
          </w:tcPr>
          <w:p>
            <w:pPr>
              <w:spacing w:after="0"/>
              <w:rPr>
                <w:sz w:val="24"/>
                <w:szCs w:val="24"/>
                <w:color w:val="auto"/>
              </w:rPr>
            </w:pP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David G. Remington.......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60</w:t>
            </w:r>
          </w:p>
        </w:tc>
        <w:tc>
          <w:tcPr>
            <w:tcW w:w="5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Jemima G. Scarpelli......</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Investor Relations and Corporate Communications</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John Smith...............</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Energy Information Systems Group</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Douglas Staker...........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Vice-President,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Mobile and</w:t>
            </w:r>
          </w:p>
        </w:tc>
        <w:tc>
          <w:tcPr>
            <w:tcW w:w="3300" w:type="dxa"/>
            <w:vAlign w:val="bottom"/>
          </w:tcPr>
          <w:p>
            <w:pPr>
              <w:ind w:left="60"/>
              <w:spacing w:after="0"/>
              <w:rPr>
                <w:sz w:val="20"/>
                <w:szCs w:val="20"/>
                <w:color w:val="auto"/>
              </w:rPr>
            </w:pPr>
            <w:r>
              <w:rPr>
                <w:rFonts w:ascii="Courier New" w:cs="Courier New" w:eastAsia="Courier New" w:hAnsi="Courier New"/>
                <w:sz w:val="15"/>
                <w:szCs w:val="15"/>
                <w:color w:val="auto"/>
              </w:rPr>
              <w:t>Network Telemetry Systems Group</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Russell E. Vanos.........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 and General</w:t>
            </w:r>
          </w:p>
        </w:tc>
        <w:tc>
          <w:tcPr>
            <w:tcW w:w="3300" w:type="dxa"/>
            <w:vAlign w:val="bottom"/>
          </w:tcPr>
          <w:p>
            <w:pPr>
              <w:ind w:left="60"/>
              <w:spacing w:after="0"/>
              <w:rPr>
                <w:sz w:val="20"/>
                <w:szCs w:val="20"/>
                <w:color w:val="auto"/>
              </w:rPr>
            </w:pPr>
            <w:r>
              <w:rPr>
                <w:rFonts w:ascii="Courier New" w:cs="Courier New" w:eastAsia="Courier New" w:hAnsi="Courier New"/>
                <w:sz w:val="15"/>
                <w:szCs w:val="15"/>
                <w:color w:val="auto"/>
              </w:rPr>
              <w:t>Manager, Electric Systems</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Bob Whitney..............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Manufacturing and Supply Chain Management</w:t>
            </w:r>
          </w:p>
        </w:tc>
      </w:tr>
    </w:tbl>
    <w:p>
      <w:pPr>
        <w:spacing w:after="0" w:line="35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LeRoy Nosbaum was named Chief Executive Officer in March 2000. Previously, he had been Chief Operating Officer. LeRoy joined Itron in March 1996 and had Vice President responsibilities covering manufacturing, product development, operations and marketing before being promoted to Chief Operating Officer. Before joining us, LeRoy was Executive Vice President and General Manager of Metricom, Inc.'s UtiliNet Division, and held a variety of positions with Metricom from 1989 to 1996. Prior to joining Metricom, he was employed by Schlumberger, Ltd. and Sangamo Electric for 20 years, most recently as General Manager of the Integrated Metering Systems Division of Electricity Management--North America, an operating group of Schlumberger.</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Rob Neilson was named President in October 2001 and Chief Operating Officer in March 2000. Previously, he had been Vice President, Strategy and Business Development since October 1997 and Vice President, Marketing from 1993 to 1997. He joined Itron in 1983 as manager of market development and planning, and served as Director of Marketing from 1987 to 1993.</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Bill Brown was named Vice President, Competitive Resources in January 2000 and has responsibility for human resources, information systems, corporate training, facilities and security. Bill joined Itron in 1997 as Vice President, Network Systems Operations responsible for deploying Itron's radio-based network AMR systems. He later became Vice President, Residential Systems Operations where he assumed responsibility for customer service as well as project management for all domestic AMR systems. From 1969 to 1996 Bill served in numerous operational assignments with the federal government throughout the world, including serving as the U.S. Defense Representative to the government of Norway, and as a senior advisor on defense matters to the U.S. Ambassador to Honduras.</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Mike Cantelme joined Itron in July 2000 as Vice President, Client Services Group. From 1998 to 2000 Mike worked with Teligent, L.L.C. as Region Vice President for the Southern Region. Teligent is one of the largest competitive local exchange carriers (CLEC) in the country, and while there, Mike had responsibilities for real estate acquisition, network and central office build out, sales and customer installation for the 13 state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23" w:name="page24"/>
    <w:bookmarkEnd w:id="23"/>
    <w:p>
      <w:pPr>
        <w:ind w:right="3279"/>
        <w:spacing w:after="0" w:line="244" w:lineRule="auto"/>
        <w:rPr>
          <w:sz w:val="20"/>
          <w:szCs w:val="20"/>
          <w:color w:val="auto"/>
        </w:rPr>
      </w:pPr>
      <w:r>
        <w:rPr>
          <w:rFonts w:ascii="Courier New" w:cs="Courier New" w:eastAsia="Courier New" w:hAnsi="Courier New"/>
          <w:sz w:val="15"/>
          <w:szCs w:val="15"/>
          <w:color w:val="auto"/>
        </w:rPr>
        <w:t>southern region. Part of that responsibility also included the initial launch of telephone service in 4 of the first 10 of Teligent's service cities. From 1976 to 1998 Mike spent 22 years with AT&amp;T in a number of positions, most recently Vice President, General Manager in Middle Markets. Previous to being promoted to Vice President, General Manager, Mike was the Director for Sales Training for AT&amp;T.</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Russ Fairbanks joined Itron in January 2000 as Vice President and General Counsel. From 1997 to 1999 Russ served as Vice President and General Counsel for ASM America, Inc., a manufacturer of chemical vapor deposition equipment used to make integrated circuits. Prior to that, he was Vice President, General Counsel and Secretary for Cyrix Corporation, a manufacturer of high performance X-86 microprocessors from 1993 until 1997 at which time Cyrix became a subsidiary of National Semiconductor. Russ was with EDS Corporation from 1986 to 1993 and served in a variety of corporate law and strategic roles.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Tim Gelvin joined Itron in June 2000 as Vice President and General Manager, International Systems, which encompasses all of Itron's operations, including sales and support, outside of the U.S. and Canada. In the year prior to joining Itron, Tim had been managing director of R.P.G. &amp; Associates Inc., an energy marketing and consultancy firm. From 1995 to 1999, Tim was with UtiliCorp United, an international growth-oriented energy and services company based in Kansas City, Missouri, where he held a number of executive positions with broad marketing responsibilities covering operations in the U.S. and Canada, Europe, Australia and New Zealand. Prior to UtiliCorp, he was with Florida Power Corporation from 1977 to 1995 where he had responsibilities covering sales, marketing, operations and customer service.</w:t>
      </w:r>
    </w:p>
    <w:p>
      <w:pPr>
        <w:spacing w:after="0" w:line="180" w:lineRule="exact"/>
        <w:rPr>
          <w:sz w:val="20"/>
          <w:szCs w:val="20"/>
          <w:color w:val="auto"/>
        </w:rPr>
      </w:pPr>
    </w:p>
    <w:p>
      <w:pPr>
        <w:ind w:right="3019" w:firstLine="271"/>
        <w:spacing w:after="0" w:line="264" w:lineRule="auto"/>
        <w:rPr>
          <w:sz w:val="20"/>
          <w:szCs w:val="20"/>
          <w:color w:val="auto"/>
        </w:rPr>
      </w:pPr>
      <w:r>
        <w:rPr>
          <w:rFonts w:ascii="Courier New" w:cs="Courier New" w:eastAsia="Courier New" w:hAnsi="Courier New"/>
          <w:sz w:val="14"/>
          <w:szCs w:val="14"/>
          <w:color w:val="auto"/>
        </w:rPr>
        <w:t>John Hengesh is Vice President and General Manager, Natural Gas Systems and Water and Public Power Systems. Since joining Itron in 1984, he has served in a number of positions covering sales, marketing, hardware and software development, manufacturing, quality and customer and field support. Prior to his present responsibilities, John was Vice President Handheld, Mobile and Telephone Solutions, and previous to that was General Manager for Itron Telephone Solutions in Boise. Before joining Itron, John was the western regional sales manager for the Computer Products Division of General Instrument.</w:t>
      </w:r>
    </w:p>
    <w:p>
      <w:pPr>
        <w:spacing w:after="0" w:line="16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Randi Neilson was named Vice President, Marketing in January 2000 and has responsibility for all marketing communications, market research, regulatory and marketing support. Randi joined Itron in 1990 and has served in a number of positions, most recently as Director of Solutions and Product Marketing where her responsibilities included product marketing, program management, installation and servicing of Itron's radio-based network AMR products as well as marketing communications. Prior to joining Itron, Randi was the Director of Marketing for American Sign and Indicator, a leading supplier of electronic signage and scoreboard systems.</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Dave Remington joined Itron in early 1996 as Vice President and Chief Financial Officer. Before joining Itron, Dave was an investment banker and Managing Director at Dean Witter Reynolds Inc. or Dean Witter Realty Inc. from 1988 to 1996. Previously, he spent 15 years in the financial services industry and two years with a high technology firm. During this time, he was Vice President-Finance, and later President, of Steiner Financial Corporation and the founding President of one if its subsidiaries.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Mima Scarpelli was named Vice President, Investor Relations and Corporate Communications in January 2000. She has responsibilities for all investor relations activities, employee communications, corporate communications activities, and community support and involvement. Mima has been with Itron since 1985 and has held numerous positions in the finance and accounting area including Treasurer and Controller. Prior to joining Itron, Mima was a CPA and audit manager with the Seattle office of Deloitte &amp; Touche LLP.</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John Smith was named Vice President, Energy Information Systems Group in October 2001. John joined Itron in 1996 as a result of the company's merger with Utility Translation Systems (UTS), where he was a partner since 1986. As Director of Product Development and Chief Technical Officer at UTS, John oversaw the creation of the MV-90 and MV-RS data collection and management systems, which are now part of Itron's industry leading portfolio of software solutions. After the merger, he stayed on as Vice President of Products and Technology in the newly created Itron EIS group. Before joining UTS, John worked for eleven years at</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24" w:name="page25"/>
    <w:bookmarkEnd w:id="24"/>
    <w:p>
      <w:pPr>
        <w:ind w:right="3199"/>
        <w:spacing w:after="0" w:line="244" w:lineRule="auto"/>
        <w:rPr>
          <w:sz w:val="20"/>
          <w:szCs w:val="20"/>
          <w:color w:val="auto"/>
        </w:rPr>
      </w:pPr>
      <w:r>
        <w:rPr>
          <w:rFonts w:ascii="Courier New" w:cs="Courier New" w:eastAsia="Courier New" w:hAnsi="Courier New"/>
          <w:sz w:val="15"/>
          <w:szCs w:val="15"/>
          <w:color w:val="auto"/>
        </w:rPr>
        <w:t>Westinghouse Electric Corporation as Manager of Product Software. Before that, he served as an officer in the United States Air Force while training as a meteorologist at Texas A&amp;M University and holding the position of Chief of Computer Operations at the Environmental Technical Applications Center (ETAC) in Washington, D.C. John earned a B.S. in Industrial Engineering from North Carolina State University.</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Doug Staker became Vice President, Mobile and Network Telemetry Systems Group in January 2002. In his current role, Doug's wide-ranging responsibilities include the development and product marketing of all of the hardware and software that make up Itron's AMR and meter data collection systems, with the exception of the MV-90 suite of software products. A twelve year Itron veteran, Doug has held a number of positions within the company, including International Business Analyst, Product Manager for Electric ERT Products, Product Manager for Fixed Network Systems and, most recently, Director of Product Marketing, where he was responsible for the product marketing of Itron's various AMR technologies, fixed network systems, and software interfaces. Before joining Itron, Doug was a Project Engineer for a private firm that developed hydroelectric systems. Doug holds a B.S. in Mechanical Engineering from the University of Idaho.</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Russ Vanos returned to Itron as Vice President and General Manager, Electric Systems in January 2001. Prior to returning to Itron, Russ was Vice President, Sales for LineSoft, a software and consulting firm specializing in power line design and optimization from January through October 2000. His experience in the utility industry spans two decades, much of it related to advanced data collection systems and distribution system optimization. Russ first joined Itron in 1980 as a field service representative responsible for installation of Itron's first generation meter-reading system, and from there, held numerous positions of increasing responsibility, including Vice President, Utility and Energy Services Solutions from 1997 until January, 2000.</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Bob Whitney was named Vice President, Manufacturing and Supply Chain Management in April 2000 and has been with Itron since 1992. Bob has responsibility for the fabrication of all of Itron's hardware products including supply chain management, development and administration of contract manufacturing relationships, and interfacing with internal product development and marketing. Prior to assuming his present position, he was Director of Manufacturing for Itron's Minnesota operations from 1994 until 1999 when he assumed director responsibilities for all of Itron's manufacturing operations. Previous to Itron, Bob held various manufacturing positions with EF Johnson, a two-way radio manufacturing company.</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headquarters are located in approximately 141,000 square feet of owned space in Spokane, Washington. In May 2000, we subleased the majority of the manufacturing space in our facility, approximately 30,000 square feet, to a subcontract manufacturer, in which we have a minority ownership interest, and who manufactures most of our low volume hardware products. In Raleigh, North Carolina, we own approximately 18,000 square feet and are leasing an additional 25,000 square feet used for activities related to our business. In April 2002 we are consolidating our Raleigh operations into one building consisting of approximately 52,000 square feet of leased space. On February 25, 2002, we agreed to sell our office building in Raleigh, NC. The sale is contingent on the purchaser's completion of due diligence, and is expected to close on or before July 1, 2002. In Waseca, Minnesota, we lease 106,000 square feet of manufacturing and engineering space. In late 1998, we began relocating activities from our facility in Lakeville, Minnesota to the Waseca facility and have sub-leased 100% of the 31,000 square feet in the Lakeville facility as of December 31, 2001. We have approximately 34,000 square feet of leased space in various cities in North America for sales and service. Additionally, we lease sales offices in the United Kingdom, France and Australia and in various cities throughout the United States. Our 2001 aggregate domestic and international base monthly lease obligation was approximately $142,000. All the above facilities are in good condition and we believe our current manufacturing and other properties will be sufficient to support our operations for the foreseeable future.</w:t>
      </w:r>
    </w:p>
    <w:p>
      <w:pPr>
        <w:spacing w:after="0" w:line="1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Benghiat Patent Litigation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On April 3, 1999, the Company served Ralph Benghiat, an individual, with a complaint seeking a declaratory judgment that a patent owned by Benghiat is invalid and not infringed by Itron's handheld meter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1440" w:gutter="0" w:footer="0" w:header="0"/>
        </w:sectPr>
      </w:pPr>
    </w:p>
    <w:bookmarkStart w:id="25" w:name="page26"/>
    <w:bookmarkEnd w:id="25"/>
    <w:p>
      <w:pPr>
        <w:ind w:right="3099"/>
        <w:spacing w:after="0" w:line="244" w:lineRule="auto"/>
        <w:rPr>
          <w:sz w:val="20"/>
          <w:szCs w:val="20"/>
          <w:color w:val="auto"/>
        </w:rPr>
      </w:pPr>
      <w:r>
        <w:rPr>
          <w:rFonts w:ascii="Courier New" w:cs="Courier New" w:eastAsia="Courier New" w:hAnsi="Courier New"/>
          <w:sz w:val="15"/>
          <w:szCs w:val="15"/>
          <w:color w:val="auto"/>
        </w:rPr>
        <w:t>reading devices in the United States District Court for the District of Minnesota (Civil Case No. 99-cv-501). Benghiat has filed a counterclaim alleging patent infringement by the same devices. Both lawsuits were filed in the United States District Court for the District of Minnesota. On April 2, 2001, the district court denied the motions for summary judgment filed by Itron. On June 29, 2001, a court-ordered settlement hearing was held, which did not result in a settlement of the case. The case is expected to go to trial in September or October 2002. While we believe that our products do not infringe the Benghiat patent, there can be no assurance that we will prevail in this matter, in which case a decision or settlement of this case may have a material adverse effect on our financial condition. Any litigation, regardless of its outcome, would probably be costly and require significant time and attention of our key management and technical personnel.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Northfield Communications Sublease Litigation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April 24, 2001, pursuant to an amended complaint, plaintiff Northfield Communications, Inc. brought an action against us in the United States District Court for the District of Minnesota (CF No. 01-117 JMR/FLN). Plaintiff is a sub-lessee of property leased by Itron in Lakeville, Minnesota and has asked the court to make a determination of its rights under its sublease and such other relief as is appropriate. We denied the substantive allegations of the complaint and filed a counterclaim against the plaintiff. On February 1, 2002 the court granted summary judgment in favor of the Company on two of the three substantive claims in the complaint. The remaining claim relates to a determination of plaintiff's rights in a small common area of the premises and upon agreement of the parties was dismissed. This case is over for the most part, unless Northfield Communications decides to appeal the grants of summary judgment in the Company's favor.</w:t>
      </w:r>
    </w:p>
    <w:p>
      <w:pPr>
        <w:spacing w:after="0" w:line="18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 is not involved in any other material legal proceedings.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8"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No matters were submitted to a vote of shareholders of Itron during the fourth quarter of 2001.</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tab/>
        <w:t>MARKET FOR REGISTRANT'S COMMON EQUITY AND RELATED STOCKHOLDER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for Common Stock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Itron's common stock is traded on the NASDAQ National Market. The following table reflects the range of high and low common stock sales prices for all four quarters of 2001 and 2000 as reported by the NASDAQ National Market.</w:t>
      </w:r>
    </w:p>
    <w:p>
      <w:pPr>
        <w:spacing w:after="0" w:line="200" w:lineRule="exact"/>
        <w:rPr>
          <w:sz w:val="20"/>
          <w:szCs w:val="20"/>
          <w:color w:val="auto"/>
        </w:rPr>
      </w:pPr>
    </w:p>
    <w:p>
      <w:pPr>
        <w:spacing w:after="0" w:line="32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2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2001</w:t>
            </w:r>
          </w:p>
        </w:tc>
        <w:tc>
          <w:tcPr>
            <w:tcW w:w="10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5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High</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35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35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$12.50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$ 3.50</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$8.50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$18.98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$8.75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$23.84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$14.25</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$8.38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$34.21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$20.13</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$6.75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At February 28, 2002 there were approximately 523 holders of record of our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We have never declared or paid cash dividends. We intend to retain future earnings, if any, for the development of our business and do not anticipate paying cash dividends in the foreseeable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Unregistered Equity Security Sales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6980" w:type="dxa"/>
            <w:vAlign w:val="bottom"/>
          </w:tcPr>
          <w:p>
            <w:pPr>
              <w:spacing w:after="0"/>
              <w:rPr>
                <w:sz w:val="20"/>
                <w:szCs w:val="20"/>
                <w:color w:val="auto"/>
              </w:rPr>
            </w:pPr>
            <w:r>
              <w:rPr>
                <w:rFonts w:ascii="Courier New" w:cs="Courier New" w:eastAsia="Courier New" w:hAnsi="Courier New"/>
                <w:sz w:val="15"/>
                <w:szCs w:val="15"/>
                <w:color w:val="auto"/>
              </w:rPr>
              <w:t>ITEM 6:  SELECTED CONSOLIDATED FINANCIAL INFORMATION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9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right"/>
              <w:ind w:right="325"/>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6980" w:type="dxa"/>
            <w:vAlign w:val="bottom"/>
          </w:tcPr>
          <w:p>
            <w:pPr>
              <w:spacing w:after="0"/>
              <w:rPr>
                <w:sz w:val="15"/>
                <w:szCs w:val="15"/>
                <w:color w:val="auto"/>
              </w:rPr>
            </w:pPr>
          </w:p>
        </w:tc>
        <w:tc>
          <w:tcPr>
            <w:tcW w:w="4540" w:type="dxa"/>
            <w:vAlign w:val="bottom"/>
            <w:gridSpan w:val="1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gridSpan w:val="9"/>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7"/>
        </w:trPr>
        <w:tc>
          <w:tcPr>
            <w:tcW w:w="69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$183,425</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$141,899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$ 147,128</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$187,051</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$164,325</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Service...................................................................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42,130</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38,042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46,284</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54,351</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51,792</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225,555</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179,941</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193,412</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241,402</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216,117</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Cost of revenues.............................................................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127,696</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109,092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202,640</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167,276</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139,578</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Gross profit.................................................................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97,859</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70,849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(9,228)</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74,126</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76,539</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Sales and marketing.......................................................</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26,523</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20,726</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25,243</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23,991</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25,394</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Product development.......................................................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30,000</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21,331</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26,764</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33,493</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32,220</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15,209</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17,565</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13,498</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12,834</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12,064</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intangibles...............................................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1,486</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1,986</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2,261</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2,190</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Restructurings............................................................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16,686</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3,930</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71,999</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61,199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84,177</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76,509</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71,868</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Operating income (loss)......................................................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25,860</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(93,405)</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(2,383)</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4,671</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Equity in affiliates......................................................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(1,154)</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Gain on sale of business interests........................................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Interest,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(3,878)</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(3,795)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(6,261)</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(6,508)</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(3,916)</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Total other income (expense)...........................................</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(4,494)</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(2,726)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(6,861)</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(7,662)</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(3,036)</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(loss) before income taxes and extraordinary item.....................</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21,366</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6,924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(100,266)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(10,045)</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1,635</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 (provision) benefit...............................................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(7,916)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28,010</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3,820</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 (loss) before extraordinary item and cumulative effect of a change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in accounting principle.....................................................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13,450</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4,224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(72,256)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(6,225)</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1,010</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 net of income taxes of</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$570 and $1,970.............................................................</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1,044</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3,660</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 income taxes of</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$1,581......................................................................</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(2,562)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 (loss)............................................................</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$ 13,450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(68,596)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(6,225)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1,010</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Basic net income (loss) per share.........................................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Diluted net income (loss) per share.......................................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r>
      <w:tr>
        <w:trPr>
          <w:trHeight w:val="173"/>
        </w:trPr>
        <w:tc>
          <w:tcPr>
            <w:tcW w:w="698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98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15,639</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15,180</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14,851</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14,668</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14,118</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18,834</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15,385</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14,851</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14,668</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14,562</w:t>
            </w:r>
          </w:p>
        </w:tc>
      </w:tr>
      <w:tr>
        <w:trPr>
          <w:trHeight w:val="347"/>
        </w:trPr>
        <w:tc>
          <w:tcPr>
            <w:tcW w:w="6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Working capital...........................................................</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$ 66,646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$ 45,340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44,261</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$ 54,230</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$ 68,307</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202,691</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177,231</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192,079</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247,755</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240,211</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Total debt................................................................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64,484</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65,446</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74,998</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92,197</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73,814</w:t>
            </w:r>
          </w:p>
        </w:tc>
      </w:tr>
      <w:tr>
        <w:trPr>
          <w:trHeight w:val="173"/>
        </w:trPr>
        <w:tc>
          <w:tcPr>
            <w:tcW w:w="6980" w:type="dxa"/>
            <w:vAlign w:val="bottom"/>
          </w:tcPr>
          <w:p>
            <w:pPr>
              <w:jc w:val="right"/>
              <w:spacing w:after="0"/>
              <w:rPr>
                <w:sz w:val="20"/>
                <w:szCs w:val="20"/>
                <w:color w:val="auto"/>
              </w:rPr>
            </w:pPr>
            <w:r>
              <w:rPr>
                <w:rFonts w:ascii="Courier New" w:cs="Courier New" w:eastAsia="Courier New" w:hAnsi="Courier New"/>
                <w:sz w:val="15"/>
                <w:szCs w:val="15"/>
                <w:color w:val="auto"/>
              </w:rPr>
              <w:t>Shareholders' equity......................................................</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76,052</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52,092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47,526</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115,023</w:t>
            </w: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120,427</w:t>
            </w:r>
          </w:p>
        </w:tc>
      </w:tr>
      <w:tr>
        <w:trPr>
          <w:trHeight w:val="520"/>
        </w:trPr>
        <w:tc>
          <w:tcPr>
            <w:tcW w:w="6980" w:type="dxa"/>
            <w:vAlign w:val="bottom"/>
          </w:tcPr>
          <w:p>
            <w:pPr>
              <w:jc w:val="right"/>
              <w:ind w:right="3305"/>
              <w:spacing w:after="0"/>
              <w:rPr>
                <w:sz w:val="20"/>
                <w:szCs w:val="20"/>
                <w:color w:val="auto"/>
              </w:rPr>
            </w:pPr>
            <w:r>
              <w:rPr>
                <w:rFonts w:ascii="Courier New" w:cs="Courier New" w:eastAsia="Courier New" w:hAnsi="Courier New"/>
                <w:sz w:val="15"/>
                <w:szCs w:val="15"/>
                <w:color w:val="auto"/>
              </w:rPr>
              <w:t>27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520"/>
          </w:cols>
          <w:pgMar w:left="240" w:top="638" w:right="139" w:bottom="1440" w:gutter="0" w:footer="0" w:header="0"/>
        </w:sectPr>
      </w:pPr>
    </w:p>
    <w:bookmarkStart w:id="27" w:name="page28"/>
    <w:bookmarkEnd w:id="27"/>
    <w:p>
      <w:pPr>
        <w:ind w:left="720" w:right="3099" w:hanging="720"/>
        <w:spacing w:after="0" w:line="2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following discussion and analysis should be read in conjunction with "Selected Consolidated Financial Information" and the Consolidated Financial Statements and Notes thereto.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contains forward-looking statements that involve risks and uncertainties, such as statements of our plans, objectives, expectations and intentions.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increased competition and various other matters, many of which are beyond our control. You should not place undue reliance on these forward-looking statements, which apply only as of the date of this Form 10-K. The Company expressly disclaims any obligation or undertaking to update or revise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Itron is a leading provider and source of knowledge to the energy and water industries for collecting, analyzing, and applying critical data about electric, gas and water usage throughout the world. Over 2,000 utilities in more than 45 countries use our handheld meter reading hardware and software systems to collect and process information from over 250 million meters. Those utilities include over 75% of the largest electric and gas utilities in the US and Canada. More than 850 utilities worldwide use our radio and telephone-based technology to automatically collect, analyze and apply meter data from over 20 million electric, gas and water meters. Our enterprise software solutions for managing complex commercial and industrial meter data are used by over</w:t>
      </w:r>
    </w:p>
    <w:p>
      <w:pPr>
        <w:spacing w:after="0" w:line="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600 utilities worldwide, including over 90% of the largest electric and gas utilities in the US and Canada. Our software systems are also in use at a number of the newly created wholesale energy markets in the US and Canada to provide critical data management, billing, and settlement systems for the power flowing into and out of those deregulating markets. Our technology now "touches" over $200 billion in energy and water transactions every year in North America alone. In 2001 we began to expand our solutions portfolio for optimizing the delivery and use of energy and water, beyond meter reading, with the acquisition of licensing rights to software that enables utility field workforce automation. Also, in March 2002, we acquired LineSoft Corporation, a company that provides software tools and engineering consulting services to electric utilities that are used for the design of new and more efficient use of transmission and distribution lines, substations, and upgrades to existing facilities.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With overall penetration for meter reading automation in the US and Canada at approximately 14 percent at December 31, 2001, we have plenty of room to gain customers and increase revenues in this market alone. We believe our technology, industry knowledge and relationships with virtually every large utility in North America give us a strong foothold for extending our leadership into additional systems that give utilities and their customers the knowledge to distribute and use electricity, gas and water more efficiently than ever before. We are aggressively pursuing those opportunities.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8" w:right="1440" w:bottom="1440" w:gutter="0" w:footer="0" w:header="0"/>
        </w:sectPr>
      </w:pPr>
    </w:p>
    <w:bookmarkStart w:id="28" w:name="page29"/>
    <w:bookmarkEnd w:id="28"/>
    <w:p>
      <w:pPr>
        <w:ind w:right="3379" w:firstLine="271"/>
        <w:spacing w:after="0" w:line="244" w:lineRule="auto"/>
        <w:rPr>
          <w:sz w:val="20"/>
          <w:szCs w:val="20"/>
          <w:color w:val="auto"/>
        </w:rPr>
      </w:pPr>
      <w:r>
        <w:rPr>
          <w:rFonts w:ascii="Courier New" w:cs="Courier New" w:eastAsia="Courier New" w:hAnsi="Courier New"/>
          <w:sz w:val="15"/>
          <w:szCs w:val="15"/>
          <w:color w:val="auto"/>
        </w:rPr>
        <w:t>We design, develop, manufacture, market, install and service hardware, software and integrated systems. Sales include hardware, custom and licensed software, consulting, project management and installation and sales support activities. Services include post-sale maintenance support and outsourcing services where we own and operate, or simply operate, systems for a periodic fee.</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However, our business may increasingly consist of sales to other energy and water industry participants such as energy service providers, end user customers, wholesale power markets, and others.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Revenue Recognition. Sales consist of hardware, software license fees, custom software development, project management services,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recognize revenues from hardware and software license fees at the time of shipment, receipt, or, if applicable, upon completion of customer acceptance provisions. Revenues for project management, consulting, installation, outsourcing and maintenance services are recognized at the time those services are provided, with the related expenses recognized as incurred. Under outsourcing arrangements, both installation costs and the costs of hardware and software are capitalized and amortized over the term of the contract. Hardware and software post-contract customer support fees are recognized over the life of the related service contracts.</w:t>
      </w:r>
    </w:p>
    <w:p>
      <w:pPr>
        <w:spacing w:after="0" w:line="179"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Inventories. Inventories are stated at the lower of cost or market using the first-in, first-out method. Cost includes raw materials and labor, plus applied direct and indirect costs. Inventory is subject to rapidly changing technologies. There can be no assurance that technological advances will not cause some or all of our inventory to become obsolete or uneconomical.</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Warranty. We offer standard warranty terms on our product sales of between one and three years. Provision for estimated warranty costs is recorded at the time of sale and periodically adjusted to reflect actual experience. Our long-term warranty reserve covers estimated standard warranty cost for the second and third years of customer use and future expected costs of testing and replacement of radio meter module batteries and fixed network equipment. Management continually evaluates the sufficiency of warranty reserves and makes adjustments when necessary. Actual warranty costs may fluctuate and may be different than amounts accrued.</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Concentration of credit risk: We currently derive the majority of our revenues from sales of products and services to utilities. As a result, our operations are subject to the same regulatory, political and economic risks that affect that industry. Additionally, certain affiliates in which we have invested are development stage enterprises in that they are subject to the risk of obtaining sufficient capital or financing, developing a viable product and obtaining sufficient customer demand.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Effective January 1, 2002, we realigned our organization from six business units, comprised of both market segments and products, to four business units composed of market segments. Results from the former Client Services and Energy Information Systems (EIS) segments, which are product lines, have been reclassified into our Electric, Natural Gas, Water &amp; Public Power, and International segments for 2001, 2000, and 1999. This realignment better reflects our approach to market segmentation and our focus on customer values specific to each. Segment numbers throughout this report have been reclassified to reflect our new 2002 organization.</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Revenues for each business unit include hardware, custom and licensed software, project management, installation and support activities, outsourcing services, where we own and operate, or simply operate, systems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8" w:right="1440" w:bottom="1440" w:gutter="0" w:footer="0" w:header="0"/>
        </w:sectPr>
      </w:pPr>
    </w:p>
    <w:bookmarkStart w:id="29" w:name="page30"/>
    <w:bookmarkEnd w:id="29"/>
    <w:p>
      <w:pPr>
        <w:ind w:right="3099"/>
        <w:spacing w:after="0" w:line="244" w:lineRule="auto"/>
        <w:rPr>
          <w:sz w:val="20"/>
          <w:szCs w:val="20"/>
          <w:color w:val="auto"/>
        </w:rPr>
      </w:pPr>
      <w:r>
        <w:rPr>
          <w:rFonts w:ascii="Courier New" w:cs="Courier New" w:eastAsia="Courier New" w:hAnsi="Courier New"/>
          <w:sz w:val="15"/>
          <w:szCs w:val="15"/>
          <w:color w:val="auto"/>
        </w:rPr>
        <w:t>for a periodic fee, and post-sale support activities. Inter-segment revenues are immaterial. Within each business unit, product costs associated with revenue are reported using standards, which include materials, direct labor and an overhead allocation based on projected production for the year. Variances from standard costs are included in corporate costs and are not allocated to the business units.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Revenues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tables show our revenue and percent change from the prior 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by sales or service and by segment.</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2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3"/>
          </w:tcPr>
          <w:p>
            <w:pPr>
              <w:jc w:val="center"/>
              <w:ind w:left="5"/>
              <w:spacing w:after="0"/>
              <w:rPr>
                <w:sz w:val="20"/>
                <w:szCs w:val="20"/>
                <w:color w:val="auto"/>
              </w:rPr>
            </w:pPr>
            <w:r>
              <w:rPr>
                <w:rFonts w:ascii="Courier New" w:cs="Courier New" w:eastAsia="Courier New" w:hAnsi="Courier New"/>
                <w:sz w:val="15"/>
                <w:szCs w:val="15"/>
                <w:color w:val="auto"/>
              </w:rPr>
              <w:t>Year Ended December 31,</w:t>
            </w:r>
          </w:p>
        </w:tc>
        <w:tc>
          <w:tcPr>
            <w:tcW w:w="900" w:type="dxa"/>
            <w:vAlign w:val="bottom"/>
          </w:tcPr>
          <w:p>
            <w:pPr>
              <w:spacing w:after="0"/>
              <w:rPr>
                <w:sz w:val="24"/>
                <w:szCs w:val="24"/>
                <w:color w:val="auto"/>
              </w:rPr>
            </w:pPr>
          </w:p>
        </w:tc>
      </w:tr>
      <w:tr>
        <w:trPr>
          <w:trHeight w:val="173"/>
        </w:trPr>
        <w:tc>
          <w:tcPr>
            <w:tcW w:w="2600" w:type="dxa"/>
            <w:vAlign w:val="bottom"/>
          </w:tcPr>
          <w:p>
            <w:pPr>
              <w:spacing w:after="0"/>
              <w:rPr>
                <w:sz w:val="15"/>
                <w:szCs w:val="15"/>
                <w:color w:val="auto"/>
              </w:rPr>
            </w:pPr>
          </w:p>
        </w:tc>
        <w:tc>
          <w:tcPr>
            <w:tcW w:w="3700" w:type="dxa"/>
            <w:vAlign w:val="bottom"/>
            <w:gridSpan w:val="5"/>
          </w:tcPr>
          <w:p>
            <w:pPr>
              <w:jc w:val="right"/>
              <w:ind w:right="1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Change</w:t>
            </w:r>
          </w:p>
        </w:tc>
      </w:tr>
      <w:tr>
        <w:trPr>
          <w:trHeight w:val="173"/>
        </w:trPr>
        <w:tc>
          <w:tcPr>
            <w:tcW w:w="260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2001-2000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2000-1999</w:t>
            </w:r>
          </w:p>
        </w:tc>
      </w:tr>
      <w:tr>
        <w:trPr>
          <w:trHeight w:val="173"/>
        </w:trPr>
        <w:tc>
          <w:tcPr>
            <w:tcW w:w="2600" w:type="dxa"/>
            <w:vAlign w:val="bottom"/>
          </w:tcPr>
          <w:p>
            <w:pPr>
              <w:spacing w:after="0"/>
              <w:rPr>
                <w:sz w:val="15"/>
                <w:szCs w:val="15"/>
                <w:color w:val="auto"/>
              </w:rPr>
            </w:pPr>
          </w:p>
        </w:tc>
        <w:tc>
          <w:tcPr>
            <w:tcW w:w="370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w w:val="99"/>
              </w:rPr>
              <w:t>------ ------ --------- ------ ---------</w:t>
            </w:r>
          </w:p>
        </w:tc>
      </w:tr>
      <w:tr>
        <w:trPr>
          <w:trHeight w:val="173"/>
        </w:trPr>
        <w:tc>
          <w:tcPr>
            <w:tcW w:w="2600" w:type="dxa"/>
            <w:vAlign w:val="bottom"/>
          </w:tcPr>
          <w:p>
            <w:pPr>
              <w:ind w:left="900"/>
              <w:spacing w:after="0"/>
              <w:rPr>
                <w:sz w:val="20"/>
                <w:szCs w:val="20"/>
                <w:color w:val="auto"/>
              </w:rPr>
            </w:pPr>
            <w:r>
              <w:rPr>
                <w:rFonts w:ascii="Courier New" w:cs="Courier New" w:eastAsia="Courier New" w:hAnsi="Courier New"/>
                <w:sz w:val="15"/>
                <w:szCs w:val="15"/>
                <w:color w:val="auto"/>
              </w:rPr>
              <w:t>Revenues</w:t>
            </w:r>
          </w:p>
        </w:tc>
        <w:tc>
          <w:tcPr>
            <w:tcW w:w="640" w:type="dxa"/>
            <w:vAlign w:val="bottom"/>
          </w:tcPr>
          <w:p>
            <w:pPr>
              <w:spacing w:after="0"/>
              <w:rPr>
                <w:sz w:val="15"/>
                <w:szCs w:val="15"/>
                <w:color w:val="auto"/>
              </w:rPr>
            </w:pPr>
          </w:p>
        </w:tc>
        <w:tc>
          <w:tcPr>
            <w:tcW w:w="2160" w:type="dxa"/>
            <w:vAlign w:val="bottom"/>
            <w:gridSpan w:val="3"/>
          </w:tcPr>
          <w:p>
            <w:pPr>
              <w:jc w:val="center"/>
              <w:ind w:left="5"/>
              <w:spacing w:after="0"/>
              <w:rPr>
                <w:sz w:val="20"/>
                <w:szCs w:val="20"/>
                <w:color w:val="auto"/>
              </w:rPr>
            </w:pPr>
            <w:r>
              <w:rPr>
                <w:rFonts w:ascii="Courier New" w:cs="Courier New" w:eastAsia="Courier New" w:hAnsi="Courier New"/>
                <w:sz w:val="15"/>
                <w:szCs w:val="15"/>
                <w:color w:val="auto"/>
              </w:rPr>
              <w:t>($ in millions)</w:t>
            </w:r>
          </w:p>
        </w:tc>
        <w:tc>
          <w:tcPr>
            <w:tcW w:w="900" w:type="dxa"/>
            <w:vAlign w:val="bottom"/>
          </w:tcPr>
          <w:p>
            <w:pPr>
              <w:spacing w:after="0"/>
              <w:rPr>
                <w:sz w:val="15"/>
                <w:szCs w:val="15"/>
                <w:color w:val="auto"/>
              </w:rPr>
            </w:pPr>
          </w:p>
        </w:tc>
      </w:tr>
      <w:tr>
        <w:trPr>
          <w:trHeight w:val="347"/>
        </w:trPr>
        <w:tc>
          <w:tcPr>
            <w:tcW w:w="2600" w:type="dxa"/>
            <w:vAlign w:val="bottom"/>
          </w:tcPr>
          <w:p>
            <w:pPr>
              <w:jc w:val="center"/>
              <w:ind w:left="745"/>
              <w:spacing w:after="0"/>
              <w:rPr>
                <w:sz w:val="20"/>
                <w:szCs w:val="20"/>
                <w:color w:val="auto"/>
              </w:rPr>
            </w:pPr>
            <w:r>
              <w:rPr>
                <w:rFonts w:ascii="Courier New" w:cs="Courier New" w:eastAsia="Courier New" w:hAnsi="Courier New"/>
                <w:sz w:val="15"/>
                <w:szCs w:val="15"/>
                <w:color w:val="auto"/>
                <w:w w:val="99"/>
              </w:rPr>
              <w:t>Sales.............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$183.5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$141.9</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29%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$147.1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2600" w:type="dxa"/>
            <w:vAlign w:val="bottom"/>
          </w:tcPr>
          <w:p>
            <w:pPr>
              <w:jc w:val="center"/>
              <w:ind w:left="745"/>
              <w:spacing w:after="0"/>
              <w:rPr>
                <w:sz w:val="20"/>
                <w:szCs w:val="20"/>
                <w:color w:val="auto"/>
              </w:rPr>
            </w:pPr>
            <w:r>
              <w:rPr>
                <w:rFonts w:ascii="Courier New" w:cs="Courier New" w:eastAsia="Courier New" w:hAnsi="Courier New"/>
                <w:sz w:val="15"/>
                <w:szCs w:val="15"/>
                <w:color w:val="auto"/>
                <w:w w:val="99"/>
              </w:rPr>
              <w:t>Service...........</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46.3</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r>
      <w:tr>
        <w:trPr>
          <w:trHeight w:val="173"/>
        </w:trPr>
        <w:tc>
          <w:tcPr>
            <w:tcW w:w="26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5"/>
                <w:szCs w:val="15"/>
                <w:color w:val="auto"/>
              </w:rPr>
            </w:pPr>
          </w:p>
        </w:tc>
      </w:tr>
      <w:tr>
        <w:trPr>
          <w:trHeight w:val="173"/>
        </w:trPr>
        <w:tc>
          <w:tcPr>
            <w:tcW w:w="32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revenues. $225.6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$179.9</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$193.4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 ======</w:t>
            </w:r>
          </w:p>
        </w:tc>
        <w:tc>
          <w:tcPr>
            <w:tcW w:w="9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5"/>
                <w:szCs w:val="15"/>
                <w:color w:val="auto"/>
              </w:rPr>
            </w:pPr>
          </w:p>
        </w:tc>
      </w:tr>
      <w:tr>
        <w:trPr>
          <w:trHeight w:val="867"/>
        </w:trPr>
        <w:tc>
          <w:tcPr>
            <w:tcW w:w="2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2600" w:type="dxa"/>
            <w:vAlign w:val="bottom"/>
          </w:tcPr>
          <w:p>
            <w:pPr>
              <w:spacing w:after="0"/>
              <w:rPr>
                <w:sz w:val="15"/>
                <w:szCs w:val="15"/>
                <w:color w:val="auto"/>
              </w:rPr>
            </w:pPr>
          </w:p>
        </w:tc>
        <w:tc>
          <w:tcPr>
            <w:tcW w:w="37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2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w:t>
            </w:r>
          </w:p>
        </w:tc>
      </w:tr>
      <w:tr>
        <w:trPr>
          <w:trHeight w:val="173"/>
        </w:trPr>
        <w:tc>
          <w:tcPr>
            <w:tcW w:w="26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center"/>
              <w:ind w:left="25"/>
              <w:spacing w:after="0"/>
              <w:rPr>
                <w:sz w:val="20"/>
                <w:szCs w:val="20"/>
                <w:color w:val="auto"/>
              </w:rPr>
            </w:pPr>
            <w:r>
              <w:rPr>
                <w:rFonts w:ascii="Courier New" w:cs="Courier New" w:eastAsia="Courier New" w:hAnsi="Courier New"/>
                <w:sz w:val="15"/>
                <w:szCs w:val="15"/>
                <w:color w:val="auto"/>
              </w:rPr>
              <w:t>2001-2000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2000-1999</w:t>
            </w:r>
          </w:p>
        </w:tc>
      </w:tr>
      <w:tr>
        <w:trPr>
          <w:trHeight w:val="173"/>
        </w:trPr>
        <w:tc>
          <w:tcPr>
            <w:tcW w:w="2600" w:type="dxa"/>
            <w:vAlign w:val="bottom"/>
          </w:tcPr>
          <w:p>
            <w:pPr>
              <w:spacing w:after="0"/>
              <w:rPr>
                <w:sz w:val="15"/>
                <w:szCs w:val="15"/>
                <w:color w:val="auto"/>
              </w:rPr>
            </w:pPr>
          </w:p>
        </w:tc>
        <w:tc>
          <w:tcPr>
            <w:tcW w:w="37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9"/>
              </w:rPr>
              <w:t>------ ------ --------- ------ ---------</w:t>
            </w:r>
          </w:p>
        </w:tc>
      </w:tr>
      <w:tr>
        <w:trPr>
          <w:trHeight w:val="173"/>
        </w:trPr>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Segment Revenues</w:t>
            </w:r>
          </w:p>
        </w:tc>
        <w:tc>
          <w:tcPr>
            <w:tcW w:w="640" w:type="dxa"/>
            <w:vAlign w:val="bottom"/>
          </w:tcPr>
          <w:p>
            <w:pPr>
              <w:spacing w:after="0"/>
              <w:rPr>
                <w:sz w:val="15"/>
                <w:szCs w:val="15"/>
                <w:color w:val="auto"/>
              </w:rPr>
            </w:pPr>
          </w:p>
        </w:tc>
        <w:tc>
          <w:tcPr>
            <w:tcW w:w="21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 in millions)</w:t>
            </w:r>
          </w:p>
        </w:tc>
        <w:tc>
          <w:tcPr>
            <w:tcW w:w="900" w:type="dxa"/>
            <w:vAlign w:val="bottom"/>
          </w:tcPr>
          <w:p>
            <w:pPr>
              <w:spacing w:after="0"/>
              <w:rPr>
                <w:sz w:val="15"/>
                <w:szCs w:val="15"/>
                <w:color w:val="auto"/>
              </w:rPr>
            </w:pPr>
          </w:p>
        </w:tc>
      </w:tr>
      <w:tr>
        <w:trPr>
          <w:trHeight w:val="347"/>
        </w:trPr>
        <w:tc>
          <w:tcPr>
            <w:tcW w:w="260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Electric............</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$ 62.0</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$ 64.3</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3"/>
        </w:trPr>
        <w:tc>
          <w:tcPr>
            <w:tcW w:w="260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Natural Gas.........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r>
      <w:tr>
        <w:trPr>
          <w:trHeight w:val="173"/>
        </w:trPr>
        <w:tc>
          <w:tcPr>
            <w:tcW w:w="260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Water &amp; Public Power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260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International.......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r>
      <w:tr>
        <w:trPr>
          <w:trHeight w:val="173"/>
        </w:trPr>
        <w:tc>
          <w:tcPr>
            <w:tcW w:w="2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r>
      <w:tr>
        <w:trPr>
          <w:trHeight w:val="173"/>
        </w:trPr>
        <w:tc>
          <w:tcPr>
            <w:tcW w:w="2600" w:type="dxa"/>
            <w:vAlign w:val="bottom"/>
          </w:tcPr>
          <w:p>
            <w:pPr>
              <w:ind w:left="1080"/>
              <w:spacing w:after="0"/>
              <w:rPr>
                <w:sz w:val="20"/>
                <w:szCs w:val="20"/>
                <w:color w:val="auto"/>
              </w:rPr>
            </w:pPr>
            <w:r>
              <w:rPr>
                <w:rFonts w:ascii="Courier New" w:cs="Courier New" w:eastAsia="Courier New" w:hAnsi="Courier New"/>
                <w:sz w:val="15"/>
                <w:szCs w:val="15"/>
                <w:color w:val="auto"/>
                <w:w w:val="98"/>
              </w:rPr>
              <w:t>Total revenues...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$179.9</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$193.4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compared with 2000</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For the full year 2001, revenues were $225.6 million compared to $179.9 million in 2000. Revenue growth for the full year was driven largely by expansion orders from existing customers for Mobile Automated Meter Reading ("MAMR") Systems, including one significant customer in Electric Systems.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Electric segment revenues in 2001 were 61% higher than 2000 revenues and represented 44% of our total revenues for the year 2001. The majority of this increase is due to continuing shipments on a multi-year contract with one customer. This customer represented 34% and 6% of the Electric business unit revenues and 15% and 2% of total company revenues in 2001 and 2000 respectively. Sales to this customer will continue to be a significant factor in the Electric business unit through mid-2002 under current contractual obligations.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Natural Gas segment revenues declined 10% in 2001 compared with 2000, primarily due to the completion of large contracts in 2000 that were not replaced by similar business during 2001. Revenue was relatively stable from quarter to quarter in 2001.</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Water and Public Power segment revenues were $5.0 million higher in 2001 compared to 2000. This growth was the result of the initial deployment of modules for a multi-year AMR system for a new customer, the expansion of systems for existing customers, and increased shipments to meter manufacturers. Due to a strong mix of bookings that included several multi-year orders, numerous smaller orders, and new customer contracts, revenues in the last half of 2001 were up 56% over the first half of 2001. In addition, sales through indirect channels are growing due to increased interest for automation within the smaller utilities.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30" w:name="page31"/>
    <w:bookmarkEnd w:id="30"/>
    <w:p>
      <w:pPr>
        <w:ind w:left="8" w:right="3199" w:firstLine="271"/>
        <w:spacing w:after="0" w:line="244" w:lineRule="auto"/>
        <w:rPr>
          <w:sz w:val="20"/>
          <w:szCs w:val="20"/>
          <w:color w:val="auto"/>
        </w:rPr>
      </w:pPr>
      <w:r>
        <w:rPr>
          <w:rFonts w:ascii="Courier New" w:cs="Courier New" w:eastAsia="Courier New" w:hAnsi="Courier New"/>
          <w:sz w:val="15"/>
          <w:szCs w:val="15"/>
          <w:color w:val="auto"/>
        </w:rPr>
        <w:t>International segment revenues increased 39% or $7.1 million over 2000, due to significant handheld sales to customers in Japan. Increased meter module sales in France and a large hardware installation of handheld sales in Australia in the second half of the year also contributed to International revenue growth.</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 compared with 1999</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For the full year 2000, revenues were $179.9 million compared to $193.4 million in 1999. Service revenues were down in 2000 compared to 1999, primarily as a result of less outsourcing revenues in 2000. In March 2000, we sold our outsourcing system at Duquesne Light Company to an affiliate of Duquesne. That system produced service revenues of $9.9 million in 1999 compared to $1.8 million in 2000.</w:t>
      </w:r>
    </w:p>
    <w:p>
      <w:pPr>
        <w:spacing w:after="0" w:line="177"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Electric segment revenues in 2000 were negatively impacted by the sale of the outsourcing system above. Excluding revenues related to the Duquesne outsourcing contract, electric segment revenues were up 11% in 2000 over 1999. Electric segment new contract bookings were strong in the second half of 2000, and as a result, revenues in the last half of 2000 were up 14% over the first half.</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1999, a single customer accounted for approximately $14.4 million, or 29% of Natural Gas segment revenues. Shipments under this large multi-year contract began to wind down early in 2000 as the contract was completed, and accounted for only $7.3 million, or 18% of year-to-date Natural Gas segment revenues in 2000. Excluding activity for that single customer, Natural Gas segment revenues were relatively flat year-to-year.</w:t>
      </w:r>
    </w:p>
    <w:p>
      <w:pPr>
        <w:spacing w:after="0" w:line="177"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The lower revenues in 2000, compared with 1999, in our Water &amp; Public Power segment result primarily from lower handheld electronic meter reading system revenues in 2000. Handheld sales in 1999 were higher than normal due to customer upgrades to handheld systems that were Y2K compliant.</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International revenues in both 2000 and 1999 are primarily derived from sales of handheld systems. Handheld system sales in 1999 were higher as a result of customer upgrades to Y2K compliant systems. Our International systems revenues in the last six months of 2000 were approximately twice those in the first six months of 2000, as a result of a large handheld system order in Japan and a large AMR sale to Mexico.</w:t>
      </w:r>
    </w:p>
    <w:p>
      <w:pPr>
        <w:spacing w:after="0" w:line="17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Gross Margin</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The following tables show our gross margin and percent change from the prior year by sales or service and by segment.</w:t>
      </w:r>
    </w:p>
    <w:p>
      <w:pPr>
        <w:spacing w:after="0" w:line="200" w:lineRule="exact"/>
        <w:rPr>
          <w:sz w:val="20"/>
          <w:szCs w:val="20"/>
          <w:color w:val="auto"/>
        </w:rPr>
      </w:pPr>
    </w:p>
    <w:p>
      <w:pPr>
        <w:spacing w:after="0" w:line="322" w:lineRule="exact"/>
        <w:rPr>
          <w:sz w:val="20"/>
          <w:szCs w:val="20"/>
          <w:color w:val="auto"/>
        </w:rPr>
      </w:pPr>
    </w:p>
    <w:tbl>
      <w:tblPr>
        <w:tblLayout w:type="fixed"/>
        <w:tblInd w:w="908"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2060" w:type="dxa"/>
            <w:vAlign w:val="bottom"/>
          </w:tcPr>
          <w:p>
            <w:pPr>
              <w:spacing w:after="0"/>
              <w:rPr>
                <w:sz w:val="15"/>
                <w:szCs w:val="15"/>
                <w:color w:val="auto"/>
              </w:rPr>
            </w:pPr>
          </w:p>
        </w:tc>
        <w:tc>
          <w:tcPr>
            <w:tcW w:w="326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Change</w:t>
            </w:r>
          </w:p>
        </w:tc>
        <w:tc>
          <w:tcPr>
            <w:tcW w:w="58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w:t>
            </w:r>
          </w:p>
        </w:tc>
      </w:tr>
      <w:tr>
        <w:trPr>
          <w:trHeight w:val="173"/>
        </w:trPr>
        <w:tc>
          <w:tcPr>
            <w:tcW w:w="20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2001 2000</w:t>
            </w:r>
          </w:p>
        </w:tc>
        <w:tc>
          <w:tcPr>
            <w:tcW w:w="15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9"/>
              </w:rPr>
              <w:t>2001-2000 1999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2000-1999</w:t>
            </w:r>
          </w:p>
        </w:tc>
      </w:tr>
      <w:tr>
        <w:trPr>
          <w:trHeight w:val="173"/>
        </w:trPr>
        <w:tc>
          <w:tcPr>
            <w:tcW w:w="20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06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8"/>
              </w:rPr>
              <w:t>Gross Margin</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Sales.................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3"/>
        </w:trPr>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Service...............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(133)</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w:t>
            </w:r>
          </w:p>
        </w:tc>
      </w:tr>
      <w:tr>
        <w:trPr>
          <w:trHeight w:val="173"/>
        </w:trPr>
        <w:tc>
          <w:tcPr>
            <w:tcW w:w="206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860" w:type="dxa"/>
            <w:vAlign w:val="bottom"/>
          </w:tcPr>
          <w:p>
            <w:pPr>
              <w:spacing w:after="0"/>
              <w:rPr>
                <w:sz w:val="15"/>
                <w:szCs w:val="15"/>
                <w:color w:val="auto"/>
              </w:rPr>
            </w:pPr>
          </w:p>
        </w:tc>
      </w:tr>
      <w:tr>
        <w:trPr>
          <w:trHeight w:val="173"/>
        </w:trPr>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gross margin.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206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860" w:type="dxa"/>
            <w:vAlign w:val="bottom"/>
          </w:tcPr>
          <w:p>
            <w:pPr>
              <w:spacing w:after="0"/>
              <w:rPr>
                <w:sz w:val="15"/>
                <w:szCs w:val="15"/>
                <w:color w:val="auto"/>
              </w:rPr>
            </w:pPr>
          </w:p>
        </w:tc>
      </w:tr>
      <w:tr>
        <w:trPr>
          <w:trHeight w:val="867"/>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2060" w:type="dxa"/>
            <w:vAlign w:val="bottom"/>
          </w:tcPr>
          <w:p>
            <w:pPr>
              <w:spacing w:after="0"/>
              <w:rPr>
                <w:sz w:val="15"/>
                <w:szCs w:val="15"/>
                <w:color w:val="auto"/>
              </w:rPr>
            </w:pPr>
          </w:p>
        </w:tc>
        <w:tc>
          <w:tcPr>
            <w:tcW w:w="32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Change</w:t>
            </w:r>
          </w:p>
        </w:tc>
        <w:tc>
          <w:tcPr>
            <w:tcW w:w="58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w:t>
            </w:r>
          </w:p>
        </w:tc>
      </w:tr>
      <w:tr>
        <w:trPr>
          <w:trHeight w:val="173"/>
        </w:trPr>
        <w:tc>
          <w:tcPr>
            <w:tcW w:w="2060" w:type="dxa"/>
            <w:vAlign w:val="bottom"/>
          </w:tcPr>
          <w:p>
            <w:pPr>
              <w:spacing w:after="0"/>
              <w:rPr>
                <w:sz w:val="15"/>
                <w:szCs w:val="15"/>
                <w:color w:val="auto"/>
              </w:rPr>
            </w:pPr>
          </w:p>
        </w:tc>
        <w:tc>
          <w:tcPr>
            <w:tcW w:w="24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2001 2000 2001-2000 1999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2000-1999</w:t>
            </w:r>
          </w:p>
        </w:tc>
      </w:tr>
      <w:tr>
        <w:trPr>
          <w:trHeight w:val="173"/>
        </w:trPr>
        <w:tc>
          <w:tcPr>
            <w:tcW w:w="206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Segment Gross Margin</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Electric..............</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Natural Gas...........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Water &amp; Public Power..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International.........</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Corporate(1)..........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20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Total gross margin.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20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559" w:hanging="368"/>
        <w:spacing w:after="0" w:line="243"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is included so that total segment gross margin reconciles to total gross margin above.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8" w:right="1440" w:bottom="902"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2001 compared with 2000</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Gross margins improved by 4% year-over-year, growing to 43% in 2001 compared to 39% in 2000. During 2001, we began to realize the full benefit of the manufacturing consolidation and supply chain management initiatives that began in 2000. Increased production volumes and lower electronic component pricing in the overall market also contributed to gross margin improvements. Gross margins can vary substantially from period to period depending on component mix.</w:t>
      </w:r>
    </w:p>
    <w:p>
      <w:pPr>
        <w:spacing w:after="0" w:line="177"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Gross margins for both the Electric and Natural Gas segments decreased 2% in 2001 compared to 2000 due to changes in the mix of customers and products.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International segment margins decreased from 43% in 2000 to 34% in 2001, or 9 percentage points. The majority of this decrease is due to large low margin handheld shipments to customers in Japan early in the year. In addition, we had higher revenues from low margin AMR module shipments to customers in France 2001 compared to 2000.</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Corporate costs of sales were lower in 2001 compared to 2000, primarily due to efficiencies gained through the consolidation of our manufacturing facilities and higher than planned production volumes for 2001. Favorable manufacturing variances associated with higher than planned production remain in corporate costs of sales due to our standard cost of sales method. In addition, purchase price variances, which are reflected in unallocated corporate costs of sales, were favorable in 2001, due in part to lower market prices for many electronic components.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compared with 1999</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late 1999, we implemented a number of restructuring actions, including the consolidation of our high volume manufacturing operations from three locations to one and the spin-off of our low volume manufacturing. As a result, our overall gross margin in 2000 reflects improved efficiencies.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Electric gross margin was negative in 1999 as a result of a loss on the sale of our outsourced network AMR system at Duquesne Light to an affiliate of Duquesne and because of a $14.3 million forward loss accrued in 1999 for estimated costs to complete our remaining obligations to this customer in excess of contractual revenues. These two items had the impact of reducing 1999 Electric gross profit by $67.3 million. In addition, in the second quarter of 1999, gross margin in our Electric segment was impacted by a $4.2 million price concession to another customer for a large network installation. Without those items, Electric gross margin in 1999 would have been approximately 14%.</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higher gross margin for our Natural Gas and Water &amp; Public Power segments in 2000 compared with 1999 resulted from lower standard costs in 2000 due to improved efficiencies in our manufacturing processes as discussed above.</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Higher gross margin for International in 2000 reflects a shift in product mix towards more profitable handheld and AMR systems and away from lower margin custom development type systems in Europe.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8"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Operating Expenses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 shows our operating expenses and percent of revenues.</w:t>
      </w:r>
    </w:p>
    <w:p>
      <w:pPr>
        <w:spacing w:after="0" w:line="200" w:lineRule="exact"/>
        <w:rPr>
          <w:sz w:val="20"/>
          <w:szCs w:val="20"/>
          <w:color w:val="auto"/>
        </w:rPr>
      </w:pPr>
    </w:p>
    <w:p>
      <w:pPr>
        <w:spacing w:after="0" w:line="32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Year Ended December 31,</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296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 of</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 of</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 of</w:t>
            </w:r>
          </w:p>
        </w:tc>
      </w:tr>
      <w:tr>
        <w:trPr>
          <w:trHeight w:val="173"/>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2001</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Revenue 2000</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Revenue 1999</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Revenue</w:t>
            </w:r>
          </w:p>
        </w:tc>
      </w:tr>
    </w:tbl>
    <w:p>
      <w:pPr>
        <w:spacing w:after="0" w:line="3" w:lineRule="exact"/>
        <w:rPr>
          <w:sz w:val="20"/>
          <w:szCs w:val="20"/>
          <w:color w:val="auto"/>
        </w:rPr>
      </w:pPr>
    </w:p>
    <w:p>
      <w:pPr>
        <w:ind w:left="3600" w:hanging="632"/>
        <w:spacing w:after="0"/>
        <w:tabs>
          <w:tab w:leader="none" w:pos="3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3" w:lineRule="exact"/>
        <w:rPr>
          <w:rFonts w:ascii="Courier New" w:cs="Courier New" w:eastAsia="Courier New" w:hAnsi="Courier New"/>
          <w:sz w:val="15"/>
          <w:szCs w:val="15"/>
          <w:color w:val="auto"/>
        </w:rPr>
      </w:pPr>
    </w:p>
    <w:p>
      <w:pPr>
        <w:ind w:left="4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 millions)</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w:t>
            </w: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3"/>
        </w:trPr>
        <w:tc>
          <w:tcPr>
            <w:tcW w:w="256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3"/>
        </w:trPr>
        <w:tc>
          <w:tcPr>
            <w:tcW w:w="256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3"/>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Restructurings..............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w:t>
            </w:r>
          </w:p>
        </w:tc>
      </w:tr>
      <w:tr>
        <w:trPr>
          <w:trHeight w:val="173"/>
        </w:trPr>
        <w:tc>
          <w:tcPr>
            <w:tcW w:w="256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r>
      <w:tr>
        <w:trPr>
          <w:trHeight w:val="173"/>
        </w:trPr>
        <w:tc>
          <w:tcPr>
            <w:tcW w:w="3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Total operating expenses. $72.0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w:t>
            </w: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3"/>
        </w:trPr>
        <w:tc>
          <w:tcPr>
            <w:tcW w:w="256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increase in sales and marketing expenses between 2001 and 2000 is due to investments in marketing programs and systems, primarily a new eCRM (internet-based Customer Relationship Management) system, additional spending related to strategy and business development activities, and increased commissions due to higher revenues. Despite the $5.8 million increase in spending, sales and marketing as a percentage of revenue remained stable at</w:t>
      </w:r>
    </w:p>
    <w:p>
      <w:pPr>
        <w:spacing w:after="0" w:line="4"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11.8% and 11.5% for 2001 and 2000, respectively. Of the $4.5 million decrease in sales and marketing expenses in 2000 compared to 1999, approximately $1.9 million was related to costs of certain items being transferred to general and administrative expenses while $2.5 million was due to cost of sales transfers as the result of our business unit reorganization at the start of 2000.</w:t>
      </w:r>
    </w:p>
    <w:p>
      <w:pPr>
        <w:spacing w:after="0" w:line="16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increase in product development expenses in 2001 compared to 2000 is due to a number of new products under development related to next generation data collection and communications technology and software applications, and the associated increased staffing. The decrease in product development expenses in 2000 compared with 1999 resulted primarily from restructuring measures that included the closure of several product development locations and associated staff reductions. As a percentage of revenues, product development spending was 13.3%, 11.9%, and 13.8% for 2001, 2000, and 1999, respectively.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decrease in general and administrative expenses in 2001 compared to 2000 is largely due to the favorable negotiation of a new communications contract and reduced legal fees for patent and FCC matters. In contrast, the increased general and administrative expenses in 2000 compared with 1999 resulted from: the reclassification of personnel previously included in sales and marketing; expenses for executive recruiting and relocation; increased legal and consulting costs; and earned bonus and performance incentives. Higher legal costs in 2000 were mostly the result of increased patent litigation and FCC licensing expenses. As a percentage of revenues, general and administrative expenses were 6.7%, 9.8%, and 7.0% for 2001, 2000, and 1999, respectively.</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Restructurings in 2001 reflect a net credit as a result of reversals of charges in previous periods. During the year, we reversed $1.0 million of loss reserves previously accrued in 1999 for non-cancelable operating lease charges for a closed facility based on the subsequent sublease of that office space under more favorable terms than anticipated. We reversed another $412,000 based on the decision by new management to remain in our current office in France instead of abandoning and subleasing that building as originally planned. The change in plans resulted from additional office space needs and a desire to avoid disrupting development activities. Finally, in 2001, we increased our severance accrual by $207,000 for remaining obligations. Restructuring measures are substantially complete.</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8"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Other Income (Expense)</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 shows other income (expense) and percent change from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prior year.</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4"/>
        </w:trPr>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20" w:type="dxa"/>
            <w:vAlign w:val="bottom"/>
          </w:tcPr>
          <w:p>
            <w:pPr>
              <w:spacing w:after="0"/>
              <w:rPr>
                <w:sz w:val="24"/>
                <w:szCs w:val="24"/>
                <w:color w:val="auto"/>
              </w:rPr>
            </w:pPr>
          </w:p>
        </w:tc>
      </w:tr>
      <w:tr>
        <w:trPr>
          <w:trHeight w:val="173"/>
        </w:trPr>
        <w:tc>
          <w:tcPr>
            <w:tcW w:w="3100" w:type="dxa"/>
            <w:vAlign w:val="bottom"/>
          </w:tcPr>
          <w:p>
            <w:pPr>
              <w:spacing w:after="0"/>
              <w:rPr>
                <w:sz w:val="15"/>
                <w:szCs w:val="15"/>
                <w:color w:val="auto"/>
              </w:rPr>
            </w:pPr>
          </w:p>
        </w:tc>
        <w:tc>
          <w:tcPr>
            <w:tcW w:w="36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Change</w:t>
            </w:r>
          </w:p>
        </w:tc>
        <w:tc>
          <w:tcPr>
            <w:tcW w:w="6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w:t>
            </w:r>
          </w:p>
        </w:tc>
      </w:tr>
      <w:tr>
        <w:trPr>
          <w:trHeight w:val="173"/>
        </w:trPr>
        <w:tc>
          <w:tcPr>
            <w:tcW w:w="31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2001-2000</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2000-1999</w:t>
            </w:r>
          </w:p>
        </w:tc>
      </w:tr>
      <w:tr>
        <w:trPr>
          <w:trHeight w:val="173"/>
        </w:trPr>
        <w:tc>
          <w:tcPr>
            <w:tcW w:w="31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3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 in millions)</w:t>
            </w:r>
          </w:p>
        </w:tc>
        <w:tc>
          <w:tcPr>
            <w:tcW w:w="820" w:type="dxa"/>
            <w:vAlign w:val="bottom"/>
          </w:tcPr>
          <w:p>
            <w:pPr>
              <w:spacing w:after="0"/>
              <w:rPr>
                <w:sz w:val="15"/>
                <w:szCs w:val="15"/>
                <w:color w:val="auto"/>
              </w:rPr>
            </w:pPr>
          </w:p>
        </w:tc>
      </w:tr>
      <w:tr>
        <w:trPr>
          <w:trHeight w:val="347"/>
        </w:trPr>
        <w:tc>
          <w:tcPr>
            <w:tcW w:w="3100" w:type="dxa"/>
            <w:vAlign w:val="bottom"/>
          </w:tcPr>
          <w:p>
            <w:pPr>
              <w:ind w:left="440"/>
              <w:spacing w:after="0"/>
              <w:rPr>
                <w:sz w:val="20"/>
                <w:szCs w:val="20"/>
                <w:color w:val="auto"/>
              </w:rPr>
            </w:pPr>
            <w:r>
              <w:rPr>
                <w:rFonts w:ascii="Courier New" w:cs="Courier New" w:eastAsia="Courier New" w:hAnsi="Courier New"/>
                <w:sz w:val="15"/>
                <w:szCs w:val="15"/>
                <w:color w:val="auto"/>
              </w:rPr>
              <w:t>Equity in affiliates.........</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w:t>
            </w:r>
          </w:p>
        </w:tc>
      </w:tr>
      <w:tr>
        <w:trPr>
          <w:trHeight w:val="173"/>
        </w:trPr>
        <w:tc>
          <w:tcPr>
            <w:tcW w:w="3100" w:type="dxa"/>
            <w:vAlign w:val="bottom"/>
          </w:tcPr>
          <w:p>
            <w:pPr>
              <w:ind w:left="440"/>
              <w:spacing w:after="0"/>
              <w:rPr>
                <w:sz w:val="20"/>
                <w:szCs w:val="20"/>
                <w:color w:val="auto"/>
              </w:rPr>
            </w:pPr>
            <w:r>
              <w:rPr>
                <w:rFonts w:ascii="Courier New" w:cs="Courier New" w:eastAsia="Courier New" w:hAnsi="Courier New"/>
                <w:sz w:val="15"/>
                <w:szCs w:val="15"/>
                <w:color w:val="auto"/>
              </w:rPr>
              <w:t>Interest, net................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w:t>
            </w:r>
          </w:p>
        </w:tc>
      </w:tr>
      <w:tr>
        <w:trPr>
          <w:trHeight w:val="173"/>
        </w:trPr>
        <w:tc>
          <w:tcPr>
            <w:tcW w:w="31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3"/>
        </w:trPr>
        <w:tc>
          <w:tcPr>
            <w:tcW w:w="3100" w:type="dxa"/>
            <w:vAlign w:val="bottom"/>
          </w:tcPr>
          <w:p>
            <w:pPr>
              <w:ind w:left="440"/>
              <w:spacing w:after="0"/>
              <w:rPr>
                <w:sz w:val="20"/>
                <w:szCs w:val="20"/>
                <w:color w:val="auto"/>
              </w:rPr>
            </w:pPr>
            <w:r>
              <w:rPr>
                <w:rFonts w:ascii="Courier New" w:cs="Courier New" w:eastAsia="Courier New" w:hAnsi="Courier New"/>
                <w:sz w:val="15"/>
                <w:szCs w:val="15"/>
                <w:color w:val="auto"/>
              </w:rPr>
              <w:t>Other income (expense).......</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r>
      <w:tr>
        <w:trPr>
          <w:trHeight w:val="173"/>
        </w:trPr>
        <w:tc>
          <w:tcPr>
            <w:tcW w:w="31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bl>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2001, we had a 50% ownership interest in an affiliate that acts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for selling our water products in specific regions of the US, a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interest in an affiliate that serves as a contract manufacturer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low volume products and as our handheld service repair depot provider,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44% ownership interest in an affiliate that provides meter reading services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energy service providers and end user customers. The loss in 2001 is largely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the write off of $850,000 for our investment in the affiliate, plus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$7,000 in accrued interest related to the note receivable that provides meter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reading services. The loss from that write-off was partially offset with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of gains from the other affiliates.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$1.1 million in equity in affiliates in 2000 resulted from increased sales of our water products by our distributor affiliate and a $150,000 net gain on the sale of our interest in another partially owned domestic affiliate.</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Net interest remained relatively flat between 2001 and 2000. Higher cash and investment balances in 2001 were offset by much lower interest rates in 2001 compared to 2000. Net interest expense decreased 40% in 2000 compared with 1999 due to lower short-term bank borrowings, a reduction of subordinated debt outstanding, and increased net invested cash during 2000. We received $32.8 million from the sale of our outsourcing installation at Duquesne in the first half of 2000 and used a portion of the proceeds to pay down short-term bank borrowings.</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Our effective income tax rate was approximately 37% in 2001 compared with 39% in 2000 and a tax benefit of (28)% in 1999. In 1999 we had a pre-tax loss. Because of this loss, the increase in our valuation allowances provided for certain domestic tax credits and international net operating losses resulting in a lower tax benefit. Our effective income tax rate can vary from period to period because of fluctuations in foreign operating results, changes in the valuation allowances for deferred tax assets, new or revised tax legislation, and changes in the level of business performed in different tax jurisdictions.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Extraordinary Item--Gain on Early Extinguishment of Debt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the first quarter of 2000 we repurchased $3.8 million principal amount of subordinated debt for $2.1 million in cash. The gain on this early extinguishment of debt, net of expenses and income taxes, was $1.0 million. In March 1999 we completed an offer to exchange $15.8 million principal amount of new subordinated debt for $22.0 million principal amount of original subordinated debt. The after-tax effect of the transaction, net of expenses, was a gain of $3.7 million.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the fourth quarter of 2000, we implemented the SEC Staff Accounting Bulletin No. 101 (SAB 101), which outlines the Staff's views on revenue recognition. As a result, we have changed our revenue recognition for certain transactions related to customer acceptance, F.O.B. destination shipments, and outsourcing contracts under which we retain title to the related equipment. The implementation has been accounted for as a cumulative change in accounting principle effective January 1, 2000.</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Financial Condition</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67"/>
        </w:trPr>
        <w:tc>
          <w:tcPr>
            <w:tcW w:w="40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4000" w:type="dxa"/>
            <w:vAlign w:val="bottom"/>
          </w:tcPr>
          <w:p>
            <w:pPr>
              <w:spacing w:after="0"/>
              <w:rPr>
                <w:sz w:val="15"/>
                <w:szCs w:val="15"/>
                <w:color w:val="auto"/>
              </w:rPr>
            </w:pPr>
          </w:p>
        </w:tc>
        <w:tc>
          <w:tcPr>
            <w:tcW w:w="21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0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21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 in millions)</w:t>
            </w:r>
          </w:p>
        </w:tc>
      </w:tr>
      <w:tr>
        <w:trPr>
          <w:trHeight w:val="347"/>
        </w:trPr>
        <w:tc>
          <w:tcPr>
            <w:tcW w:w="4000" w:type="dxa"/>
            <w:vAlign w:val="bottom"/>
          </w:tcPr>
          <w:p>
            <w:pPr>
              <w:ind w:left="1160"/>
              <w:spacing w:after="0"/>
              <w:rPr>
                <w:sz w:val="20"/>
                <w:szCs w:val="20"/>
                <w:color w:val="auto"/>
              </w:rPr>
            </w:pPr>
            <w:r>
              <w:rPr>
                <w:rFonts w:ascii="Courier New" w:cs="Courier New" w:eastAsia="Courier New" w:hAnsi="Courier New"/>
                <w:sz w:val="15"/>
                <w:szCs w:val="15"/>
                <w:color w:val="auto"/>
              </w:rPr>
              <w:t>Cash Flow Information</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000" w:type="dxa"/>
            <w:vAlign w:val="bottom"/>
          </w:tcPr>
          <w:p>
            <w:pPr>
              <w:ind w:left="1160"/>
              <w:spacing w:after="0"/>
              <w:rPr>
                <w:sz w:val="20"/>
                <w:szCs w:val="20"/>
                <w:color w:val="auto"/>
              </w:rPr>
            </w:pPr>
            <w:r>
              <w:rPr>
                <w:rFonts w:ascii="Courier New" w:cs="Courier New" w:eastAsia="Courier New" w:hAnsi="Courier New"/>
                <w:sz w:val="15"/>
                <w:szCs w:val="15"/>
                <w:color w:val="auto"/>
              </w:rPr>
              <w:t>Operating activities...........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$ 32.3</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$ 3.8</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$ 24.5</w:t>
            </w:r>
          </w:p>
        </w:tc>
      </w:tr>
      <w:tr>
        <w:trPr>
          <w:trHeight w:val="173"/>
        </w:trPr>
        <w:tc>
          <w:tcPr>
            <w:tcW w:w="4000" w:type="dxa"/>
            <w:vAlign w:val="bottom"/>
          </w:tcPr>
          <w:p>
            <w:pPr>
              <w:ind w:left="1160"/>
              <w:spacing w:after="0"/>
              <w:rPr>
                <w:sz w:val="20"/>
                <w:szCs w:val="20"/>
                <w:color w:val="auto"/>
              </w:rPr>
            </w:pPr>
            <w:r>
              <w:rPr>
                <w:rFonts w:ascii="Courier New" w:cs="Courier New" w:eastAsia="Courier New" w:hAnsi="Courier New"/>
                <w:sz w:val="15"/>
                <w:szCs w:val="15"/>
                <w:color w:val="auto"/>
              </w:rPr>
              <w:t>Investing activities...........</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3"/>
        </w:trPr>
        <w:tc>
          <w:tcPr>
            <w:tcW w:w="4000" w:type="dxa"/>
            <w:vAlign w:val="bottom"/>
          </w:tcPr>
          <w:p>
            <w:pPr>
              <w:ind w:left="1160"/>
              <w:spacing w:after="0"/>
              <w:rPr>
                <w:sz w:val="20"/>
                <w:szCs w:val="20"/>
                <w:color w:val="auto"/>
              </w:rPr>
            </w:pPr>
            <w:r>
              <w:rPr>
                <w:rFonts w:ascii="Courier New" w:cs="Courier New" w:eastAsia="Courier New" w:hAnsi="Courier New"/>
                <w:sz w:val="15"/>
                <w:szCs w:val="15"/>
                <w:color w:val="auto"/>
              </w:rPr>
              <w:t>Financing activities...........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3"/>
        </w:trPr>
        <w:tc>
          <w:tcPr>
            <w:tcW w:w="40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Net increase (decrease) in cash $ (0.6)</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(1.2)</w:t>
            </w:r>
          </w:p>
        </w:tc>
      </w:tr>
      <w:tr>
        <w:trPr>
          <w:trHeight w:val="173"/>
        </w:trPr>
        <w:tc>
          <w:tcPr>
            <w:tcW w:w="40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Operating activities: We generated $32.3 million of cash from operations in 2001 compared to $3.8 million in 2000 and $24.5 million in 1999. Increased earnings in 2001 is one of the primary factors driving the improved cash flow from operations in 2001. Accounts payable and accrued expenses decreased $4.4 million in 2001 from 2000, primarily due to the use of, and adjustments to, restructuring reserves, and the use of a forward loss accrual. In 2000 we used $9.3 million of cash for severance and other restructuring expenditures that were accrued in 1999. Excluding those payments, adjusted cash flow from operations in 2000 was $13.1 million. Cash generated from operations in 1999 was $24.5 million and was unusually large as a result of collections in 1999 from two large turnkey installations for which invoicing had been deferred. Wages and benefits payable decreased $7.1 million in 2000 from 1999, primarily due to employee termination benefits paid in 2000.</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Investing activities: The primary investing activity in 2001 was the transfer of $22.2 million of cash and cash equivalents into short-term investments with longer maturities, not exceeding 13 months, in order to achieve higher interest yields. Also included in investing activities is a reclassification of $5.1 million into restricted cash for a collateralized letter of credit. Other activities included investments in and loans made to three companies--a web based wireless workforce management company, a developer of in-home energy gateway communication technology, and a meter reading services provider. Our investment in the web based wireless workforce management company of $2.0 million is in the form of convertible debt, which if converted would give us an 18.8% ownership in the company assuming current exchange rates and shares outstanding. We invested $500,000 in the home energy gateway communication technology company, which grants us exclusive rights to use and market their technology to customers in the U.S., Canada, and Mexico, and non-exclusive rights to use and market their technology elsewhere. During 2001, our $850,000 investment in the meter reading services provider, $350,000 of which is held as a fully reserved note receivable and $500,000 of which was an equity investment was written off. Fixed asset acquisitions, including outsourcing equipment, were $7.6 million for 2001, down approximately $4.0 million from 2000 and down form $9.6 million in 1999. Most of the decrease is due to decreases in outsourcing equipment that reflects that we have substantially completed capital build-outs for our three outsourcing contracts. In 2000 we received $32.8 million, net of expenses, from the sale of our network system at Duquesne Light Company, which is reflected in investing activities.</w:t>
      </w:r>
    </w:p>
    <w:p>
      <w:pPr>
        <w:spacing w:after="0" w:line="188" w:lineRule="exact"/>
        <w:rPr>
          <w:sz w:val="20"/>
          <w:szCs w:val="20"/>
          <w:color w:val="auto"/>
        </w:rPr>
      </w:pPr>
    </w:p>
    <w:p>
      <w:pPr>
        <w:ind w:left="260"/>
        <w:spacing w:after="0"/>
        <w:tabs>
          <w:tab w:leader="none" w:pos="2320" w:val="left"/>
        </w:tabs>
        <w:rPr>
          <w:sz w:val="20"/>
          <w:szCs w:val="20"/>
          <w:color w:val="auto"/>
        </w:rPr>
      </w:pPr>
      <w:r>
        <w:rPr>
          <w:rFonts w:ascii="Courier New" w:cs="Courier New" w:eastAsia="Courier New" w:hAnsi="Courier New"/>
          <w:sz w:val="15"/>
          <w:szCs w:val="15"/>
          <w:color w:val="auto"/>
        </w:rPr>
        <w:t>Financing activities:</w:t>
      </w:r>
      <w:r>
        <w:rPr>
          <w:sz w:val="20"/>
          <w:szCs w:val="20"/>
          <w:color w:val="auto"/>
        </w:rPr>
        <w:tab/>
      </w:r>
      <w:r>
        <w:rPr>
          <w:rFonts w:ascii="Courier New" w:cs="Courier New" w:eastAsia="Courier New" w:hAnsi="Courier New"/>
          <w:sz w:val="14"/>
          <w:szCs w:val="14"/>
          <w:color w:val="auto"/>
        </w:rPr>
        <w:t>Net cash generated from financing activities of $5.1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2001 included $7.8 million received from employee stock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purchases and stock option exercises during the year offset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open-market purchase of 85,100 shares of our common stock for $1.9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used $4.9 million in cash in 2000 mostly due to $3.6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cash that was used to pay down short-term bank borrowings and $2.1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repurchase of subordinated debt in the first quarter of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used $9.6 million in 1999 mostly due to repayment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bank borrowings. Availability under our current line of credit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$23.4 million as of February 28, 2002. We believe that existing cash resources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available borrowings under our credit facility are more than adequate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 our cash needs through 2002. We have no off-balance sheet financing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w:t>
      </w:r>
    </w:p>
    <w:p>
      <w:pPr>
        <w:spacing w:after="0" w:line="178" w:lineRule="exact"/>
        <w:rPr>
          <w:sz w:val="20"/>
          <w:szCs w:val="20"/>
          <w:color w:val="auto"/>
        </w:rPr>
      </w:pPr>
    </w:p>
    <w:p>
      <w:pPr>
        <w:jc w:val="both"/>
        <w:ind w:right="3379" w:firstLine="271"/>
        <w:spacing w:after="0" w:line="244" w:lineRule="auto"/>
        <w:rPr>
          <w:sz w:val="20"/>
          <w:szCs w:val="20"/>
          <w:color w:val="auto"/>
        </w:rPr>
      </w:pPr>
      <w:r>
        <w:rPr>
          <w:rFonts w:ascii="Courier New" w:cs="Courier New" w:eastAsia="Courier New" w:hAnsi="Courier New"/>
          <w:sz w:val="15"/>
          <w:szCs w:val="15"/>
          <w:color w:val="auto"/>
        </w:rPr>
        <w:t>Investments: We have a $2.0 million investment in a software development company, in the form of a senior, secured convertible note, which we made on September 4, 2001. The company has not yet established a</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sectPr>
      </w:pPr>
    </w:p>
    <w:bookmarkStart w:id="35" w:name="page36"/>
    <w:bookmarkEnd w:id="35"/>
    <w:p>
      <w:pPr>
        <w:ind w:right="3099"/>
        <w:spacing w:after="0" w:line="244" w:lineRule="auto"/>
        <w:rPr>
          <w:sz w:val="20"/>
          <w:szCs w:val="20"/>
          <w:color w:val="auto"/>
        </w:rPr>
      </w:pPr>
      <w:r>
        <w:rPr>
          <w:rFonts w:ascii="Courier New" w:cs="Courier New" w:eastAsia="Courier New" w:hAnsi="Courier New"/>
          <w:sz w:val="15"/>
          <w:szCs w:val="15"/>
          <w:color w:val="auto"/>
        </w:rPr>
        <w:t>history of consistent revenue. The company provides a wireless, automated mobile workforce management software solution to the utility industry. We have contracted with the firm to develop a new ERT installation and deployment tool, which will be based on the mobile workforce management software solution. We have also signed an exclusive distribution agreement with them to sell the workforce management solution to the utility industries in North America and parts of Asia. The company recently informed us that it would need additional financial assistance, in part due to the delay in our development of a supporting hardware product. Primarily due to the market acceptance that our sales force has received regarding the workforce management software solution, we have indicated to the company our willingness to increase our investment so that it has sufficient resources to operate currently. If we had converted our note into equity as of December 31, 2001, we would have held an 18.8% equity interest in the firm.</w:t>
      </w:r>
    </w:p>
    <w:p>
      <w:pPr>
        <w:spacing w:after="0" w:line="18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March 2, 2001 we invested $500,000 in the common stock of an early stage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metering services company. Later in 2001, we increased our investment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$350,000 in the form of senior, secured convertible debt. At the end of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wrote off the remaining amounts of our investment totaling $522,000, as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one employee had been let go and the prospects of obtaining both future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the funding necessary to remain a going concern were highly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doubtful. Currently, there still is only one employee and, while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has four customers, it is not yet cash flow positive.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2000 we spun-off our low volume manufacturing operations and field service depot repair operations to a group of former employees, retaining a 30% equity interest in the form of convertible preferred stock. The company continues to manufacture low volume product and perform repair operations for us, which services amount to about 80% of the total revenues of the company. Operations are profitable.</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a 50% general partnership interest in a partnership with a utility, which partnership's purpose is to serve as a marketing vehicle for a defined territory comprised of, and surrounding, the utility's service territory. During 2001, there was little partnership activity. As of December 31, 2001, there was approximately $2.1 million of cash in the partnership.</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2001 we made a $500,000 common stock investment in a startup involved in developing gateway and other metering-related products, for which we received a 10% equity interest. The company has not yet established a history of consistent revenue, has not yet reached breakeven cash flow and is currently looking for additional funding.</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Liquidity, Sources and Uses of Capital: At December 31, 2001, we had approximately $42.8 million in cash, cash equivalents, and short-term investments. We have historically funded our operations and growth with cash flow from operations, borrowings and sales of our stock. We are exposed to changes in interest rates on cash equivalents and our short-term investments, which are rated A or better by Standard &amp; Poor's or Moody's and which have market interest rates. Availability under our current $35 million revolving line of credit is reduced only by our outstanding letters of credit of $11.6 million. We do not have plans to borrow under this credit facility at this time. We have $53.3 million of convertible subordinated debentures that mature in March 2004, $15.0 million of which have a conversion price of $9.65 and are callable in March 2002 without premium. The remaining $38.3 million of notes have a conversion price of $23.70 and have been callable with declining premiums since March 2000. On March 18, 2002 we notified the holders of the exchange notes totaling $15 million, that we will exercise our option to redeem the notes on April 17, 2002. Holders of the debt have the option, until April 16, 2002, to convert the debt into shares of Itron common stock. Based on the current market prices of our stock, we anticipate note holders will convert rather than redeem. We anticipate that we will have sufficient cash generated from operations to repurchase the remaining notes at maturity if they are not converted earlier.</w:t>
      </w:r>
    </w:p>
    <w:p>
      <w:pPr>
        <w:spacing w:after="0" w:line="18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Working capital as of December 31, 2001 was $66.6 million, compared to $45.3 million at December 2000. The increase in working capital was due primarily to an increase in short-term investments of $22.2 million. The number of days outstanding for billed and unbilled accounts receivable was 69 and 84 days as of December 31,</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8" w:right="1440" w:bottom="1440" w:gutter="0" w:footer="0" w:header="0"/>
        </w:sectPr>
      </w:pPr>
    </w:p>
    <w:bookmarkStart w:id="36" w:name="page37"/>
    <w:bookmarkEnd w:id="36"/>
    <w:p>
      <w:pPr>
        <w:ind w:right="3279"/>
        <w:spacing w:after="0" w:line="244" w:lineRule="auto"/>
        <w:rPr>
          <w:sz w:val="20"/>
          <w:szCs w:val="20"/>
          <w:color w:val="auto"/>
        </w:rPr>
      </w:pPr>
      <w:r>
        <w:rPr>
          <w:rFonts w:ascii="Courier New" w:cs="Courier New" w:eastAsia="Courier New" w:hAnsi="Courier New"/>
          <w:sz w:val="15"/>
          <w:szCs w:val="15"/>
          <w:color w:val="auto"/>
        </w:rPr>
        <w:t>2001 and December 31, 2000, respectively. This improvement is a result of increased revenues from customers who pay consistently within our invoicing terms and a shift in customer sales that are based on milestone billings that replaced mobile handheld sales with longer payment terms.</w:t>
      </w:r>
    </w:p>
    <w:p>
      <w:pPr>
        <w:spacing w:after="0" w:line="176" w:lineRule="exact"/>
        <w:rPr>
          <w:sz w:val="20"/>
          <w:szCs w:val="20"/>
          <w:color w:val="auto"/>
        </w:rPr>
      </w:pPr>
    </w:p>
    <w:p>
      <w:pPr>
        <w:jc w:val="both"/>
        <w:ind w:right="3199" w:firstLine="271"/>
        <w:spacing w:after="0" w:line="278" w:lineRule="auto"/>
        <w:rPr>
          <w:sz w:val="20"/>
          <w:szCs w:val="20"/>
          <w:color w:val="auto"/>
        </w:rPr>
      </w:pPr>
      <w:r>
        <w:rPr>
          <w:rFonts w:ascii="Courier New" w:cs="Courier New" w:eastAsia="Courier New" w:hAnsi="Courier New"/>
          <w:sz w:val="14"/>
          <w:szCs w:val="14"/>
          <w:color w:val="auto"/>
        </w:rPr>
        <w:t>Contractual cash obligations as of December 31, 2001, exclusive of our $5.1 million mortgage note that was paid in full in February 2002, were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Due In</w:t>
            </w:r>
          </w:p>
        </w:tc>
        <w:tc>
          <w:tcPr>
            <w:tcW w:w="900" w:type="dxa"/>
            <w:vAlign w:val="bottom"/>
          </w:tcPr>
          <w:p>
            <w:pPr>
              <w:spacing w:after="0"/>
              <w:rPr>
                <w:sz w:val="14"/>
                <w:szCs w:val="14"/>
                <w:color w:val="auto"/>
              </w:rPr>
            </w:pPr>
          </w:p>
        </w:tc>
      </w:tr>
      <w:tr>
        <w:trPr>
          <w:trHeight w:val="173"/>
        </w:trPr>
        <w:tc>
          <w:tcPr>
            <w:tcW w:w="2660" w:type="dxa"/>
            <w:vAlign w:val="bottom"/>
          </w:tcPr>
          <w:p>
            <w:pPr>
              <w:spacing w:after="0"/>
              <w:rPr>
                <w:sz w:val="15"/>
                <w:szCs w:val="15"/>
                <w:color w:val="auto"/>
              </w:rPr>
            </w:pPr>
          </w:p>
        </w:tc>
        <w:tc>
          <w:tcPr>
            <w:tcW w:w="34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66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2003-2004</w:t>
            </w: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2005-2006 Later Years</w:t>
            </w:r>
          </w:p>
        </w:tc>
      </w:tr>
      <w:tr>
        <w:trPr>
          <w:trHeight w:val="173"/>
        </w:trPr>
        <w:tc>
          <w:tcPr>
            <w:tcW w:w="266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w:t>
            </w: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 -----------</w:t>
            </w:r>
          </w:p>
        </w:tc>
      </w:tr>
      <w:tr>
        <w:trPr>
          <w:trHeight w:val="173"/>
        </w:trPr>
        <w:tc>
          <w:tcPr>
            <w:tcW w:w="2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in</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thousands)</w:t>
            </w:r>
          </w:p>
        </w:tc>
        <w:tc>
          <w:tcPr>
            <w:tcW w:w="900" w:type="dxa"/>
            <w:vAlign w:val="bottom"/>
          </w:tcPr>
          <w:p>
            <w:pPr>
              <w:spacing w:after="0"/>
              <w:rPr>
                <w:sz w:val="15"/>
                <w:szCs w:val="15"/>
                <w:color w:val="auto"/>
              </w:rPr>
            </w:pPr>
          </w:p>
        </w:tc>
      </w:tr>
      <w:tr>
        <w:trPr>
          <w:trHeight w:val="347"/>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Project financing debt.......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  635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$1,657</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$2,366</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Operating leases, net........</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3,760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2,734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1,531</w:t>
            </w:r>
          </w:p>
        </w:tc>
      </w:tr>
    </w:tbl>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Commercial commitments as of December 31, 2001 were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Commitments In</w:t>
            </w:r>
          </w:p>
        </w:tc>
        <w:tc>
          <w:tcPr>
            <w:tcW w:w="860" w:type="dxa"/>
            <w:vAlign w:val="bottom"/>
          </w:tcPr>
          <w:p>
            <w:pPr>
              <w:spacing w:after="0"/>
              <w:rPr>
                <w:sz w:val="14"/>
                <w:szCs w:val="14"/>
                <w:color w:val="auto"/>
              </w:rPr>
            </w:pPr>
          </w:p>
        </w:tc>
      </w:tr>
      <w:tr>
        <w:trPr>
          <w:trHeight w:val="173"/>
        </w:trPr>
        <w:tc>
          <w:tcPr>
            <w:tcW w:w="2660" w:type="dxa"/>
            <w:vAlign w:val="bottom"/>
          </w:tcPr>
          <w:p>
            <w:pPr>
              <w:spacing w:after="0"/>
              <w:rPr>
                <w:sz w:val="15"/>
                <w:szCs w:val="15"/>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2003-2004 2005-2006 Later Years</w:t>
            </w:r>
          </w:p>
        </w:tc>
      </w:tr>
      <w:tr>
        <w:trPr>
          <w:trHeight w:val="173"/>
        </w:trPr>
        <w:tc>
          <w:tcPr>
            <w:tcW w:w="2660" w:type="dxa"/>
            <w:vAlign w:val="bottom"/>
          </w:tcPr>
          <w:p>
            <w:pPr>
              <w:spacing w:after="0"/>
              <w:rPr>
                <w:sz w:val="15"/>
                <w:szCs w:val="15"/>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3"/>
        </w:trPr>
        <w:tc>
          <w:tcPr>
            <w:tcW w:w="2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in thousands)</w:t>
            </w:r>
          </w:p>
        </w:tc>
        <w:tc>
          <w:tcPr>
            <w:tcW w:w="860" w:type="dxa"/>
            <w:vAlign w:val="bottom"/>
          </w:tcPr>
          <w:p>
            <w:pPr>
              <w:spacing w:after="0"/>
              <w:rPr>
                <w:sz w:val="15"/>
                <w:szCs w:val="15"/>
                <w:color w:val="auto"/>
              </w:rPr>
            </w:pPr>
          </w:p>
        </w:tc>
      </w:tr>
      <w:tr>
        <w:trPr>
          <w:trHeight w:val="347"/>
        </w:trPr>
        <w:tc>
          <w:tcPr>
            <w:tcW w:w="2660" w:type="dxa"/>
            <w:vAlign w:val="bottom"/>
          </w:tcPr>
          <w:p>
            <w:pPr>
              <w:spacing w:after="0"/>
              <w:rPr>
                <w:sz w:val="20"/>
                <w:szCs w:val="20"/>
                <w:color w:val="auto"/>
              </w:rPr>
            </w:pPr>
            <w:r>
              <w:rPr>
                <w:rFonts w:ascii="Courier New" w:cs="Courier New" w:eastAsia="Courier New" w:hAnsi="Courier New"/>
                <w:sz w:val="15"/>
                <w:szCs w:val="15"/>
                <w:color w:val="auto"/>
              </w:rPr>
              <w:t>Letters of credit(1).........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$11,575</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Performance bonds............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40,174</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Guarantees...................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299</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Effective Q2 2002, our letters of credit will increase to $15.0 million.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2001, we made $3.4 million in investments in, and loans to, three private companies as discussed above under "Investments." In addition, during the first quarter of 2002, we acquired LineSoft, a privately held company, for $41.4 million, which consisted of $20.4 million paid in cash and the issuance of 848,870 shares of Itron common stock (see Note 18 to our consolidated financial statements). We expect to continue to expand our operations and grow our business through a combination of internal new product development as well as licensing technology from others, partnership arrangements and acquisitions of technology or, in some cases, other companies. We expect the majority of these activities to be funded from existing cash, cash flow from operations, and borrowings under existing credit facilities. We believe these sources of liquidity will be sufficient to fund our operations for the foreseeable future, but offer no assurances. From time to time, we evaluate potential acquisitions and other growth opportunities, which might require us to seek additional external financing or public or private issuances of equity or debt securities. While we believe existing sources of liquidity are sufficient, our liquidity could be affected by our dependence on the stability of the energy industry, competitive pressures, international risks, intellectual property claims, as well as other factors described under "Certain Risk Factors" and "Qualitative and Quantitative Disclosures About Market Risk."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late July 2001, the Financial Accounting Standards Board (FASB) issued Statement of Financial Accounting Standards (SFAS) No. 141, Business Combinations, and SFAS No. 142, Goodwill and Other Intangible Assets. SFAS No. 141 requires that all business combinations be accounted for using the purchase method of accounting; therefore, the pooling-of-interests method of accounting is prohibited. SFAS No. 141 also requires that intangible assets acquired in a business combination be recognized apart from goodwill if: (i) the intangible assets arise from contractual or other legal rights or (ii) the acquired intangible assets are capable of being separated from the acquired enterprise, as defined in SFAS No. 141. SFAS No. 141 is effective for all business combinations completed after June 30, 2001 and accounted for as a purchase and for all business combinations "initiated" after June 30, 2001.</w:t>
      </w:r>
    </w:p>
    <w:p>
      <w:pPr>
        <w:spacing w:after="0" w:line="18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SFAS No. 142 requires that goodwill should not be amortized but should be tested for impairment at the "reporting unit level" (Reporting Unit) at least annually and more frequently upon the occurrence of certain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8" w:right="1440" w:bottom="1440" w:gutter="0" w:footer="0" w:header="0"/>
        </w:sectPr>
      </w:pPr>
    </w:p>
    <w:bookmarkStart w:id="37" w:name="page38"/>
    <w:bookmarkEnd w:id="37"/>
    <w:p>
      <w:pPr>
        <w:ind w:right="3099"/>
        <w:spacing w:after="0" w:line="244" w:lineRule="auto"/>
        <w:rPr>
          <w:sz w:val="20"/>
          <w:szCs w:val="20"/>
          <w:color w:val="auto"/>
        </w:rPr>
      </w:pPr>
      <w:r>
        <w:rPr>
          <w:rFonts w:ascii="Courier New" w:cs="Courier New" w:eastAsia="Courier New" w:hAnsi="Courier New"/>
          <w:sz w:val="15"/>
          <w:szCs w:val="15"/>
          <w:color w:val="auto"/>
        </w:rPr>
        <w:t>events, as defined by SFAS No. 142. A Reporting Unit is the same level as or one level below an "operating segment," as defined by SFAS No. 131, Disclosures About Segments of an Enterprise and Related Information. Identifiable intangible assets with a finite life, as defined in SFAS No. 142, will be amortized.</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SFAS No. 142 requires that goodwill be tested for impairment in a two-step process. First, a company must compare the "estimated fair value" of a Reporting Unit to its carrying amount, including goodwill, to determine if the fair value of the Reporting Unit is less than the carrying amount, which would indicate that goodwill is impaired. If the company determines that goodwill is impaired, the Company must compare the "implied fair value" of the goodwill to its carrying amount to determine if there is an impairment loss. The "implied fair value" is calculated by allocating the fair value of the Reporting Unit to all assets and liabilities as if the Reporting Unit had been acquired in a business combination and accounted for under SFAS No. 141.</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goodwill and intangible assets acquired in business combinations completed prior to July 1, 2001, SFAS No. 142 is effective on January 1, 2002, the date the Company is required to adopt SFAS No. 142. Goodwill and intangible assets acquired in a business combination completed after June 30, 2001 are required to be accounted for in accordance with the "amortization and nonamortization" provisions of SFAS No. 142.</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Company expects the adoption of SFAS No. 141 and SFAS No. 142 will result in a reduction in amortization of goodwill from 2001 of $648,000. In addition, in March 2002, in conjunction with the LineSoft acquisition, we acquired intangible assets, most of which we expect to amortize over three and four years. Future business combinations may give rise to either significant amortization expense from the acquisition of intangible assets with a finite life or goodwill with significant impairment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FASB issued SFAS No. 144, Accounting for the Impairment or Disposal of Long-Lived Assets, that supercedes FASB Statement No. 121, Accounting for the Impairment of Long-Lived Assets and for Long-Lived Assets to be Disposed Of, in August, 2001. Statement No. 144 requires that long-lived assets be measured at the lower of carrying amount or fair-value less cost to sell, whether reported in continuing operations or in discontinued operations, to include all components of an entity with operations that can be distinguished from the rest of the entity and that will be eliminated from the ongoing operations of the entity in a disposal transaction. The provisions of Statement No. 144 are effective for financial statements issued for fiscal years beginning after December 15, 2001. Management does not expect the adoption of SFAS No. 144 to have a significant impact on the financial position or results of operations of the Company, relative to its existing assets.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statements are based on current expectations. These statements are forward-looking, and actual results may differ materially due to a number of risks and uncertainties. Itron undertakes no obligation to update publicly or revise any forward-looking statements.</w:t>
      </w:r>
    </w:p>
    <w:p>
      <w:pPr>
        <w:spacing w:after="0" w:line="176" w:lineRule="exact"/>
        <w:rPr>
          <w:sz w:val="20"/>
          <w:szCs w:val="20"/>
          <w:color w:val="auto"/>
        </w:rPr>
      </w:pPr>
    </w:p>
    <w:p>
      <w:pPr>
        <w:ind w:right="3739" w:firstLine="271"/>
        <w:spacing w:after="0" w:line="243" w:lineRule="auto"/>
        <w:rPr>
          <w:sz w:val="20"/>
          <w:szCs w:val="20"/>
          <w:color w:val="auto"/>
        </w:rPr>
      </w:pPr>
      <w:r>
        <w:rPr>
          <w:rFonts w:ascii="Courier New" w:cs="Courier New" w:eastAsia="Courier New" w:hAnsi="Courier New"/>
          <w:sz w:val="15"/>
          <w:szCs w:val="15"/>
          <w:color w:val="auto"/>
        </w:rPr>
        <w:t>The following expectations do not include the financial impact of the LineSoft acquisition, which closed on March 12, 2002.</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expect that revenues in 2002 will be between $250 million and $265 million, which is approximately 11% to 17% higher than 2001. We expect net income per fully diluted share to be between 90 and 97 cents per share, which represents earnings per share growth of approximately 20% to 29%.</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believe the acquisition of LineSoft will result in additional revenue for 2002 of approximately $16 million to $20 million and will be moderately dilutive to breakeven in terms of net income, excluding the write-off of in process R&amp;D and additional intangible amortization associated with this acquisition.</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a preliminary basis, we estimate the in process R&amp;D charge, which will be recognized in the first quarter of 2002, will be approximately $7 million. We also estimate that there will be approximately $3 million in intangible amortization in 2002 resulting from the LineSoft acquisition. These estimates are based on independent valuations, which are being finalized and which are subject to review by our outside auditors.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8" w:right="1440" w:bottom="1440" w:gutter="0" w:footer="0" w:header="0"/>
        </w:sectPr>
      </w:pPr>
    </w:p>
    <w:bookmarkStart w:id="38" w:name="page39"/>
    <w:bookmarkEnd w:id="38"/>
    <w:p>
      <w:pPr>
        <w:spacing w:after="0"/>
        <w:tabs>
          <w:tab w:leader="none" w:pos="8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Interest Rate Risk: We are subject to market risk exposure related to changes in interest rates on our long-term debt. At December 31, 2001, we had $64.5 million of long-term debt. (See Note 5 of our accompanying consolidated financial statements). Our long-term debt is at fixed rates. However, a hypothetical 100 basis point increase in the interest rate at December 31, 2001 would result in a $1.8 million increase in fair value. We do not use derivative financial instruments to manage interest rate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Foreign Currency Exchange Rate Risk: As a global concern, we conduct business in a number of foreign countries and, therefore, face exposure to adverse movements in foreign currency exchange rates. Total International revenue was 11% of total revenue in 2001. Since we currently do not use derivative instruments to manage foreign currency exchange rate risk,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primary exposure relates to non-dollar denominated sales, cost of sales and operating expenses in our subsidiary operations in France, the United Kingdom, and Australia. This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There has been, and there may continue to be, large period-to-period fluctuations in the relative portions of international revenue that are denominated in foreign currencies.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the comprehensive income portion of shareholders' equity in our balance sheet.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Because our earnings are affected by fluctuations in the value of the US dollar as compared to foreign currencies, we have performed a sensitivity analysis assuming a hypothetical 10% increase in the value of the dollar relative to the currencies in which our transactions are denominated. As of December 31, 2001, the analysis indicated that such market movements would not have had a material effect on our consolidated results of operations or on the fair value of any risk-sensitive financial instruments. The model assumes a parallel shift in the foreign currency exchange rates. Exchange rates rarely move in the same direction. The assumption that exchange rates change in a parallel fashion may overstate or understate the impact of changing exchange rates on assets and liabilities denominated in a foreign currency. Consequently, the actual effects on operations in the future may differ materially from the results of the analysis. We may, in the future, experience greater fluctuations in US dollar earnings from fluctuations in foreign currency exchange rates. We will continue to monitor and assess the impact of currency fluctuations and may seek to institute hedging alternatives as business dictates.</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8" w:right="1440" w:bottom="1440" w:gutter="0" w:footer="0" w:header="0"/>
        </w:sectPr>
      </w:pPr>
    </w:p>
    <w:bookmarkStart w:id="39" w:name="page40"/>
    <w:bookmarkEnd w:id="39"/>
    <w:p>
      <w:pPr>
        <w:spacing w:after="0"/>
        <w:tabs>
          <w:tab w:leader="none" w:pos="78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REPORT OF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and results of operations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non-management Directors. The Committee meets regularly with financial management and Deloitte &amp; Touche LLP to review accounting control, auditing and financial reporting matters.</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LeRoy D. Nosbaum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Remington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177" w:lineRule="exact"/>
        <w:rPr>
          <w:sz w:val="20"/>
          <w:szCs w:val="20"/>
          <w:color w:val="auto"/>
        </w:rPr>
      </w:pPr>
    </w:p>
    <w:p>
      <w:pPr>
        <w:sectPr>
          <w:pgSz w:w="11900" w:h="16838" w:orient="portrait"/>
          <w:cols w:equalWidth="0" w:num="2">
            <w:col w:w="2420" w:space="720"/>
            <w:col w:w="7079"/>
          </w:cols>
          <w:pgMar w:left="240" w:top="638"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8" w:right="1440" w:bottom="1440" w:gutter="0" w:footer="0" w:header="0"/>
          <w:type w:val="continuous"/>
        </w:sectPr>
      </w:pPr>
    </w:p>
    <w:bookmarkStart w:id="40" w:name="page41"/>
    <w:bookmarkEnd w:id="40"/>
    <w:p>
      <w:pPr>
        <w:ind w:left="21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Itron, Inc. and subsidiaries as of December 31, 2001 and 2000 and the related consolidated statements of operations, shareholders' equity and cash flows for each of the three years in the period ended December 31, 2001. Our audits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Itron, Inc. and subsidiaries at December 31, 2001 and 2000 and the results of their operations and their cash flows for each of the three years in the period ended December 31, 2001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79"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revenues in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12, 2002 (March 18, 2002 as to Note 18)</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8"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0"/>
        </w:trPr>
        <w:tc>
          <w:tcPr>
            <w:tcW w:w="63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CONSOLIDATED STATEMENTS OF OPERATIONS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6340" w:type="dxa"/>
            <w:vAlign w:val="bottom"/>
          </w:tcPr>
          <w:p>
            <w:pPr>
              <w:spacing w:after="0"/>
              <w:rPr>
                <w:sz w:val="15"/>
                <w:szCs w:val="15"/>
                <w:color w:val="auto"/>
              </w:rPr>
            </w:pPr>
          </w:p>
        </w:tc>
        <w:tc>
          <w:tcPr>
            <w:tcW w:w="34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2001</w:t>
            </w:r>
          </w:p>
        </w:tc>
        <w:tc>
          <w:tcPr>
            <w:tcW w:w="22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15"/>
                <w:szCs w:val="15"/>
                <w:color w:val="auto"/>
              </w:rPr>
            </w:pPr>
          </w:p>
        </w:tc>
        <w:tc>
          <w:tcPr>
            <w:tcW w:w="348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183,425</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141,899</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147,128</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Service............................................................</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42,130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38,042</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46,284</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225,555</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179,941</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193,412</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100,692</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83,954</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94,607</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Service............................................................</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27,004</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25,138</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108,033</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Total cost of revenues.........................................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127,696</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109,092</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202,640</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Gross profit (loss)...................................................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97,859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70,849</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(9,228)</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Sales and marketing................................................</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26,523</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20,726</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25,243</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Product development................................................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30,000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21,331</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26,764</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15,209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17,565</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13,498</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intangibles........................................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1,486</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1,762</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1,986</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Restructurings.....................................................</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16,686</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71,999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61,199</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84,177</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Operating income (loss)...............................................</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25,860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(93,405)</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Equity in affiliates...............................................</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1,069</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Interest, net......................................................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(3,878)</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(3,795)</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(6,261)</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Total other expense............................................</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(4,494)</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(2,726)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(6,861)</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(loss) before income taxes and extraordinary item..............</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21,366</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6,924</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(100,266)</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 (provision) benefit........................................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(7,916)</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28,010</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 (loss) before extraordinary item and cumulative effect of a</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change in accounting principle......................................</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13,450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4,224</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(72,256)</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 net of income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taxes of $570 and $1,970............................................</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1,044</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3,660</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 income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taxes of $1,581.....................................................</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(2,562)</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 (loss).....................................................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13,450</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2,706</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(68,596)</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Basic net income (loss) per share..................................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Diluted net income (loss) per share................................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15,639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15,180</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18,834</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15,385</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8" w:right="1440" w:bottom="1440" w:gutter="0" w:footer="0" w:header="0"/>
        </w:sectPr>
      </w:pPr>
    </w:p>
    <w:bookmarkStart w:id="42" w:name="page43"/>
    <w:bookmarkEnd w:id="42"/>
    <w:p>
      <w:pPr>
        <w:jc w:val="center"/>
        <w:ind w:right="311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8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6440" w:type="dxa"/>
            <w:vAlign w:val="bottom"/>
          </w:tcPr>
          <w:p>
            <w:pPr>
              <w:spacing w:after="0"/>
              <w:rPr>
                <w:sz w:val="15"/>
                <w:szCs w:val="15"/>
                <w:color w:val="auto"/>
              </w:rPr>
            </w:pPr>
          </w:p>
        </w:tc>
        <w:tc>
          <w:tcPr>
            <w:tcW w:w="33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2001</w:t>
            </w:r>
          </w:p>
        </w:tc>
        <w:tc>
          <w:tcPr>
            <w:tcW w:w="28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15"/>
                <w:szCs w:val="15"/>
                <w:color w:val="auto"/>
              </w:rPr>
            </w:pPr>
          </w:p>
        </w:tc>
        <w:tc>
          <w:tcPr>
            <w:tcW w:w="338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9"/>
              </w:rPr>
              <w:t>(in thousands, except per share data)</w:t>
            </w:r>
          </w:p>
        </w:tc>
      </w:tr>
      <w:tr>
        <w:trPr>
          <w:trHeight w:val="520"/>
        </w:trPr>
        <w:tc>
          <w:tcPr>
            <w:tcW w:w="6440" w:type="dxa"/>
            <w:vAlign w:val="bottom"/>
          </w:tcPr>
          <w:p>
            <w:pPr>
              <w:spacing w:after="0"/>
              <w:rPr>
                <w:sz w:val="20"/>
                <w:szCs w:val="20"/>
                <w:color w:val="auto"/>
              </w:rPr>
            </w:pPr>
            <w:r>
              <w:rPr>
                <w:rFonts w:ascii="Courier New" w:cs="Courier New" w:eastAsia="Courier New" w:hAnsi="Courier New"/>
                <w:sz w:val="15"/>
                <w:szCs w:val="15"/>
                <w:color w:val="auto"/>
              </w:rPr>
              <w:t>Pro forma amounts assuming SAB 101 is applied retroactively</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Net income (loss) before extraordinary item............................</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4,224</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(63,771)</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 net of income taxes</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of $570 and $1,970...................................................</w:t>
            </w: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1,044</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3,660</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 (loss)......................................................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5,268</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(60,111)</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Basic net income (loss) per share...................................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Diluted net income (loss) per share.................................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3"/>
        </w:trPr>
        <w:tc>
          <w:tcPr>
            <w:tcW w:w="64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15,639</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15,180</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r>
        <w:trPr>
          <w:trHeight w:val="173"/>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18,834</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15,385</w:t>
            </w:r>
          </w:p>
        </w:tc>
        <w:tc>
          <w:tcPr>
            <w:tcW w:w="2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8"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6880" w:type="dxa"/>
            <w:vAlign w:val="bottom"/>
          </w:tcPr>
          <w:p>
            <w:pPr>
              <w:jc w:val="right"/>
              <w:ind w:right="2025"/>
              <w:spacing w:after="0"/>
              <w:rPr>
                <w:sz w:val="20"/>
                <w:szCs w:val="20"/>
                <w:color w:val="auto"/>
              </w:rPr>
            </w:pPr>
            <w:r>
              <w:rPr>
                <w:rFonts w:ascii="Courier New" w:cs="Courier New" w:eastAsia="Courier New" w:hAnsi="Courier New"/>
                <w:sz w:val="15"/>
                <w:szCs w:val="15"/>
                <w:color w:val="auto"/>
              </w:rPr>
              <w:t>CONSOLIDATED BALANCE SHEETS</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94"/>
        </w:trPr>
        <w:tc>
          <w:tcPr>
            <w:tcW w:w="6880" w:type="dxa"/>
            <w:vAlign w:val="bottom"/>
          </w:tcPr>
          <w:p>
            <w:pPr>
              <w:spacing w:after="0"/>
              <w:rPr>
                <w:sz w:val="24"/>
                <w:szCs w:val="24"/>
                <w:color w:val="auto"/>
              </w:rPr>
            </w:pP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At December 31,</w:t>
            </w:r>
          </w:p>
        </w:tc>
      </w:tr>
      <w:tr>
        <w:trPr>
          <w:trHeight w:val="173"/>
        </w:trPr>
        <w:tc>
          <w:tcPr>
            <w:tcW w:w="6880" w:type="dxa"/>
            <w:vAlign w:val="bottom"/>
          </w:tcPr>
          <w:p>
            <w:pPr>
              <w:spacing w:after="0"/>
              <w:rPr>
                <w:sz w:val="15"/>
                <w:szCs w:val="15"/>
                <w:color w:val="auto"/>
              </w:rPr>
            </w:pPr>
          </w:p>
        </w:tc>
        <w:tc>
          <w:tcPr>
            <w:tcW w:w="1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spacing w:after="0"/>
              <w:rPr>
                <w:sz w:val="15"/>
                <w:szCs w:val="15"/>
                <w:color w:val="auto"/>
              </w:rPr>
            </w:pP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6880" w:type="dxa"/>
            <w:vAlign w:val="bottom"/>
          </w:tcPr>
          <w:p>
            <w:pPr>
              <w:jc w:val="right"/>
              <w:ind w:right="2305"/>
              <w:spacing w:after="0"/>
              <w:rPr>
                <w:sz w:val="20"/>
                <w:szCs w:val="20"/>
                <w:color w:val="auto"/>
              </w:rPr>
            </w:pPr>
            <w:r>
              <w:rPr>
                <w:rFonts w:ascii="Courier New" w:cs="Courier New" w:eastAsia="Courier New" w:hAnsi="Courier New"/>
                <w:sz w:val="15"/>
                <w:szCs w:val="15"/>
                <w:color w:val="auto"/>
              </w:rPr>
              <w:t>ASSETS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7"/>
        </w:trPr>
        <w:tc>
          <w:tcPr>
            <w:tcW w:w="6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$ 20,582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$ 21,216</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Short-term investments, available for sale...............................</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22,199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52,345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49,859</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16,281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17,196</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4,134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4,852</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899</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116,733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94,022</w:t>
            </w:r>
          </w:p>
        </w:tc>
      </w:tr>
      <w:tr>
        <w:trPr>
          <w:trHeight w:val="347"/>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25,918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25,197</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Equipment used in outsourcing,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12,918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14,150</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12,836</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Restricted cash..........................................................</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 net...............................................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24,952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27,287</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3,739</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$202,691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$177,231</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88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LIABILITIES AND SHAREHOLDERS' EQUITY</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7"/>
        </w:trPr>
        <w:tc>
          <w:tcPr>
            <w:tcW w:w="6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$ 24,689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$ 30,171</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Wages and benefits payable...............................................</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11,611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9,244</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13,558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9,025</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50,087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48,682</w:t>
            </w:r>
          </w:p>
        </w:tc>
      </w:tr>
      <w:tr>
        <w:trPr>
          <w:trHeight w:val="347"/>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Convertible subordinated debt............................................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53,313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53,459</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Mortgage notes and leases payable........................................</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5,074</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Project financing........................................................</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6,082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6,671</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Warranty and other obligations...........................................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12,297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11,253</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126,639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125,139</w:t>
            </w:r>
          </w:p>
        </w:tc>
      </w:tr>
      <w:tr>
        <w:trPr>
          <w:trHeight w:val="347"/>
        </w:trPr>
        <w:tc>
          <w:tcPr>
            <w:tcW w:w="68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5 and 12)</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7"/>
        </w:trPr>
        <w:tc>
          <w:tcPr>
            <w:tcW w:w="68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6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Common stock, no par value, 75 million shares authorized, 16,221,468 and</w:t>
            </w: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15,329,361 shares issued and outstanding...............................</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120,316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109,730</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Accumulated other comprehensive loss.....................................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(1,840)</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(42,348)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(55,798)</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76,052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52,092</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88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$202,691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$177,231</w:t>
            </w:r>
          </w:p>
        </w:tc>
      </w:tr>
      <w:tr>
        <w:trPr>
          <w:trHeight w:val="173"/>
        </w:trPr>
        <w:tc>
          <w:tcPr>
            <w:tcW w:w="688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8"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0"/>
        </w:trPr>
        <w:tc>
          <w:tcPr>
            <w:tcW w:w="6800" w:type="dxa"/>
            <w:vAlign w:val="bottom"/>
            <w:gridSpan w:val="4"/>
          </w:tcPr>
          <w:p>
            <w:pPr>
              <w:jc w:val="right"/>
              <w:ind w:right="1045"/>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94"/>
        </w:trPr>
        <w:tc>
          <w:tcPr>
            <w:tcW w:w="3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c>
          <w:tcPr>
            <w:tcW w:w="860" w:type="dxa"/>
            <w:vAlign w:val="bottom"/>
          </w:tcPr>
          <w:p>
            <w:pPr>
              <w:spacing w:after="0"/>
              <w:rPr>
                <w:sz w:val="15"/>
                <w:szCs w:val="15"/>
                <w:color w:val="auto"/>
              </w:rPr>
            </w:pPr>
          </w:p>
        </w:tc>
      </w:tr>
      <w:tr>
        <w:trPr>
          <w:trHeight w:val="173"/>
        </w:trPr>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Earnings</w:t>
            </w:r>
          </w:p>
        </w:tc>
        <w:tc>
          <w:tcPr>
            <w:tcW w:w="860" w:type="dxa"/>
            <w:vAlign w:val="bottom"/>
          </w:tcPr>
          <w:p>
            <w:pPr>
              <w:spacing w:after="0"/>
              <w:rPr>
                <w:sz w:val="15"/>
                <w:szCs w:val="15"/>
                <w:color w:val="auto"/>
              </w:rPr>
            </w:pPr>
          </w:p>
        </w:tc>
      </w:tr>
      <w:tr>
        <w:trPr>
          <w:trHeight w:val="173"/>
        </w:trPr>
        <w:tc>
          <w:tcPr>
            <w:tcW w:w="392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Loss</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(Deficit)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92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 ----------- --------</w:t>
            </w:r>
          </w:p>
        </w:tc>
      </w:tr>
      <w:tr>
        <w:trPr>
          <w:trHeight w:val="173"/>
        </w:trPr>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4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5"/>
                <w:szCs w:val="15"/>
                <w:color w:val="auto"/>
              </w:rPr>
            </w:pP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Balances at January 1, 1999................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14,698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$106,039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$ 10,092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$115,023</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(68,596)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(68,596)</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 net of tax</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w:t>
            </w:r>
          </w:p>
        </w:tc>
        <w:tc>
          <w:tcPr>
            <w:tcW w:w="10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3"/>
        </w:trPr>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(69,061)</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Options exercised.......................</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Employee savings plan...................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1,045</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Employee stock purchase plan............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424</w:t>
            </w:r>
          </w:p>
        </w:tc>
      </w:tr>
      <w:tr>
        <w:trPr>
          <w:trHeight w:val="173"/>
        </w:trPr>
        <w:tc>
          <w:tcPr>
            <w:tcW w:w="392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Balances at December 31, 1999..............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$107,603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$(58,504)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$ 47,526</w:t>
            </w:r>
          </w:p>
        </w:tc>
      </w:tr>
      <w:tr>
        <w:trPr>
          <w:trHeight w:val="34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2,706</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Currency translation adjustment, net of tax</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w:t>
            </w:r>
          </w:p>
        </w:tc>
        <w:tc>
          <w:tcPr>
            <w:tcW w:w="10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3"/>
        </w:trPr>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Total comprehensive income.................</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2,439</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Options exercised.......................</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681</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681</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Employee savings plan...................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988</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988</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Employee stock purchase plan............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458</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w:t>
            </w:r>
          </w:p>
        </w:tc>
      </w:tr>
      <w:tr>
        <w:trPr>
          <w:trHeight w:val="173"/>
        </w:trPr>
        <w:tc>
          <w:tcPr>
            <w:tcW w:w="392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Balances at December 31, 2000..............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15,329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$109,730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$(55,798)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$ 52,092</w:t>
            </w:r>
          </w:p>
        </w:tc>
      </w:tr>
      <w:tr>
        <w:trPr>
          <w:trHeight w:val="34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13,450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13,450</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Currency translation adjustment, net of tax</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w:t>
            </w:r>
          </w:p>
        </w:tc>
        <w:tc>
          <w:tcPr>
            <w:tcW w:w="10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Unrealized gain on investments, net of tax.</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r>
      <w:tr>
        <w:trPr>
          <w:trHeight w:val="173"/>
        </w:trPr>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Total comprehensive income.................</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13,374</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 issues (repurchases):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Options exercised.......................</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7,396</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7,396</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Stock option income tax benefits........</w:t>
            </w:r>
          </w:p>
        </w:tc>
        <w:tc>
          <w:tcPr>
            <w:tcW w:w="7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4,419</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4,419</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Stock repurchased by Company............</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Director compensation...................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Conversion of subordinated debt.........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Employee stock purchase plan............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w:t>
            </w:r>
          </w:p>
        </w:tc>
      </w:tr>
      <w:tr>
        <w:trPr>
          <w:trHeight w:val="173"/>
        </w:trPr>
        <w:tc>
          <w:tcPr>
            <w:tcW w:w="392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Balances at December 31, 2001..............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16,221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$120,316</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$(42,348)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$ 76,052</w:t>
            </w:r>
          </w:p>
        </w:tc>
      </w:tr>
      <w:tr>
        <w:trPr>
          <w:trHeight w:val="173"/>
        </w:trPr>
        <w:tc>
          <w:tcPr>
            <w:tcW w:w="392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8"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5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CONSOLIDATED STATEMENTS OF CASH FLOWS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18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5720" w:type="dxa"/>
            <w:vAlign w:val="bottom"/>
          </w:tcPr>
          <w:p>
            <w:pPr>
              <w:spacing w:after="0"/>
              <w:rPr>
                <w:sz w:val="15"/>
                <w:szCs w:val="15"/>
                <w:color w:val="auto"/>
              </w:rPr>
            </w:pPr>
          </w:p>
        </w:tc>
        <w:tc>
          <w:tcPr>
            <w:tcW w:w="25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2000</w:t>
            </w:r>
          </w:p>
        </w:tc>
        <w:tc>
          <w:tcPr>
            <w:tcW w:w="1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$ 13,450</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$ 2,706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$(68,596)</w:t>
            </w:r>
          </w:p>
        </w:tc>
      </w:tr>
      <w:tr>
        <w:trPr>
          <w:trHeight w:val="173"/>
        </w:trPr>
        <w:tc>
          <w:tcPr>
            <w:tcW w:w="5720" w:type="dxa"/>
            <w:vAlign w:val="bottom"/>
          </w:tcPr>
          <w:p>
            <w:pPr>
              <w:jc w:val="right"/>
              <w:ind w:right="2145"/>
              <w:spacing w:after="0"/>
              <w:rPr>
                <w:sz w:val="20"/>
                <w:szCs w:val="20"/>
                <w:color w:val="auto"/>
              </w:rPr>
            </w:pPr>
            <w:r>
              <w:rPr>
                <w:rFonts w:ascii="Courier New" w:cs="Courier New" w:eastAsia="Courier New" w:hAnsi="Courier New"/>
                <w:sz w:val="15"/>
                <w:szCs w:val="15"/>
                <w:color w:val="auto"/>
              </w:rPr>
              <w:t>Noncash charges (credits) to income: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9,900</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13,254</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18,474</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Stock option income tax benefits........................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4,419</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 provision (benefit).................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3,053</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3,811</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(28,064)</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Equity in affiliates, net...............................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616</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(945)</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Extraordinary gain on early extinguishment of debt......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(1,044)</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(3,660)</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2,562</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Write-off of long-term contracts receivable.............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34,492</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Loss on equipment sale or disposal......................</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23,369</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Director compensation...................................</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(2,486)</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(2,488)</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15,668</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915</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277</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5,354</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(4,403)</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(1,936)</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18,572</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Wages and benefits payable..................................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2,367</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(7,072)</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10,151</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4,533</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(4,407)</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(917)</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(1,622)</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provided by operating activities..........................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32,337</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3,801</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24,498</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the sale of investment securities.............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8,172</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Purchase of investment securities...........................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(30,371)</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Reclassification of restricted cash.........................</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(5,100)</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(7,564)</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(4,510)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(7,416)</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Equipment used in outsourcing...............................</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(7,084)</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(9,859)</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equipment used in outsourcing, net....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32,750</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business interest.....................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870</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(3,088)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(1,251)</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1,191</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provided (used) by investing activities...................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(38,029)</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20,775</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(16,084)</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Change in short-term borrowings, net........................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(3,646)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(10,354)</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Payments on project financing...............................</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Convertible subordinated debt repurchase....................</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(2,101)</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7,817</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2,127</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1,564</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Repurchase of common stock..................................</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Payments on mortgage notes payable..........................</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provided (used) by financing activities...................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5,058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(4,898)</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(9,619)</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Increase (decrease) in cash and cash equivalents...............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(634)</w:t>
            </w:r>
          </w:p>
        </w:tc>
        <w:tc>
          <w:tcPr>
            <w:tcW w:w="14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19,678</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(1,205)</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beginning of period...............</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21,216</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1,538</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2,743</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end of period.....................</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$ 20,582</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$21,216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1,538</w:t>
            </w:r>
          </w:p>
        </w:tc>
      </w:tr>
      <w:tr>
        <w:trPr>
          <w:trHeight w:val="173"/>
        </w:trPr>
        <w:tc>
          <w:tcPr>
            <w:tcW w:w="572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Non cash transactions: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Debt to equity conversion...................................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4,335</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4,289</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5,279</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8" w:right="1440" w:bottom="1440" w:gutter="0" w:footer="0" w:header="0"/>
        </w:sectPr>
      </w:pPr>
    </w:p>
    <w:bookmarkStart w:id="46" w:name="page47"/>
    <w:bookmarkEnd w:id="46"/>
    <w:p>
      <w:pPr>
        <w:ind w:left="16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tab/>
        <w:t>Summary of Significant Accounting Policies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are a leading technology provider to the energy and water industries for collecting, communicating, analyzing and managing information about electric, gas and water usage. We design, develop, manufacture, market, sell, install and service hardware, software and integrated systems for automatic and electronic meter reading systems and for wholesale energy market billing and settlement systems. We both sell our products and provide outsourcing services.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Basis of Consolidation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Itron, Inc. and our wholly owned subsidiaries. All significant intercompany transactions and balances are eliminated.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recognized on the cost method.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consider all highly liquid instruments with original maturities of three months or less to be cash equivalents. Cash equivalents are recorded at cost, which approximates fair value.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Short-term Investments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Company's short-term investments are classified as available-for-sale and are recorded at market value. Investment purchases and sales are accounted for on a trade date basis and market value at a period end is based upon quoted market prices for each security. Realized gains and losses are determined on the specific identification method. Unrealized holding gains and losses, net of any tax effect, are recorded as a component of other comprehensive income.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During 2000, we spun-off our low volume manufacturing and handheld repair service operation to an outside vendor in which we have a 30% equity interest. As a result of this transition, we had consigned inventory at our affiliate totaling $1.8 million at December 31, 2001 and $3.2 million at December 31, 2000. Additionally we reduce inventory for obsolescence or amounts in excess of requirements.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 and Equipment used in Outsourcing</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Property, plant and equipment are stated at cost. Depreciation, which includes the amortization of assets recorded under capital leases, is computed using the straight-line method over the assets' estimated useful lives of three to seven years, or over the term of the applicable capital lease, if shorter. Project management and installation costs and equipment used in outsourcing contracts are depreciated using the straight-line method over the shorter of the useful life or the term of the contract. Plant is depreciated over 30 years using the straight-</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8" w:right="1440" w:bottom="1440" w:gutter="0" w:footer="0" w:header="0"/>
        </w:sectPr>
      </w:pPr>
    </w:p>
    <w:bookmarkStart w:id="47" w:name="page48"/>
    <w:bookmarkEnd w:id="47"/>
    <w:p>
      <w:pPr>
        <w:jc w:val="center"/>
        <w:ind w:right="309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line method. We review the carrying value of property, plant and equipment for impairment on a periodic basis; no impairment has been recognized.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Capitalized Software Development Costs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Financial accounting standards require the capitalization of certain software development costs after technological feasibility of the software is established. Due to the relatively short period between technological feasibility of a product and the completion of product development and the insignificance of related costs incurred during this period, no software development costs have been capitalized in the years ended December 31, 2001, 2000 and 1999. Internal use software development costs are capitalized and amortized over the estimated useful life of three years. In 2001 we capitalized approximately $250,000 for web-based development, which will be amortized over three years.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Goodwill represents the excess cost of businesses that we have acquired over the fair value of their net assets and is amortized using the straight-line method over periods ranging from three to 20 years.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Warranty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offer standard warranty terms on our product sales of between one and three years. Provision for estimated warranty costs is recorded at the time of sale and periodically adjusted to reflect actual experience. Our short-term warranty accrual is included in accounts payable and accrued expenses. Our long-term warranty reserve covers estimated standard warranty cost for the second and third years of customer use and future expected costs of testing and replacement of radio meter module batteries and fixed network equipment. Warranty expense was $4.4 million in 2001, $3.8 million in 2000 and $5.7 million in 1999.</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The Company establishes a valuation allowance when it is likely that we will not generate sufficient taxable income to allow the realization of our deferred net tax asset.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Exchange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consolidated financial statements are prepared in United States dollars. Assets and liabilities of foreign subsidiaries are denominated in foreign currencies and are translated to United States dollars at the exchange rates in effect on the balance sheet date. Revenues, costs of revenues and expenses for these subsidiaries are translated using an average rate for the relevant reporting period. Translation adjustments resulting from this process are a component of comprehensive income in shareholders' equity.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Sales consist of hardware, software license fees, custom software development, project management services,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8" w:right="1440" w:bottom="1440" w:gutter="0" w:footer="0" w:header="0"/>
        </w:sectPr>
      </w:pPr>
    </w:p>
    <w:bookmarkStart w:id="48" w:name="page49"/>
    <w:bookmarkEnd w:id="48"/>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recognize revenues from hardware and software license fees at the time of shipment, receipt, or, if applicable, upon completion of customer acceptance provisions. Revenue for project management, consulting, installation, outsourcing and maintenance services is recognized at the time those services are provided, with related expenses recognized as incurred. Hardware and software post-contract customer support fees are recognized over the life of the related service contracts. In the fourth quarter of 2000, we implemented SEC Staff Accounting Bulletin No. 101, as amended, Revenue Recognition in Financial Statements (SAB No. 101), which provides the SEC staff's views in applying generally accepted accounting principles to selected revenue recognition issues. As a result, effective January 1, 2000, we changed our revenue recognition for certain transactions related to customer acceptance, F.O.B. destination shipments, and outsourcing contracts under which the Company retains title to the related equipment. The implementation was accounted for as a cumulative change in accounting principle in 2000.</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Revenues for both large custom systems and outsourcing contracts, prior to adoption of SAB No. 101, were recognized using the cost-to-cost, percentage-of-completion method of long-term contract accounting. Under this method, revenue reported during a period is based on the percentage of estimated total revenues to be received under the contract measured by the percentage of costs incurred in the period to total estimated costs for each contract. Contract costs include all direct material and labor costs and other indirect costs related to contract performance. Provisions for estimated losses on uncompleted contracts are recognized in the period in which such losses are determined and were $6.8 million in 1999. Prior to January 1, 2000, revenues from certain outsourcing contracts that were recognized in excess of amounts billed were included in long-term contracts receivable or the current portion of long-term contracts receivable depending on the expected period of collection.</w:t>
      </w:r>
    </w:p>
    <w:p>
      <w:pPr>
        <w:spacing w:after="0" w:line="35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Deferred revenue is recorded for products or services that have been paid for by a customer but have not yet been provided. Unbilled receivables are recorded when revenues are recognized upon product shipment or service delivery and invoicing occurs at a later date.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carrying amounts for cash and cash equivalents, short-term investments, and accounts receivable approximate fair value. The fair market value for long-term debt is based on quoted market rates or prices where available (see Note 8).</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Earnings per Share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and dilutive convertible subordinated notes had been converted. Diluted EPS assumes that common shares were issued upon the exercise of stock options for which 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adjusted accordingly ("if converted" method). (See Note 3)</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Derivatives</w:t>
      </w:r>
    </w:p>
    <w:p>
      <w:pPr>
        <w:spacing w:after="0" w:line="178" w:lineRule="exact"/>
        <w:rPr>
          <w:sz w:val="20"/>
          <w:szCs w:val="20"/>
          <w:color w:val="auto"/>
        </w:rPr>
      </w:pPr>
    </w:p>
    <w:p>
      <w:pPr>
        <w:jc w:val="both"/>
        <w:ind w:right="3199" w:firstLine="271"/>
        <w:spacing w:after="0" w:line="244" w:lineRule="auto"/>
        <w:rPr>
          <w:sz w:val="20"/>
          <w:szCs w:val="20"/>
          <w:color w:val="auto"/>
        </w:rPr>
      </w:pPr>
      <w:r>
        <w:rPr>
          <w:rFonts w:ascii="Courier New" w:cs="Courier New" w:eastAsia="Courier New" w:hAnsi="Courier New"/>
          <w:sz w:val="15"/>
          <w:szCs w:val="15"/>
          <w:color w:val="auto"/>
        </w:rPr>
        <w:t>SFAS No. 133, Accounting for Derivative Instruments and Hedging Activities, is effective for all fiscal years beginning after June 15, 2000. SFAS No. 133, as amended, established accounting and reporting standards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8" w:right="1440" w:bottom="1440" w:gutter="0" w:footer="0" w:header="0"/>
        </w:sectPr>
      </w:pPr>
    </w:p>
    <w:bookmarkStart w:id="49" w:name="page50"/>
    <w:bookmarkEnd w:id="49"/>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8"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for derivative instruments, including certain derivative instruments embedded in other contracts and for hedging activities. Under SFAS No. 133, certain contracts that were not formerly considered derivatives may now meet the definition of a derivative. We adopted SFAS No. 133 effective January 1, 2001; the adoption did not have a significant impact on our financial statements.</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 of credit risk</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As a result, our operations are subject to the same regulatory, political and economic risks that affect that industry. Additionally, certain affiliates in which we have invested are development stage enterprises in that they are subject to the risk of obtaining sufficient capital or financing, developing a viable product and obtaining sufficient customer demand.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follow SFAS No. 123, Accounting for Stock-Based Compensation. The provisions of SFAS No. 123 allow companies to either expense the estimated fair value of stock options or to continue to follow the intrinsic value method set forth in Accounting Principles Board Opinion 25, Accounting for Stock Issued to Employees ("APB 25"), but disclose the pro forma effects on net income (loss) had the fair value of the options been expensed. We have elected to continue to apply APB 25 in accounting for our stock option incentive plans (see Note 6).</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right="3919" w:firstLine="271"/>
        <w:spacing w:after="0" w:line="243" w:lineRule="auto"/>
        <w:rPr>
          <w:sz w:val="20"/>
          <w:szCs w:val="20"/>
          <w:color w:val="auto"/>
        </w:rPr>
      </w:pPr>
      <w:r>
        <w:rPr>
          <w:rFonts w:ascii="Courier New" w:cs="Courier New" w:eastAsia="Courier New" w:hAnsi="Courier New"/>
          <w:sz w:val="15"/>
          <w:szCs w:val="15"/>
          <w:color w:val="auto"/>
        </w:rPr>
        <w:t>Certain amounts in the 2000 and 1999 financial statements have been reclassified to conform to the 2001 presentation.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Financial Accounting Standards (SFAS) No. 141, Business Combinations, and SFAS No. 142, Goodwill and Other Intangible Assets. SFAS No. 141 requires that all business combinations be accounted for using the purchase method of accounting; therefore, the pooling-of-interests method of accounting is prohibited. SFAS No. 141 also requires that intangible assets acquired in a business combination be recognized apart from goodwill if: (i) the intangible assets arise from contractual or other legal rights or (ii) the acquired intangible assets are capable of being separated from the acquired enterprise, as defined in SFAS No. 141. SFAS No. 141 is effective for all business combinations completed after June 30, 2001 and accounted for as a purchase and for all business combinations "initiated" after June 30, 2001.</w:t>
      </w:r>
    </w:p>
    <w:p>
      <w:pPr>
        <w:spacing w:after="0" w:line="18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June 2001, the FASB issued SFAS No. 142, Goodwill and Other Intangible Assets. SFAS No. 142 requires that goodwill should not be amortized but should be tested for impairment at the "reporting unit level" (Reporting Unit) at least annually and more frequently upon the occurrence of certain events, as defined by SFAS No. 142. A Reporting Unit is the same level as or one level below an "operating segment," as defined by SFAS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8" w:right="1440" w:bottom="1440" w:gutter="0" w:footer="0" w:header="0"/>
        </w:sectPr>
      </w:pPr>
    </w:p>
    <w:bookmarkStart w:id="50" w:name="page51"/>
    <w:bookmarkEnd w:id="50"/>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No. 131, Disclosures About Segments of an Enterprise and Related Information. Identifiable intangible assets with a finite life, as defined in SFAS No. 142, will be amortized.</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SFAS No. 142 requires that goodwill be tested for impairment in a two-step process. First, a company must compare the "estimated fair value" of a Reporting Unit to its carrying amount, including goodwill, to determine if the fair value of the Reporting Unit is less than the carrying amount, which would indicate that goodwill is impaired. If the company determines that goodwill is impaired, the Company must compare the "implied fair value" of the goodwill to its carrying amount to determine if there is an impairment loss. The "implied fair value" is calculated by allocating the fair value of the Reporting Unit to all assets and liabilities as if the Reporting Unit had been acquired in a business combination and accounted for under SFAS No. 141.</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goodwill and intangible assets acquired in business combinations completed prior to July 1, 2001, SFAS No. 142 is effective on January 1, 2002, the date the Company is required to adopt SFAS No. 142. Goodwill and intangible assets acquired in a business combination completed after June 30, 2001 are required to be accounted for in accordance with the "amortization and nonamortization" provisions of SFAS No. 142.</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Company expects the adoption of SFAS No. 141 and SFAS No. 142 will result in a reduction in amortization of goodwill from 2001 of $648,000. In addition, in March 2002, in conjunction with the LineSoft acquisition, we acquired intangible assets, most of which we expect to amortize over three and four years. Future business combinations may give rise to either significant amortization expense from the acquisition of intangible assets with a finite life or goodwill with significant impairment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FASB issued SFAS No. 144, Accounting for the Impairment or Disposal of Long-Lived Assets, which supercedes FASB Statement No. 121, Accounting for the Impairment of Long-Lived Assets and for Long-Lived Assets to be Disposed Of, in August, 2001. Statement No. 144 requires that long-lived assets be measured at the lower of carrying amount or fair-value less cost to sell, whether reported in continuing operations or in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Management does not expect the adoption of SFAS No. 144 to have a significant impact on the financial position or results of operations of the Company, relative to its existing assets.</w:t>
      </w:r>
    </w:p>
    <w:p>
      <w:pPr>
        <w:spacing w:after="0" w:line="1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Short-Term Investments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Short-term investments consist of U.S. government and agency paper, money market funds, repurchase agreements, master notes, and certificates of deposits. Information related to such investments at December 31, 2001 is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173"/>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Unrealized Unrealized</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Cost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Gains</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Loss</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3820" w:type="dxa"/>
            <w:vAlign w:val="bottom"/>
          </w:tcPr>
          <w:p>
            <w:pPr>
              <w:spacing w:after="0"/>
              <w:rPr>
                <w:sz w:val="15"/>
                <w:szCs w:val="15"/>
                <w:color w:val="auto"/>
              </w:rPr>
            </w:pPr>
          </w:p>
        </w:tc>
        <w:tc>
          <w:tcPr>
            <w:tcW w:w="35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 ---------- ---------- ---------</w:t>
            </w:r>
          </w:p>
        </w:tc>
      </w:tr>
      <w:tr>
        <w:trPr>
          <w:trHeight w:val="173"/>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5"/>
                <w:szCs w:val="15"/>
                <w:color w:val="auto"/>
              </w:rPr>
            </w:pPr>
          </w:p>
        </w:tc>
      </w:tr>
      <w:tr>
        <w:trPr>
          <w:trHeight w:val="347"/>
        </w:trPr>
        <w:tc>
          <w:tcPr>
            <w:tcW w:w="3820" w:type="dxa"/>
            <w:vAlign w:val="bottom"/>
          </w:tcPr>
          <w:p>
            <w:pPr>
              <w:spacing w:after="0"/>
              <w:rPr>
                <w:sz w:val="20"/>
                <w:szCs w:val="20"/>
                <w:color w:val="auto"/>
              </w:rPr>
            </w:pPr>
            <w:r>
              <w:rPr>
                <w:rFonts w:ascii="Courier New" w:cs="Courier New" w:eastAsia="Courier New" w:hAnsi="Courier New"/>
                <w:sz w:val="15"/>
                <w:szCs w:val="15"/>
                <w:color w:val="auto"/>
              </w:rPr>
              <w:t>Money market funds and other..............</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$ 2</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$ 1,002</w:t>
            </w: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U.S. government and agency debt securities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19,167</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19,200</w:t>
            </w:r>
          </w:p>
        </w:tc>
      </w:tr>
      <w:tr>
        <w:trPr>
          <w:trHeight w:val="173"/>
        </w:trPr>
        <w:tc>
          <w:tcPr>
            <w:tcW w:w="38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available-for-sale investments......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22,161</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$22,199</w:t>
            </w:r>
          </w:p>
        </w:tc>
      </w:tr>
      <w:tr>
        <w:trPr>
          <w:trHeight w:val="173"/>
        </w:trPr>
        <w:tc>
          <w:tcPr>
            <w:tcW w:w="38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379" w:firstLine="271"/>
        <w:spacing w:after="0" w:line="270" w:lineRule="auto"/>
        <w:rPr>
          <w:sz w:val="20"/>
          <w:szCs w:val="20"/>
          <w:color w:val="auto"/>
        </w:rPr>
      </w:pPr>
      <w:r>
        <w:rPr>
          <w:rFonts w:ascii="Courier New" w:cs="Courier New" w:eastAsia="Courier New" w:hAnsi="Courier New"/>
          <w:sz w:val="14"/>
          <w:szCs w:val="14"/>
          <w:color w:val="auto"/>
        </w:rPr>
        <w:t>At December 31, 2001 the contractual maturities of short-term investments were $22.2 million within one year. Proceeds from the sale of investment securities for the year ended December 31, 2001 were $8.2 million.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8"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5040" w:type="dxa"/>
            <w:vAlign w:val="bottom"/>
          </w:tcPr>
          <w:p>
            <w:pPr>
              <w:ind w:left="108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8"/>
              </w:rPr>
              <w:t>(Continued)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20"/>
        </w:trPr>
        <w:tc>
          <w:tcPr>
            <w:tcW w:w="5040" w:type="dxa"/>
            <w:vAlign w:val="bottom"/>
          </w:tcPr>
          <w:p>
            <w:pPr>
              <w:spacing w:after="0"/>
              <w:rPr>
                <w:sz w:val="20"/>
                <w:szCs w:val="20"/>
                <w:color w:val="auto"/>
              </w:rPr>
            </w:pPr>
            <w:r>
              <w:rPr>
                <w:rFonts w:ascii="Courier New" w:cs="Courier New" w:eastAsia="Courier New" w:hAnsi="Courier New"/>
                <w:sz w:val="15"/>
                <w:szCs w:val="15"/>
                <w:color w:val="auto"/>
              </w:rPr>
              <w:t>Note 3:  Earnings Per Share and Capital Structure</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94"/>
        </w:trPr>
        <w:tc>
          <w:tcPr>
            <w:tcW w:w="5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6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8"/>
              </w:rPr>
              <w:t>Year Ended December 31,</w:t>
            </w:r>
          </w:p>
        </w:tc>
      </w:tr>
      <w:tr>
        <w:trPr>
          <w:trHeight w:val="173"/>
        </w:trPr>
        <w:tc>
          <w:tcPr>
            <w:tcW w:w="5040" w:type="dxa"/>
            <w:vAlign w:val="bottom"/>
          </w:tcPr>
          <w:p>
            <w:pPr>
              <w:spacing w:after="0"/>
              <w:rPr>
                <w:sz w:val="15"/>
                <w:szCs w:val="15"/>
                <w:color w:val="auto"/>
              </w:rPr>
            </w:pPr>
          </w:p>
        </w:tc>
        <w:tc>
          <w:tcPr>
            <w:tcW w:w="38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2001</w:t>
            </w:r>
          </w:p>
        </w:tc>
        <w:tc>
          <w:tcPr>
            <w:tcW w:w="14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180" w:type="dxa"/>
            <w:vAlign w:val="bottom"/>
          </w:tcPr>
          <w:p>
            <w:pPr>
              <w:spacing w:after="0"/>
              <w:rPr>
                <w:sz w:val="15"/>
                <w:szCs w:val="15"/>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6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w w:val="76"/>
              </w:rPr>
              <w:t>Net income available to common shareholders..............................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$13,450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$ 2,706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$(68,596)</w:t>
            </w:r>
          </w:p>
        </w:tc>
      </w:tr>
      <w:tr>
        <w:trPr>
          <w:trHeight w:val="173"/>
        </w:trPr>
        <w:tc>
          <w:tcPr>
            <w:tcW w:w="67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15,639</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15,180</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w w:val="76"/>
              </w:rPr>
              <w:t>Basic net income per share...............................................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w w:val="76"/>
              </w:rPr>
              <w:t>Net income available to common shareholders..............................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$13,450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$ 2,706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$(68,596)</w:t>
            </w:r>
          </w:p>
        </w:tc>
      </w:tr>
      <w:tr>
        <w:trPr>
          <w:trHeight w:val="173"/>
        </w:trPr>
        <w:tc>
          <w:tcPr>
            <w:tcW w:w="6760" w:type="dxa"/>
            <w:vAlign w:val="bottom"/>
            <w:gridSpan w:val="2"/>
          </w:tcPr>
          <w:p>
            <w:pPr>
              <w:spacing w:after="0"/>
              <w:rPr>
                <w:sz w:val="20"/>
                <w:szCs w:val="20"/>
                <w:color w:val="auto"/>
              </w:rPr>
            </w:pPr>
            <w:r>
              <w:rPr>
                <w:rFonts w:ascii="Courier New" w:cs="Courier New" w:eastAsia="Courier New" w:hAnsi="Courier New"/>
                <w:sz w:val="15"/>
                <w:szCs w:val="15"/>
                <w:color w:val="auto"/>
              </w:rPr>
              <w:t>Interest on convertible debt, net of income taxes........................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3"/>
          </w:tcPr>
          <w:p>
            <w:pPr>
              <w:spacing w:after="0"/>
              <w:rPr>
                <w:sz w:val="20"/>
                <w:szCs w:val="20"/>
                <w:color w:val="auto"/>
              </w:rPr>
            </w:pPr>
            <w:r>
              <w:rPr>
                <w:rFonts w:ascii="Courier New" w:cs="Courier New" w:eastAsia="Courier New" w:hAnsi="Courier New"/>
                <w:sz w:val="15"/>
                <w:szCs w:val="15"/>
                <w:color w:val="auto"/>
              </w:rPr>
              <w:t>Adjusted net income available to common shareholders, assuming conversion $14,087</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$ 2,706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$(68,596)</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7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15,639</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15,180</w:t>
            </w:r>
          </w:p>
        </w:tc>
        <w:tc>
          <w:tcPr>
            <w:tcW w:w="180" w:type="dxa"/>
            <w:vAlign w:val="bottom"/>
          </w:tcPr>
          <w:p>
            <w:pPr>
              <w:spacing w:after="0"/>
              <w:rPr>
                <w:sz w:val="24"/>
                <w:szCs w:val="2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6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Stock options.........................................................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1,644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Convertible debt......................................................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1,551</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Adjusted weighted average shares and assumed conversions</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18,834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15,385</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14,851</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w w:val="76"/>
              </w:rPr>
              <w:t>Diluted net income per share.............................................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50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granted options to purchase shares of our common stock to directors, employees and other key personnel at fair market value on the date of grant. The average price of Itron common stock was $17.09 in 2001, compared to $6.06 in 2000 and $7.26 in 1999.</w:t>
      </w:r>
    </w:p>
    <w:p>
      <w:pPr>
        <w:spacing w:after="0" w:line="176"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dilutive effect of options is calculated using the "treasury stock" method. The dilutive earnings per share impact of the additional 1.6 million shares from the use of this method was $0.075, or 9%, for 2001. There was no dilutive earnings per share impact of the additional 0.2 million shares for 2000. There was no dilutive effect for 1999.</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also have subordinated convertible debt outstanding with conversion prices of $9.65, representing 1.5 million shares, and $23.70, representing an additional 1.6 million shares. The dilutive effect of these notes is calculated using the "if converted" method. Under this method, the after-tax amount of interest expense related to the convertible debt is added back to net income. The dilutive earnings per share impact of convertible debt was $0.037, or 4%, for 2001. There was no dilutive effect in 2000 or 1999.</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2001, 2000, and 1999 3.4 million, 6.2 million, and 6.3 million shares, respectively, were not included in the calculation of fully diluted EPS as they were antidilutive.</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During the third quarter of 2001, we announced a plan to repurchase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 shares of our common stock. As of December 31, 2001, we had repurchased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85,100 shares at an average price of $22.42.</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8"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30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8"/>
              </w:rPr>
              <w:t>(Continued)</w:t>
            </w:r>
          </w:p>
        </w:tc>
        <w:tc>
          <w:tcPr>
            <w:tcW w:w="860" w:type="dxa"/>
            <w:vAlign w:val="bottom"/>
          </w:tcPr>
          <w:p>
            <w:pPr>
              <w:spacing w:after="0"/>
              <w:rPr>
                <w:sz w:val="14"/>
                <w:szCs w:val="14"/>
                <w:color w:val="auto"/>
              </w:rPr>
            </w:pPr>
          </w:p>
        </w:tc>
      </w:tr>
      <w:tr>
        <w:trPr>
          <w:trHeight w:val="520"/>
        </w:trPr>
        <w:tc>
          <w:tcPr>
            <w:tcW w:w="5040" w:type="dxa"/>
            <w:vAlign w:val="bottom"/>
          </w:tcPr>
          <w:p>
            <w:pPr>
              <w:spacing w:after="0"/>
              <w:rPr>
                <w:sz w:val="20"/>
                <w:szCs w:val="20"/>
                <w:color w:val="auto"/>
              </w:rPr>
            </w:pPr>
            <w:r>
              <w:rPr>
                <w:rFonts w:ascii="Courier New" w:cs="Courier New" w:eastAsia="Courier New" w:hAnsi="Courier New"/>
                <w:sz w:val="15"/>
                <w:szCs w:val="15"/>
                <w:color w:val="auto"/>
              </w:rPr>
              <w:t>Note 4:  Balance Sheet Components</w:t>
            </w: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94"/>
        </w:trPr>
        <w:tc>
          <w:tcPr>
            <w:tcW w:w="5040" w:type="dxa"/>
            <w:vAlign w:val="bottom"/>
          </w:tcPr>
          <w:p>
            <w:pPr>
              <w:spacing w:after="0"/>
              <w:rPr>
                <w:sz w:val="24"/>
                <w:szCs w:val="24"/>
                <w:color w:val="auto"/>
              </w:rPr>
            </w:pPr>
          </w:p>
        </w:tc>
        <w:tc>
          <w:tcPr>
            <w:tcW w:w="316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At December 31,</w:t>
            </w:r>
          </w:p>
        </w:tc>
      </w:tr>
      <w:tr>
        <w:trPr>
          <w:trHeight w:val="173"/>
        </w:trPr>
        <w:tc>
          <w:tcPr>
            <w:tcW w:w="5040" w:type="dxa"/>
            <w:vAlign w:val="bottom"/>
          </w:tcPr>
          <w:p>
            <w:pPr>
              <w:spacing w:after="0"/>
              <w:rPr>
                <w:sz w:val="15"/>
                <w:szCs w:val="15"/>
                <w:color w:val="auto"/>
              </w:rPr>
            </w:pPr>
          </w:p>
        </w:tc>
        <w:tc>
          <w:tcPr>
            <w:tcW w:w="3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2300" w:type="dxa"/>
            <w:vAlign w:val="bottom"/>
          </w:tcPr>
          <w:p>
            <w:pPr>
              <w:ind w:left="1620"/>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316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504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7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Trade (net of allowance for doubtful accounts of $1,427 and $1,144). $ 38,342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$ 42,218</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Unbilled revenue....................................................</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14,003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7,641</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Total accounts receivable.......................................</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$ 52,345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$ 49,859</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2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Material............................................................</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4,800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5,721</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Work in process.....................................................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Finished goods......................................................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10,382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9,673</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Field inventories awaiting installation.............................</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Total manufacturing inventories.................................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15,902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Service inventories.............................................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1,015</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Total inventories, net.......................................</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$ 16,281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$ 17,196</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Machinery and equipment.............................................</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$ 30,481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$ 31,317</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Equipment used in outsourcing.......................................</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15,903</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Computers and purchased software....................................</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28,746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26,662</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Buildings, furniture and improvements...............................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19,556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20,458</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Land................................................................</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1,958</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Total cost......................................................</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96,727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96,298</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Accumulated depreciation........................................</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(57,891)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(56,951)</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Property, plant and equipment, net...........................</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$ 38,836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$ 39,347</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2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Goodwill............................................................</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$ 16,991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$ 16,991</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Capitalized software................................................</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5,065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6,309</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Distribution and product rights.....................................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2,475</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2"/>
              </w:rPr>
              <w:t>Patents.............................................................</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7,086</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Total cost......................................................</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31,617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32,861</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87"/>
              </w:rPr>
              <w:t>Accumulated amortization........................................</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(20,582)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(20,025)</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Intangible assets, net.......................................</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$ 11,035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$ 12,836</w:t>
            </w:r>
          </w:p>
        </w:tc>
      </w:tr>
      <w:tr>
        <w:trPr>
          <w:trHeight w:val="173"/>
        </w:trPr>
        <w:tc>
          <w:tcPr>
            <w:tcW w:w="504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tab/>
        <w:t>Short-term Borrowings and Long-term Debt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Borrowings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January 2000, we signed a four-year agreement with a bank for a revolving line of credit up to a maximum amount of $35 million. Borrowings available under this facility are based on qualified accounts receivable and inventory, and are secured by those and certain cash accounts. At December 31, 2001, the maximum amount we could borrow under this agreement was $13.4 million. Interest rates depend on the form of borrowing and vary based on published rates and financial performance. Additionally, an annual commitment fee of .375% is required on the unused portion of the available line of credit. The agreement contains covenants, which require us to maintain certain liquidity and coverage ratios. Any borrowings mature in January 2004.</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8" w:right="1440" w:bottom="1440" w:gutter="0" w:footer="0" w:header="0"/>
        </w:sectPr>
      </w:pPr>
    </w:p>
    <w:bookmarkStart w:id="53" w:name="page54"/>
    <w:bookmarkEnd w:id="53"/>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There were no amounts outstanding at December 31, 2001 or December 31, 2000. Subsequent to December 31, 2001, we terminated the above mentioned line of credit and obtained a new line of credit with a borrowing limit of $35 million; such borrowings are not limited by amounts of accounts receivable and inventory. The new line of credit expires on June 1, 2003. The maximum amount of $35 million available is reduced by outstanding letters of credit,which at December 31, 2001 were $11.6 million. We paid an origination fee of .125% and are obligated to pay an annual commitment fee of .125% on the unused portion of the available line of credit.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Notes Payable</w:t>
      </w:r>
    </w:p>
    <w:p>
      <w:pPr>
        <w:spacing w:after="0" w:line="200" w:lineRule="exact"/>
        <w:rPr>
          <w:sz w:val="20"/>
          <w:szCs w:val="20"/>
          <w:color w:val="auto"/>
        </w:rPr>
      </w:pPr>
    </w:p>
    <w:p>
      <w:pPr>
        <w:spacing w:after="0" w:line="324" w:lineRule="exact"/>
        <w:rPr>
          <w:sz w:val="20"/>
          <w:szCs w:val="20"/>
          <w:color w:val="auto"/>
        </w:rPr>
      </w:pPr>
    </w:p>
    <w:p>
      <w:pPr>
        <w:ind w:left="8100"/>
        <w:spacing w:after="0"/>
        <w:rPr>
          <w:sz w:val="20"/>
          <w:szCs w:val="20"/>
          <w:color w:val="auto"/>
        </w:rPr>
      </w:pPr>
      <w:r>
        <w:rPr>
          <w:rFonts w:ascii="Courier New" w:cs="Courier New" w:eastAsia="Courier New" w:hAnsi="Courier New"/>
          <w:sz w:val="15"/>
          <w:szCs w:val="15"/>
          <w:color w:val="auto"/>
        </w:rPr>
        <w:t>At December 31,</w:t>
      </w:r>
    </w:p>
    <w:p>
      <w:pPr>
        <w:spacing w:after="0" w:line="3" w:lineRule="exact"/>
        <w:rPr>
          <w:sz w:val="20"/>
          <w:szCs w:val="20"/>
          <w:color w:val="auto"/>
        </w:rPr>
      </w:pPr>
    </w:p>
    <w:p>
      <w:pPr>
        <w:ind w:left="81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0"/>
        <w:spacing w:after="0"/>
        <w:tabs>
          <w:tab w:leader="none" w:pos="890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3" w:lineRule="exact"/>
        <w:rPr>
          <w:sz w:val="20"/>
          <w:szCs w:val="20"/>
          <w:color w:val="auto"/>
        </w:rPr>
      </w:pPr>
    </w:p>
    <w:p>
      <w:pPr>
        <w:ind w:left="8100"/>
        <w:spacing w:after="0"/>
        <w:tabs>
          <w:tab w:leader="none" w:pos="8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810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638" w:right="1440" w:bottom="1075"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Secured mortgage note payable to a shareholder with principal and interest payments of 9%</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until maturity on August 1, 2015....................................................... $5,057</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$5,237</w:t>
      </w:r>
    </w:p>
    <w:p>
      <w:pPr>
        <w:spacing w:after="0" w:line="200" w:lineRule="exact"/>
        <w:rPr>
          <w:sz w:val="20"/>
          <w:szCs w:val="20"/>
          <w:color w:val="auto"/>
        </w:rPr>
      </w:pPr>
    </w:p>
    <w:p>
      <w:pPr>
        <w:sectPr>
          <w:pgSz w:w="11900" w:h="16838" w:orient="portrait"/>
          <w:cols w:equalWidth="0" w:num="2">
            <w:col w:w="8640" w:space="180"/>
            <w:col w:w="1399"/>
          </w:cols>
          <w:pgMar w:left="240" w:top="638" w:right="1440" w:bottom="1075" w:gutter="0" w:footer="0" w:header="0"/>
          <w:type w:val="continuous"/>
        </w:sectPr>
      </w:pPr>
    </w:p>
    <w:p>
      <w:pPr>
        <w:spacing w:after="0" w:line="15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incurred the above note in conjunction with the purchase of our headquarters and related manufacturing space in Spokane, Washington. Principal payments due under the remaining note are $197,000 in 2002, $216,000 in 2003, $236,000 in 2004, $258,000 in 2005, $282,000 in 2006 and $3.9 million thereafter. In January 2002, we paid a discounted amount of $4.9 million, and satisfied the note in full.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Financing</w:t>
      </w:r>
    </w:p>
    <w:p>
      <w:pPr>
        <w:spacing w:after="0" w:line="200" w:lineRule="exact"/>
        <w:rPr>
          <w:sz w:val="20"/>
          <w:szCs w:val="20"/>
          <w:color w:val="auto"/>
        </w:rPr>
      </w:pPr>
    </w:p>
    <w:p>
      <w:pPr>
        <w:spacing w:after="0" w:line="324" w:lineRule="exact"/>
        <w:rPr>
          <w:sz w:val="20"/>
          <w:szCs w:val="20"/>
          <w:color w:val="auto"/>
        </w:rPr>
      </w:pPr>
    </w:p>
    <w:p>
      <w:pPr>
        <w:ind w:left="8280"/>
        <w:spacing w:after="0"/>
        <w:rPr>
          <w:sz w:val="20"/>
          <w:szCs w:val="20"/>
          <w:color w:val="auto"/>
        </w:rPr>
      </w:pPr>
      <w:r>
        <w:rPr>
          <w:rFonts w:ascii="Courier New" w:cs="Courier New" w:eastAsia="Courier New" w:hAnsi="Courier New"/>
          <w:sz w:val="15"/>
          <w:szCs w:val="15"/>
          <w:color w:val="auto"/>
        </w:rPr>
        <w:t>At December 31,</w:t>
      </w:r>
    </w:p>
    <w:p>
      <w:pPr>
        <w:spacing w:after="0" w:line="3" w:lineRule="exact"/>
        <w:rPr>
          <w:sz w:val="20"/>
          <w:szCs w:val="20"/>
          <w:color w:val="auto"/>
        </w:rPr>
      </w:pPr>
    </w:p>
    <w:p>
      <w:pPr>
        <w:ind w:left="82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380"/>
        <w:spacing w:after="0"/>
        <w:tabs>
          <w:tab w:leader="none" w:pos="90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3" w:lineRule="exact"/>
        <w:rPr>
          <w:sz w:val="20"/>
          <w:szCs w:val="20"/>
          <w:color w:val="auto"/>
        </w:rPr>
      </w:pPr>
    </w:p>
    <w:p>
      <w:pPr>
        <w:ind w:left="8280"/>
        <w:spacing w:after="0"/>
        <w:tabs>
          <w:tab w:leader="none" w:pos="898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left="828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638" w:right="1440" w:bottom="1075"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Secured note payable with principal and interest payments of 7.6% until maturity on May 31,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2009..................................................................................... $6,082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$6,671</w:t>
      </w:r>
    </w:p>
    <w:p>
      <w:pPr>
        <w:spacing w:after="0" w:line="200" w:lineRule="exact"/>
        <w:rPr>
          <w:sz w:val="20"/>
          <w:szCs w:val="20"/>
          <w:color w:val="auto"/>
        </w:rPr>
      </w:pPr>
    </w:p>
    <w:p>
      <w:pPr>
        <w:sectPr>
          <w:pgSz w:w="11900" w:h="16838" w:orient="portrait"/>
          <w:cols w:equalWidth="0" w:num="2">
            <w:col w:w="8820" w:space="180"/>
            <w:col w:w="1219"/>
          </w:cols>
          <w:pgMar w:left="240" w:top="638" w:right="1440" w:bottom="1075" w:gutter="0" w:footer="0" w:header="0"/>
          <w:type w:val="continuous"/>
        </w:sectPr>
      </w:pPr>
    </w:p>
    <w:p>
      <w:pPr>
        <w:spacing w:after="0" w:line="15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incurred the above note in conjunction with project financing for one of our outsourcing contracts. The note is secured by the assets of the project. Principal payments due under the note are $635,000 in 2002, $685,000 in 2003, $739,000 in 2004, $797,000 in 2005, $860,000 in 2006 and $2.4 million thereafter.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Debt</w:t>
      </w:r>
    </w:p>
    <w:p>
      <w:pPr>
        <w:spacing w:after="0" w:line="200" w:lineRule="exact"/>
        <w:rPr>
          <w:sz w:val="20"/>
          <w:szCs w:val="20"/>
          <w:color w:val="auto"/>
        </w:rPr>
      </w:pPr>
    </w:p>
    <w:p>
      <w:pPr>
        <w:spacing w:after="0" w:line="324"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At December 31,</w:t>
      </w:r>
    </w:p>
    <w:p>
      <w:pPr>
        <w:spacing w:after="0" w:line="3"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860"/>
        <w:spacing w:after="0"/>
        <w:tabs>
          <w:tab w:leader="none" w:pos="65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3"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(in thousands)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Unsecured, convertible subordinated notes...................... $53,313 $53,459</w:t>
      </w:r>
    </w:p>
    <w:p>
      <w:pPr>
        <w:sectPr>
          <w:pgSz w:w="11900" w:h="16838" w:orient="portrait"/>
          <w:cols w:equalWidth="0" w:num="1">
            <w:col w:w="10219"/>
          </w:cols>
          <w:pgMar w:left="240" w:top="638" w:right="1440" w:bottom="1075" w:gutter="0" w:footer="0" w:header="0"/>
          <w:type w:val="continuous"/>
        </w:sectPr>
      </w:pPr>
    </w:p>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completed a $63.4 million convertible subordinated note offering in March and April 1997. Interest of 6 3/4% on the notes is payable semi-annually on March 31 and September 30 of each year until maturity on March 31, 2004. In February 1999 we exchanged $22 million principal amount of original notes for $15.8 million principal amount of exchange notes. The exchange notes have the same maturity date, interest payment dates and rate of interest as the original notes. Both the original notes and the exchange notes have no sinking fund requirements and are redeemable, in whole or in part, at our option at any time on or after April 4, 2000, (for the original notes) or March 12, 2002 (for the exchange notes). The notes are convertible, in whole or in part, at the option of the holder at any time prior to maturity at a price of $23.70 per common share for the original notes and $9.65 per common share for the exchange notes. In March 2000, we repurchased $3.8 million of notes from a holder for $2.1 million. The gains on the exchange and repurchase transactions have been recognized as extraordinary gains on early extinguishment of debt. During 2001, $146,000 of notes were converted to common stock by individual holders.</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8" w:right="1440" w:bottom="1075" w:gutter="0" w:footer="0" w:header="0"/>
          <w:type w:val="continuous"/>
        </w:sectPr>
      </w:pPr>
    </w:p>
    <w:bookmarkStart w:id="54" w:name="page55"/>
    <w:bookmarkEnd w:id="54"/>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Employee Benefit Plans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Savings Plan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an employee incentive savings plan in which substantially all employees are eligible to participate. Employees may contribute, on a tax-deferred basis, up to 22% of their salary, 50% of the first 6% of which we match in cash, subject to statutory limitations. The expense for our matching contribution was $1.1 million in 2001, $838,000 in 2000, and $1.2 million in 1999.</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Plans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At December 31, 2001, we had three stock-based compensation plans in effect, only one of which we are currently granting options under, which are described below. We apply APB 25 and related interpretations in accounting for our plans.</w:t>
      </w:r>
    </w:p>
    <w:p>
      <w:pPr>
        <w:spacing w:after="0" w:line="175"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following table summarizes information about stock options (including the weighted average remaining contractual life and the weighted average exercise price) outstanding at December 31, 2001:</w:t>
      </w:r>
    </w:p>
    <w:p>
      <w:pPr>
        <w:spacing w:after="0" w:line="200" w:lineRule="exact"/>
        <w:rPr>
          <w:sz w:val="20"/>
          <w:szCs w:val="20"/>
          <w:color w:val="auto"/>
        </w:rPr>
      </w:pPr>
    </w:p>
    <w:p>
      <w:pPr>
        <w:spacing w:after="0" w:line="32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gridSpan w:val="4"/>
          </w:tcPr>
          <w:p>
            <w:pPr>
              <w:jc w:val="right"/>
              <w:ind w:right="225"/>
              <w:spacing w:after="0"/>
              <w:rPr>
                <w:sz w:val="20"/>
                <w:szCs w:val="20"/>
                <w:color w:val="auto"/>
              </w:rPr>
            </w:pPr>
            <w:r>
              <w:rPr>
                <w:rFonts w:ascii="Courier New" w:cs="Courier New" w:eastAsia="Courier New" w:hAnsi="Courier New"/>
                <w:sz w:val="15"/>
                <w:szCs w:val="15"/>
                <w:color w:val="auto"/>
              </w:rPr>
              <w:t>Outstanding Options</w:t>
            </w:r>
          </w:p>
        </w:tc>
        <w:tc>
          <w:tcPr>
            <w:tcW w:w="17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Exercisable Options</w:t>
            </w:r>
          </w:p>
        </w:tc>
      </w:tr>
      <w:tr>
        <w:trPr>
          <w:trHeight w:val="173"/>
        </w:trPr>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Range of Exercise</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Life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Prices</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000's) (years)</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Price</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(in 000's)</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Price</w:t>
            </w:r>
          </w:p>
        </w:tc>
      </w:tr>
      <w:tr>
        <w:trPr>
          <w:trHeight w:val="173"/>
        </w:trPr>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$ 5.16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621</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6.38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4.98</w:t>
            </w:r>
          </w:p>
        </w:tc>
      </w:tr>
      <w:tr>
        <w:trPr>
          <w:trHeight w:val="173"/>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$ 8.66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1,966</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8.61</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7.76</w:t>
            </w:r>
          </w:p>
        </w:tc>
      </w:tr>
      <w:tr>
        <w:trPr>
          <w:trHeight w:val="173"/>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$17.88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520</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4.75</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16.20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430</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16.27</w:t>
            </w:r>
          </w:p>
        </w:tc>
      </w:tr>
      <w:tr>
        <w:trPr>
          <w:trHeight w:val="173"/>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$19.88</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$24.50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272</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4.40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21.86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254</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21.96</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$32.35</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9.95</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32.35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$58.75</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3.84</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58.75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58.75</w:t>
            </w:r>
          </w:p>
        </w:tc>
      </w:tr>
      <w:tr>
        <w:trPr>
          <w:trHeight w:val="173"/>
        </w:trPr>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3,402</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7.26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11.60</w:t>
            </w:r>
          </w:p>
        </w:tc>
      </w:tr>
      <w:tr>
        <w:trPr>
          <w:trHeight w:val="173"/>
        </w:trPr>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our three stock option plans, we have granted options to purchase shares of common stock to employees and nonemployee directors at prices no less than the fair market value on the date of grant. Because all stock options were issued at fair value, no compensation cost has been recognized. Those options terminate ten years from the date granted. For grants to employees, the options become fully exercisable within three or four years from the date granted. Grants to nonemployee directors are fully vested and immediately exercisable. The price range of options exercised was $.86 to $24.50 in 2001, $.86 to $8.50 in 2000 and $.17 to $2.91 in 1999. At December 31, 2001, there were 3.7 million shares of authorized but unissued common stock under the plans, of which options for the purchase of 339,000 shares were available for future grants. Share amounts (in thousands) and weighted average exercise prices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Ended December 31,</w:t>
            </w:r>
          </w:p>
        </w:tc>
        <w:tc>
          <w:tcPr>
            <w:tcW w:w="600" w:type="dxa"/>
            <w:vAlign w:val="bottom"/>
          </w:tcPr>
          <w:p>
            <w:pPr>
              <w:spacing w:after="0"/>
              <w:rPr>
                <w:sz w:val="14"/>
                <w:szCs w:val="14"/>
                <w:color w:val="auto"/>
              </w:rPr>
            </w:pPr>
          </w:p>
        </w:tc>
      </w:tr>
      <w:tr>
        <w:trPr>
          <w:trHeight w:val="173"/>
        </w:trPr>
        <w:tc>
          <w:tcPr>
            <w:tcW w:w="2940" w:type="dxa"/>
            <w:vAlign w:val="bottom"/>
          </w:tcPr>
          <w:p>
            <w:pPr>
              <w:spacing w:after="0"/>
              <w:rPr>
                <w:sz w:val="15"/>
                <w:szCs w:val="15"/>
                <w:color w:val="auto"/>
              </w:rPr>
            </w:pPr>
          </w:p>
        </w:tc>
        <w:tc>
          <w:tcPr>
            <w:tcW w:w="37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5"/>
                <w:szCs w:val="15"/>
                <w:color w:val="auto"/>
              </w:rPr>
            </w:pPr>
          </w:p>
        </w:tc>
        <w:tc>
          <w:tcPr>
            <w:tcW w:w="12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9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40" w:type="dxa"/>
            <w:vAlign w:val="bottom"/>
          </w:tcPr>
          <w:p>
            <w:pPr>
              <w:spacing w:after="0"/>
              <w:rPr>
                <w:sz w:val="15"/>
                <w:szCs w:val="15"/>
                <w:color w:val="auto"/>
              </w:rPr>
            </w:pPr>
          </w:p>
        </w:tc>
        <w:tc>
          <w:tcPr>
            <w:tcW w:w="12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Shares Price</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Price</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Price</w:t>
            </w:r>
          </w:p>
        </w:tc>
      </w:tr>
      <w:tr>
        <w:trPr>
          <w:trHeight w:val="173"/>
        </w:trPr>
        <w:tc>
          <w:tcPr>
            <w:tcW w:w="2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beginning of year 3,180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$10.36</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2,666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73"/>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1,117</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8.05</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8.16</w:t>
            </w:r>
          </w:p>
        </w:tc>
      </w:tr>
      <w:tr>
        <w:trPr>
          <w:trHeight w:val="173"/>
        </w:trPr>
        <w:tc>
          <w:tcPr>
            <w:tcW w:w="29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(842)</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173"/>
        </w:trPr>
        <w:tc>
          <w:tcPr>
            <w:tcW w:w="294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8.29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3"/>
        </w:trPr>
        <w:tc>
          <w:tcPr>
            <w:tcW w:w="2940" w:type="dxa"/>
            <w:vAlign w:val="bottom"/>
          </w:tcPr>
          <w:p>
            <w:pPr>
              <w:spacing w:after="0"/>
              <w:rPr>
                <w:sz w:val="15"/>
                <w:szCs w:val="15"/>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r>
      <w:tr>
        <w:trPr>
          <w:trHeight w:val="173"/>
        </w:trPr>
        <w:tc>
          <w:tcPr>
            <w:tcW w:w="294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3,402</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3,180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10.36</w:t>
            </w:r>
          </w:p>
        </w:tc>
      </w:tr>
      <w:tr>
        <w:trPr>
          <w:trHeight w:val="173"/>
        </w:trPr>
        <w:tc>
          <w:tcPr>
            <w:tcW w:w="2940" w:type="dxa"/>
            <w:vAlign w:val="bottom"/>
          </w:tcPr>
          <w:p>
            <w:pPr>
              <w:spacing w:after="0"/>
              <w:rPr>
                <w:sz w:val="15"/>
                <w:szCs w:val="15"/>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r>
      <w:tr>
        <w:trPr>
          <w:trHeight w:val="347"/>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 year end. 1,608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11.60</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1,657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$11.80</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$12.85</w:t>
            </w:r>
          </w:p>
        </w:tc>
      </w:tr>
      <w:tr>
        <w:trPr>
          <w:trHeight w:val="520"/>
        </w:trPr>
        <w:tc>
          <w:tcPr>
            <w:tcW w:w="2940" w:type="dxa"/>
            <w:vAlign w:val="bottom"/>
          </w:tcPr>
          <w:p>
            <w:pPr>
              <w:spacing w:after="0"/>
              <w:rPr>
                <w:sz w:val="24"/>
                <w:szCs w:val="2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55" w:name="page56"/>
    <w:bookmarkEnd w:id="55"/>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Net Income and Per Share Amounts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200" w:lineRule="exact"/>
        <w:rPr>
          <w:sz w:val="20"/>
          <w:szCs w:val="20"/>
          <w:color w:val="auto"/>
        </w:rPr>
      </w:pPr>
    </w:p>
    <w:p>
      <w:pPr>
        <w:spacing w:after="0" w:line="32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2400" w:type="dxa"/>
            <w:vAlign w:val="bottom"/>
          </w:tcPr>
          <w:p>
            <w:pPr>
              <w:spacing w:after="0"/>
              <w:rPr>
                <w:sz w:val="15"/>
                <w:szCs w:val="15"/>
                <w:color w:val="auto"/>
              </w:rPr>
            </w:pPr>
          </w:p>
        </w:tc>
        <w:tc>
          <w:tcPr>
            <w:tcW w:w="328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400" w:type="dxa"/>
            <w:vAlign w:val="bottom"/>
          </w:tcPr>
          <w:p>
            <w:pPr>
              <w:spacing w:after="0"/>
              <w:rPr>
                <w:sz w:val="15"/>
                <w:szCs w:val="15"/>
                <w:color w:val="auto"/>
              </w:rPr>
            </w:pPr>
          </w:p>
        </w:tc>
        <w:tc>
          <w:tcPr>
            <w:tcW w:w="3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7"/>
        </w:trPr>
        <w:tc>
          <w:tcPr>
            <w:tcW w:w="24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9"/>
              </w:rPr>
              <w:t>Net income (loss)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As reported............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13,450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2,706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(68,596)</w:t>
            </w:r>
          </w:p>
        </w:tc>
      </w:tr>
      <w:tr>
        <w:trPr>
          <w:trHeight w:val="173"/>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11,311</w:t>
            </w:r>
          </w:p>
        </w:tc>
        <w:tc>
          <w:tcPr>
            <w:tcW w:w="28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687</w:t>
            </w:r>
          </w:p>
        </w:tc>
        <w:tc>
          <w:tcPr>
            <w:tcW w:w="24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(68,801)</w:t>
            </w:r>
          </w:p>
        </w:tc>
      </w:tr>
      <w:tr>
        <w:trPr>
          <w:trHeight w:val="173"/>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99"/>
              </w:rPr>
              <w:t>Diluted earnings per share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As reported............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(4.62)</w:t>
            </w:r>
          </w:p>
        </w:tc>
      </w:tr>
      <w:tr>
        <w:trPr>
          <w:trHeight w:val="173"/>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28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.04</w:t>
            </w:r>
          </w:p>
        </w:tc>
        <w:tc>
          <w:tcPr>
            <w:tcW w:w="24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(4.63)</w:t>
            </w:r>
          </w:p>
        </w:tc>
      </w:tr>
    </w:tbl>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weighted average fair value of options granted was $8.05, $7.37,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$8.16 during 2001, 2000, and 1999 respectively. The fair value of each option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 is estimated on the date of grant using the Black-Scholes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option-pricing model using the following assumptions:</w:t>
      </w:r>
    </w:p>
    <w:p>
      <w:pPr>
        <w:spacing w:after="0" w:line="200" w:lineRule="exact"/>
        <w:rPr>
          <w:sz w:val="20"/>
          <w:szCs w:val="20"/>
          <w:color w:val="auto"/>
        </w:rPr>
      </w:pPr>
    </w:p>
    <w:p>
      <w:pPr>
        <w:spacing w:after="0" w:line="324"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212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84.3%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Stock Purchase Plan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our Employee Stock Purchase Plan, 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Under the Plan we sold 111,459; 89,581 and 83,729 shares to employees in 2001, 2000 and 1999, respectively.</w:t>
      </w:r>
    </w:p>
    <w:p>
      <w:pPr>
        <w:spacing w:after="0" w:line="1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Other Related Party Transactions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Three of our customers are also shareholders with officers that hold positions on our Board of Directors. In addition, in 2000 and 1999, one of those customers had a greater than 10% ownership interest. Revenues from these three customers were $4.0 million in 2001, $3.6 million in 2000 and $4.6 million in 1999. Accounts receivable from these customers were $321,000, $160,000 and $137,000 at December 31, 2001, 2000 and 1999, respectively. Interest expense related to mortgage notes payable to one of these shareholders was $464,000 in 2001, $532,000 in 2000 and $561,000 in 1999. In January 2002, we paid $4.9 million, which represents a $200,000 discount to this shareholder to fully satisfy our mortgage note.</w:t>
      </w:r>
    </w:p>
    <w:p>
      <w:pPr>
        <w:spacing w:after="0" w:line="180"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In March 2001, we loaned $750,000 at an interest rate of 7% per annum to a director. The loan was collateralized by 300,000 shares of our common stock. The balance of the secured promissory note, including principal and interest, was paid in full by November 2001.</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May 2000, we subleased a portion of our Spokane facility to an affiliate in which we have a 30% interest. The lease runs through May 2003 with base monthly payments of $14,430 payable to Itron.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8" w:right="1440" w:bottom="1440" w:gutter="0" w:footer="0" w:header="0"/>
        </w:sectPr>
      </w:pPr>
    </w:p>
    <w:bookmarkStart w:id="56" w:name="page57"/>
    <w:bookmarkEnd w:id="56"/>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Fair Values of Financial Instruments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estimated fair value of financial instruments has been determined by using available market information and appropriate valuation methodologies. The values provided are representative of fair values only as of December 31, 2001 and 2000 and do not reflect subsequent changes in the economy, interest and tax rates, and other variables that may affect determination of fair value. The following methods and assumptions were used in estimating fair values.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Cash, cash equivalents, short-term investments and accounts receivable: The carrying value approximates fair value due to the short maturity of these instruments.</w:t>
      </w:r>
    </w:p>
    <w:p>
      <w:pPr>
        <w:spacing w:after="0" w:line="175" w:lineRule="exact"/>
        <w:rPr>
          <w:sz w:val="20"/>
          <w:szCs w:val="20"/>
          <w:color w:val="auto"/>
        </w:rPr>
      </w:pPr>
    </w:p>
    <w:p>
      <w:pPr>
        <w:ind w:right="3739" w:firstLine="271"/>
        <w:spacing w:after="0" w:line="243" w:lineRule="auto"/>
        <w:rPr>
          <w:sz w:val="20"/>
          <w:szCs w:val="20"/>
          <w:color w:val="auto"/>
        </w:rPr>
      </w:pPr>
      <w:r>
        <w:rPr>
          <w:rFonts w:ascii="Courier New" w:cs="Courier New" w:eastAsia="Courier New" w:hAnsi="Courier New"/>
          <w:sz w:val="15"/>
          <w:szCs w:val="15"/>
          <w:color w:val="auto"/>
        </w:rPr>
        <w:t>Mortgage notes payable: The fair value is estimated based on current borrowing rates available for similar debt.</w:t>
      </w:r>
    </w:p>
    <w:p>
      <w:pPr>
        <w:spacing w:after="0" w:line="176"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Project financing: The fair value is estimated based on quoted spreads above treasury rates for similar issues.</w:t>
      </w:r>
    </w:p>
    <w:p>
      <w:pPr>
        <w:spacing w:after="0" w:line="176"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Convertible subordinated debt: The fair value is estimated based on the current trading activity of the notes.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5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15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3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Fair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536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Amount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53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5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15"/>
                <w:szCs w:val="15"/>
                <w:color w:val="auto"/>
              </w:rPr>
            </w:pPr>
          </w:p>
        </w:tc>
      </w:tr>
      <w:tr>
        <w:trPr>
          <w:trHeight w:val="347"/>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cash equivalents, short-term investments and accounts</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receivable...............................................</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$95,126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$95,126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$71,075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$71,075</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Mortgage notes payable.....................................</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5,057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5,578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5,553</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Project financing..........................................</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6,082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6,013</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6,671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6,568</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Convertible subordinated debt..............................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53,313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96,481</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53,459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32,373</w:t>
            </w:r>
          </w:p>
        </w:tc>
      </w:tr>
    </w:tbl>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tab/>
        <w:t>Restructurings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2001 Charges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2001, we increased our severance reserve by $207,000 for remaining obligations, and decreased our consolidation of facilities reserve by $1.4 million based on our sublease of vacated space and the decision to continue to occupy a facility we had originally planned to abandon. During the year we used restructuring reserve balances from prior years for severance and related charges and lease payments for abandoned facilities. Total restructuring activity for the year ended December 31, 2001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Reserve</w:t>
            </w: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Reserve</w:t>
            </w:r>
          </w:p>
        </w:tc>
        <w:tc>
          <w:tcPr>
            <w:tcW w:w="7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Reserve</w:t>
            </w:r>
          </w:p>
        </w:tc>
      </w:tr>
      <w:tr>
        <w:trPr>
          <w:trHeight w:val="173"/>
        </w:trPr>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Balance</w:t>
            </w: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w:t>
            </w:r>
          </w:p>
        </w:tc>
        <w:tc>
          <w:tcPr>
            <w:tcW w:w="7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2660" w:type="dxa"/>
            <w:vAlign w:val="bottom"/>
          </w:tcPr>
          <w:p>
            <w:pPr>
              <w:spacing w:after="0"/>
              <w:rPr>
                <w:sz w:val="15"/>
                <w:szCs w:val="15"/>
                <w:color w:val="auto"/>
              </w:rPr>
            </w:pPr>
          </w:p>
        </w:tc>
        <w:tc>
          <w:tcPr>
            <w:tcW w:w="4720" w:type="dxa"/>
            <w:vAlign w:val="bottom"/>
            <w:gridSpan w:val="7"/>
          </w:tcPr>
          <w:p>
            <w:pPr>
              <w:jc w:val="center"/>
              <w:spacing w:after="0"/>
              <w:rPr>
                <w:sz w:val="20"/>
                <w:szCs w:val="20"/>
                <w:color w:val="auto"/>
              </w:rPr>
            </w:pPr>
            <w:r>
              <w:rPr>
                <w:rFonts w:ascii="Courier New" w:cs="Courier New" w:eastAsia="Courier New" w:hAnsi="Courier New"/>
                <w:sz w:val="15"/>
                <w:szCs w:val="15"/>
                <w:color w:val="auto"/>
                <w:w w:val="99"/>
              </w:rPr>
              <w:t>Cash/Non-cash 12/31/00 Adjustments Payments 12/31/01</w:t>
            </w:r>
          </w:p>
        </w:tc>
      </w:tr>
      <w:tr>
        <w:trPr>
          <w:trHeight w:val="173"/>
        </w:trPr>
        <w:tc>
          <w:tcPr>
            <w:tcW w:w="2660" w:type="dxa"/>
            <w:vAlign w:val="bottom"/>
          </w:tcPr>
          <w:p>
            <w:pPr>
              <w:spacing w:after="0"/>
              <w:rPr>
                <w:sz w:val="15"/>
                <w:szCs w:val="15"/>
                <w:color w:val="auto"/>
              </w:rPr>
            </w:pPr>
          </w:p>
        </w:tc>
        <w:tc>
          <w:tcPr>
            <w:tcW w:w="4720" w:type="dxa"/>
            <w:vAlign w:val="bottom"/>
            <w:gridSpan w:val="7"/>
          </w:tcPr>
          <w:p>
            <w:pPr>
              <w:jc w:val="center"/>
              <w:spacing w:after="0"/>
              <w:rPr>
                <w:sz w:val="20"/>
                <w:szCs w:val="20"/>
                <w:color w:val="auto"/>
              </w:rPr>
            </w:pPr>
            <w:r>
              <w:rPr>
                <w:rFonts w:ascii="Courier New" w:cs="Courier New" w:eastAsia="Courier New" w:hAnsi="Courier New"/>
                <w:sz w:val="15"/>
                <w:szCs w:val="15"/>
                <w:color w:val="auto"/>
                <w:w w:val="99"/>
              </w:rPr>
              <w:t>------------- -------- ----------- -------- --------</w:t>
            </w:r>
          </w:p>
        </w:tc>
      </w:tr>
      <w:tr>
        <w:trPr>
          <w:trHeight w:val="173"/>
        </w:trPr>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9"/>
              </w:rPr>
              <w:t>(in thousands)</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Cash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Consolidation of facilities..</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Cash</w:t>
            </w:r>
          </w:p>
        </w:tc>
        <w:tc>
          <w:tcPr>
            <w:tcW w:w="4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2,616</w:t>
            </w:r>
          </w:p>
        </w:tc>
        <w:tc>
          <w:tcPr>
            <w:tcW w:w="2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(1,426)</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w:t>
            </w:r>
          </w:p>
        </w:tc>
      </w:tr>
      <w:tr>
        <w:trPr>
          <w:trHeight w:val="173"/>
        </w:trPr>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restructurings.........</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2,775</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$(1,219)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w:t>
            </w:r>
          </w:p>
        </w:tc>
      </w:tr>
      <w:tr>
        <w:trPr>
          <w:trHeight w:val="173"/>
        </w:trPr>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reserve balances for severance and related charges are expected to be fully utilized in 2002. Facility consolidation reserves are dependent on our continued ability to sublease vacant space under a non-cancelable operating lease through 2006.</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2000 Charges</w:t>
      </w:r>
    </w:p>
    <w:p>
      <w:pPr>
        <w:spacing w:after="0" w:line="178" w:lineRule="exact"/>
        <w:rPr>
          <w:sz w:val="20"/>
          <w:szCs w:val="20"/>
          <w:color w:val="auto"/>
        </w:rPr>
      </w:pPr>
    </w:p>
    <w:p>
      <w:pPr>
        <w:ind w:right="3379" w:firstLine="271"/>
        <w:spacing w:after="0" w:line="270" w:lineRule="auto"/>
        <w:rPr>
          <w:sz w:val="20"/>
          <w:szCs w:val="20"/>
          <w:color w:val="auto"/>
        </w:rPr>
      </w:pPr>
      <w:r>
        <w:rPr>
          <w:rFonts w:ascii="Courier New" w:cs="Courier New" w:eastAsia="Courier New" w:hAnsi="Courier New"/>
          <w:sz w:val="14"/>
          <w:szCs w:val="14"/>
          <w:color w:val="auto"/>
        </w:rPr>
        <w:t>During 2000, we increased our severance reserve by $315,000 for remaining obligations and decreased our asset impairment reserve by $500,000 based on larger than anticipated proceeds from the sale of high volume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8" w:right="1440" w:bottom="1440" w:gutter="0" w:footer="0" w:header="0"/>
        </w:sectPr>
      </w:pPr>
    </w:p>
    <w:bookmarkStart w:id="57" w:name="page58"/>
    <w:bookmarkEnd w:id="57"/>
    <w:p>
      <w:pPr>
        <w:jc w:val="center"/>
        <w:ind w:right="309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manufacturing equipment. During the year we used restructuring reserve balances from prior years for severance and related charges, asset impairments, lease payments for abandoned facilities, and the sale of a building and equipment. Total restructuring activity for the year ended December 31, 2000 is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Reserve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Reserve</w:t>
            </w:r>
          </w:p>
        </w:tc>
        <w:tc>
          <w:tcPr>
            <w:tcW w:w="9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Reserve</w:t>
            </w:r>
          </w:p>
        </w:tc>
      </w:tr>
      <w:tr>
        <w:trPr>
          <w:trHeight w:val="173"/>
        </w:trPr>
        <w:tc>
          <w:tcPr>
            <w:tcW w:w="2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Balance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Balance</w:t>
            </w:r>
          </w:p>
        </w:tc>
        <w:tc>
          <w:tcPr>
            <w:tcW w:w="90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2660" w:type="dxa"/>
            <w:vAlign w:val="bottom"/>
          </w:tcPr>
          <w:p>
            <w:pPr>
              <w:spacing w:after="0"/>
              <w:rPr>
                <w:sz w:val="15"/>
                <w:szCs w:val="15"/>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Cash/Non-cash 12/31/99 Adjustments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Payments</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12/31/00</w:t>
            </w:r>
          </w:p>
        </w:tc>
      </w:tr>
      <w:tr>
        <w:trPr>
          <w:trHeight w:val="173"/>
        </w:trPr>
        <w:tc>
          <w:tcPr>
            <w:tcW w:w="26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2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47"/>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Cash</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8,988</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$ 315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(9,144)</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159</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Asset impairment.............</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Non-cash</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Consolidation of facilities..</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Cash</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2,552</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2,616</w:t>
            </w:r>
          </w:p>
        </w:tc>
      </w:tr>
      <w:tr>
        <w:trPr>
          <w:trHeight w:val="173"/>
        </w:trPr>
        <w:tc>
          <w:tcPr>
            <w:tcW w:w="2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restructurings.........</w:t>
            </w:r>
          </w:p>
        </w:tc>
        <w:tc>
          <w:tcPr>
            <w:tcW w:w="126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15,140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$(12,180)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$2,775</w:t>
            </w:r>
          </w:p>
        </w:tc>
      </w:tr>
      <w:tr>
        <w:trPr>
          <w:trHeight w:val="173"/>
        </w:trPr>
        <w:tc>
          <w:tcPr>
            <w:tcW w:w="2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1999 Charges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recorded restructuring charges of $16.7 million during 1999. Our restructuring actions included the consolidation of high volume manufacturing to our plant in Minnesota, a reduction of products and software platforms supported by the Company, consolidation of product development locations, and a reduction in activities in Europe not related to our core business. The majority of our restructuring charges were related to a reduction in workforce of approximately 300 people of which approximately 50% were in manufacturing, 25% in product development and the remainder throughout the Company. Twenty-five percent of the reductions were management positions. The remaining charges relate to impairment of equipment and estimated future lease payments for abandoned facilities. Total restructuring activity for the year ended December 31, 1999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Reserve</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Reserve</w:t>
            </w:r>
          </w:p>
        </w:tc>
      </w:tr>
      <w:tr>
        <w:trPr>
          <w:trHeight w:val="173"/>
        </w:trPr>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Balance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Restructuring</w:t>
            </w:r>
          </w:p>
        </w:tc>
        <w:tc>
          <w:tcPr>
            <w:tcW w:w="8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266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Cash/Non-cash 12/31/98</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Charges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Payments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12/31/99</w:t>
            </w:r>
          </w:p>
        </w:tc>
      </w:tr>
      <w:tr>
        <w:trPr>
          <w:trHeight w:val="173"/>
        </w:trPr>
        <w:tc>
          <w:tcPr>
            <w:tcW w:w="2660" w:type="dxa"/>
            <w:vAlign w:val="bottom"/>
          </w:tcPr>
          <w:p>
            <w:pPr>
              <w:spacing w:after="0"/>
              <w:rPr>
                <w:sz w:val="15"/>
                <w:szCs w:val="15"/>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$ 9,237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(249)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$ 8,988</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Asset impairment.............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4,764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Consolidation of facilities..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2,552</w:t>
            </w:r>
          </w:p>
        </w:tc>
      </w:tr>
      <w:tr>
        <w:trPr>
          <w:trHeight w:val="173"/>
        </w:trPr>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restructurings.........</w:t>
            </w:r>
          </w:p>
        </w:tc>
        <w:tc>
          <w:tcPr>
            <w:tcW w:w="11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$16,686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$15,140</w:t>
            </w:r>
          </w:p>
        </w:tc>
      </w:tr>
      <w:tr>
        <w:trPr>
          <w:trHeight w:val="173"/>
        </w:trPr>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Investments in Affiliates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At December 31, 2001, we had investments in two entities that were accounted for under the equity method of accounting. We have a 50% interest in a company that acts as a distributor for our water products in certain regions of the U.S. (Company A) and a 30% interest in a company that serves both as a contract manufacturer for our low volume products and as our handheld service repair depot (Company B). We also have a 10% ownership interest in a company that develops home energy gateway communication technology (Company C), which is accounted for under the cost method, as we cannot exercise significant influence over the company. Balances and operating activity relating to these investments is as follows:</w:t>
      </w:r>
    </w:p>
    <w:p>
      <w:pPr>
        <w:spacing w:after="0" w:line="200" w:lineRule="exact"/>
        <w:rPr>
          <w:sz w:val="20"/>
          <w:szCs w:val="20"/>
          <w:color w:val="auto"/>
        </w:rPr>
      </w:pPr>
    </w:p>
    <w:p>
      <w:pPr>
        <w:spacing w:after="0" w:line="326"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Year Ended</w:t>
            </w:r>
          </w:p>
        </w:tc>
      </w:tr>
      <w:tr>
        <w:trPr>
          <w:trHeight w:val="173"/>
        </w:trPr>
        <w:tc>
          <w:tcPr>
            <w:tcW w:w="800" w:type="dxa"/>
            <w:vAlign w:val="bottom"/>
          </w:tcPr>
          <w:p>
            <w:pPr>
              <w:spacing w:after="0"/>
              <w:rPr>
                <w:sz w:val="15"/>
                <w:szCs w:val="15"/>
                <w:color w:val="auto"/>
              </w:rPr>
            </w:pPr>
          </w:p>
        </w:tc>
        <w:tc>
          <w:tcPr>
            <w:tcW w:w="3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800" w:type="dxa"/>
            <w:vAlign w:val="bottom"/>
          </w:tcPr>
          <w:p>
            <w:pPr>
              <w:spacing w:after="0"/>
              <w:rPr>
                <w:sz w:val="15"/>
                <w:szCs w:val="15"/>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5"/>
                <w:szCs w:val="15"/>
                <w:color w:val="auto"/>
              </w:rPr>
              <w:t>2001</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80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500" w:type="dxa"/>
            <w:vAlign w:val="bottom"/>
          </w:tcPr>
          <w:p>
            <w:pPr>
              <w:spacing w:after="0"/>
              <w:rPr>
                <w:sz w:val="15"/>
                <w:szCs w:val="15"/>
                <w:color w:val="auto"/>
              </w:rPr>
            </w:pP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Company A</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9"/>
              </w:rPr>
              <w:t>.................... $1,160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$886</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Company B</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9"/>
              </w:rPr>
              <w:t>....................  1,145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1,060</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Company C</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800" w:type="dxa"/>
            <w:vAlign w:val="bottom"/>
          </w:tcPr>
          <w:p>
            <w:pPr>
              <w:spacing w:after="0"/>
              <w:rPr>
                <w:sz w:val="24"/>
                <w:szCs w:val="24"/>
                <w:color w:val="auto"/>
              </w:rPr>
            </w:pPr>
          </w:p>
        </w:tc>
        <w:tc>
          <w:tcPr>
            <w:tcW w:w="2440" w:type="dxa"/>
            <w:vAlign w:val="bottom"/>
          </w:tcPr>
          <w:p>
            <w:pPr>
              <w:jc w:val="right"/>
              <w:ind w:right="652"/>
              <w:spacing w:after="0"/>
              <w:rPr>
                <w:sz w:val="20"/>
                <w:szCs w:val="20"/>
                <w:color w:val="auto"/>
              </w:rPr>
            </w:pPr>
            <w:r>
              <w:rPr>
                <w:rFonts w:ascii="Courier New" w:cs="Courier New" w:eastAsia="Courier New" w:hAnsi="Courier New"/>
                <w:sz w:val="15"/>
                <w:szCs w:val="15"/>
                <w:color w:val="auto"/>
              </w:rPr>
              <w:t>58</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58" w:name="page59"/>
    <w:bookmarkEnd w:id="58"/>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loaned $500,000 to Company B, in addition to our equity investment, at an interest rate equal to prime plus 700 basis points through January 2003 and prime plus 800 basis points from January 2003 through January 2004. The loan matures in January 2004, but Company B can pay the outstanding balance to us in part or in full at any time prior to maturity.</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also loaned $2.0 million, in the form of a convertible note receivable, to a company that is developing a web based wireless workforce management tool. The note receivable is payable at maturity in September 2006, with interest accruing at 6%. We may convert all or any portion of the outstanding principal to common stock until September 2005 at CDN $0.65. After September 2005, the conversion price increases to CDN$ 0.73 per share. Had we converted our note at December 31, 2001, we would have had approximately 4.9 million shares of stock in this company, representing 18.8% ownership.</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Additionally, during 2001, we invested $850,000 in a company developing a meter reading product that ceased its operations during 2001, at which time we wrote off our equity investment and fully reserved our note receivable.</w:t>
      </w:r>
    </w:p>
    <w:p>
      <w:pPr>
        <w:spacing w:after="0" w:line="17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Sale of Outsourcing Equipment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March 2000, we sold our network-based Automated Meter Reading (AMR)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 in Pittsburgh, that we used to provide Duquesne Light Company with meter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for billing and other purposes, to an affiliate of Duquesne for $33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Negotiations commenced in 1999. In 1999, in anticipation of the 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recorded a $49.8 million loss on the sale, which is included in cost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revenues--service for the Electric Systems segment. The loss consisted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$34.5 million write-off of the Duquesne contracts receivable (both current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non-current) and an $18.6 million impairment of the assets being sold,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partially offset by the reversal of a previously recognized forward 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$3.3 million. Impaired assets under the sale of the network AMR system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Duquesne subsidiary included hardware and software installed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site. The assessment of the impairment was based on the carrying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the assets net of the sales proceeds minus selling costs.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March 2000, we entered into a warranty and maintenance agreement with the purchasing Duquesne affiliate, pursuant to which we will provide certain maintenance and support services for the network through December 31, 2013. We will receive approximately $10 million ratably over the term of those services and expected to incur approximately $24.3 million in expenses. As such, we recorded a forward loss of $14.3 million in the fourth quarter of 1999 related to this agreement. In connection with our performance responsibilities, we have provided a $5 million standby letter of credit.</w:t>
      </w:r>
    </w:p>
    <w:p>
      <w:pPr>
        <w:spacing w:after="0" w:line="17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Commitments and Contingencies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Commitments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noncancelable capital leases for computer equipment and software, and operating leases for computers, office, production and storage space expiring at various dates through December 2009. Rent expense under the Company's operating leases was $3.2 million in 2001, $2.3 million in 2000. Receipts under the Company's noncancelable subleases were $353,000 in 2001 and $315,000 in 2000. Assets under capital leases are included in the consolidated balance sheets as follows:</w:t>
      </w:r>
    </w:p>
    <w:p>
      <w:pPr>
        <w:spacing w:after="0" w:line="200" w:lineRule="exact"/>
        <w:rPr>
          <w:sz w:val="20"/>
          <w:szCs w:val="20"/>
          <w:color w:val="auto"/>
        </w:rPr>
      </w:pPr>
    </w:p>
    <w:p>
      <w:pPr>
        <w:spacing w:after="0" w:line="324"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700" w:type="dxa"/>
            <w:vAlign w:val="bottom"/>
            <w:gridSpan w:val="2"/>
          </w:tcPr>
          <w:p>
            <w:pPr>
              <w:ind w:left="1360"/>
              <w:spacing w:after="0"/>
              <w:rPr>
                <w:sz w:val="20"/>
                <w:szCs w:val="20"/>
                <w:color w:val="auto"/>
              </w:rPr>
            </w:pPr>
            <w:r>
              <w:rPr>
                <w:rFonts w:ascii="Courier New" w:cs="Courier New" w:eastAsia="Courier New" w:hAnsi="Courier New"/>
                <w:sz w:val="15"/>
                <w:szCs w:val="15"/>
                <w:color w:val="auto"/>
                <w:w w:val="97"/>
              </w:rPr>
              <w:t>At December 31,</w:t>
            </w:r>
          </w:p>
        </w:tc>
      </w:tr>
      <w:tr>
        <w:trPr>
          <w:trHeight w:val="173"/>
        </w:trPr>
        <w:tc>
          <w:tcPr>
            <w:tcW w:w="2260" w:type="dxa"/>
            <w:vAlign w:val="bottom"/>
          </w:tcPr>
          <w:p>
            <w:pPr>
              <w:spacing w:after="0"/>
              <w:rPr>
                <w:sz w:val="15"/>
                <w:szCs w:val="15"/>
                <w:color w:val="auto"/>
              </w:rPr>
            </w:pPr>
          </w:p>
        </w:tc>
        <w:tc>
          <w:tcPr>
            <w:tcW w:w="2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260" w:type="dxa"/>
            <w:vAlign w:val="bottom"/>
          </w:tcPr>
          <w:p>
            <w:pPr>
              <w:spacing w:after="0"/>
              <w:rPr>
                <w:sz w:val="15"/>
                <w:szCs w:val="15"/>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260" w:type="dxa"/>
            <w:vAlign w:val="bottom"/>
          </w:tcPr>
          <w:p>
            <w:pPr>
              <w:spacing w:after="0"/>
              <w:rPr>
                <w:sz w:val="15"/>
                <w:szCs w:val="15"/>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260" w:type="dxa"/>
            <w:vAlign w:val="bottom"/>
          </w:tcPr>
          <w:p>
            <w:pPr>
              <w:spacing w:after="0"/>
              <w:rPr>
                <w:sz w:val="15"/>
                <w:szCs w:val="15"/>
                <w:color w:val="auto"/>
              </w:rPr>
            </w:pPr>
          </w:p>
        </w:tc>
        <w:tc>
          <w:tcPr>
            <w:tcW w:w="270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2260" w:type="dxa"/>
            <w:vAlign w:val="bottom"/>
          </w:tcPr>
          <w:p>
            <w:pPr>
              <w:spacing w:after="0"/>
              <w:rPr>
                <w:sz w:val="20"/>
                <w:szCs w:val="20"/>
                <w:color w:val="auto"/>
              </w:rPr>
            </w:pPr>
            <w:r>
              <w:rPr>
                <w:rFonts w:ascii="Courier New" w:cs="Courier New" w:eastAsia="Courier New" w:hAnsi="Courier New"/>
                <w:sz w:val="13"/>
                <w:szCs w:val="13"/>
                <w:color w:val="auto"/>
                <w:w w:val="73"/>
              </w:rPr>
              <w:t>Computers and software.................</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$1,136</w:t>
            </w:r>
          </w:p>
        </w:tc>
      </w:tr>
      <w:tr>
        <w:trPr>
          <w:trHeight w:val="173"/>
        </w:trPr>
        <w:tc>
          <w:tcPr>
            <w:tcW w:w="2260" w:type="dxa"/>
            <w:vAlign w:val="bottom"/>
          </w:tcPr>
          <w:p>
            <w:pPr>
              <w:spacing w:after="0"/>
              <w:rPr>
                <w:sz w:val="20"/>
                <w:szCs w:val="20"/>
                <w:color w:val="auto"/>
              </w:rPr>
            </w:pPr>
            <w:r>
              <w:rPr>
                <w:rFonts w:ascii="Courier New" w:cs="Courier New" w:eastAsia="Courier New" w:hAnsi="Courier New"/>
                <w:sz w:val="13"/>
                <w:szCs w:val="13"/>
                <w:color w:val="auto"/>
                <w:w w:val="73"/>
              </w:rPr>
              <w:t>Accumulated depreciation...............</w:t>
            </w: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r>
      <w:tr>
        <w:trPr>
          <w:trHeight w:val="173"/>
        </w:trPr>
        <w:tc>
          <w:tcPr>
            <w:tcW w:w="2260" w:type="dxa"/>
            <w:vAlign w:val="bottom"/>
          </w:tcPr>
          <w:p>
            <w:pPr>
              <w:spacing w:after="0"/>
              <w:rPr>
                <w:sz w:val="15"/>
                <w:szCs w:val="15"/>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260" w:type="dxa"/>
            <w:vAlign w:val="bottom"/>
          </w:tcPr>
          <w:p>
            <w:pPr>
              <w:spacing w:after="0"/>
              <w:rPr>
                <w:sz w:val="20"/>
                <w:szCs w:val="20"/>
                <w:color w:val="auto"/>
              </w:rPr>
            </w:pPr>
            <w:r>
              <w:rPr>
                <w:rFonts w:ascii="Courier New" w:cs="Courier New" w:eastAsia="Courier New" w:hAnsi="Courier New"/>
                <w:sz w:val="13"/>
                <w:szCs w:val="13"/>
                <w:color w:val="auto"/>
                <w:w w:val="73"/>
              </w:rPr>
              <w:t>Net capital leases.....................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450</w:t>
            </w:r>
          </w:p>
        </w:tc>
      </w:tr>
      <w:tr>
        <w:trPr>
          <w:trHeight w:val="173"/>
        </w:trPr>
        <w:tc>
          <w:tcPr>
            <w:tcW w:w="2260" w:type="dxa"/>
            <w:vAlign w:val="bottom"/>
          </w:tcPr>
          <w:p>
            <w:pPr>
              <w:spacing w:after="0"/>
              <w:rPr>
                <w:sz w:val="15"/>
                <w:szCs w:val="15"/>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2260" w:type="dxa"/>
            <w:vAlign w:val="bottom"/>
          </w:tcPr>
          <w:p>
            <w:pPr>
              <w:spacing w:after="0"/>
              <w:rPr>
                <w:sz w:val="24"/>
                <w:szCs w:val="24"/>
                <w:color w:val="auto"/>
              </w:rPr>
            </w:pPr>
          </w:p>
        </w:tc>
        <w:tc>
          <w:tcPr>
            <w:tcW w:w="1980" w:type="dxa"/>
            <w:vAlign w:val="bottom"/>
          </w:tcPr>
          <w:p>
            <w:pPr>
              <w:jc w:val="right"/>
              <w:ind w:right="1725"/>
              <w:spacing w:after="0"/>
              <w:rPr>
                <w:sz w:val="20"/>
                <w:szCs w:val="20"/>
                <w:color w:val="auto"/>
              </w:rPr>
            </w:pPr>
            <w:r>
              <w:rPr>
                <w:rFonts w:ascii="Courier New" w:cs="Courier New" w:eastAsia="Courier New" w:hAnsi="Courier New"/>
                <w:sz w:val="15"/>
                <w:szCs w:val="15"/>
                <w:color w:val="auto"/>
                <w:w w:val="88"/>
              </w:rPr>
              <w:t>59</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59" w:name="page60"/>
    <w:bookmarkEnd w:id="59"/>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Future minimum payments and sublease revenues, at December 31, 2001, under the aforementioned leases and other non-cancelable operating leases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gridSpan w:val="4"/>
          </w:tcPr>
          <w:p>
            <w:pPr>
              <w:spacing w:after="0"/>
              <w:rPr>
                <w:sz w:val="20"/>
                <w:szCs w:val="20"/>
                <w:color w:val="auto"/>
              </w:rPr>
            </w:pPr>
            <w:r>
              <w:rPr>
                <w:rFonts w:ascii="Courier New" w:cs="Courier New" w:eastAsia="Courier New" w:hAnsi="Courier New"/>
                <w:sz w:val="15"/>
                <w:szCs w:val="15"/>
                <w:color w:val="auto"/>
              </w:rPr>
              <w:t>subleases with initial or remaining terms in excess of one</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are as follows,</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694"/>
        </w:trPr>
        <w:tc>
          <w:tcPr>
            <w:tcW w:w="41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Minimum</w:t>
            </w:r>
          </w:p>
        </w:tc>
        <w:tc>
          <w:tcPr>
            <w:tcW w:w="226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Sublease Payments,</w:t>
            </w:r>
          </w:p>
        </w:tc>
      </w:tr>
      <w:tr>
        <w:trPr>
          <w:trHeight w:val="173"/>
        </w:trPr>
        <w:tc>
          <w:tcPr>
            <w:tcW w:w="4100" w:type="dxa"/>
            <w:vAlign w:val="bottom"/>
          </w:tcPr>
          <w:p>
            <w:pPr>
              <w:spacing w:after="0"/>
              <w:rPr>
                <w:sz w:val="15"/>
                <w:szCs w:val="15"/>
                <w:color w:val="auto"/>
              </w:rPr>
            </w:pPr>
          </w:p>
        </w:tc>
        <w:tc>
          <w:tcPr>
            <w:tcW w:w="16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Payments Revenues</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4100" w:type="dxa"/>
            <w:vAlign w:val="bottom"/>
          </w:tcPr>
          <w:p>
            <w:pPr>
              <w:spacing w:after="0"/>
              <w:rPr>
                <w:sz w:val="15"/>
                <w:szCs w:val="15"/>
                <w:color w:val="auto"/>
              </w:rPr>
            </w:pPr>
          </w:p>
        </w:tc>
        <w:tc>
          <w:tcPr>
            <w:tcW w:w="30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 -------- ---------</w:t>
            </w:r>
          </w:p>
        </w:tc>
      </w:tr>
      <w:tr>
        <w:trPr>
          <w:trHeight w:val="347"/>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2002...................................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4,130</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$ 3,760</w:t>
            </w:r>
          </w:p>
        </w:tc>
      </w:tr>
      <w:tr>
        <w:trPr>
          <w:trHeight w:val="173"/>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2003...................................</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3,207</w:t>
            </w:r>
          </w:p>
        </w:tc>
        <w:tc>
          <w:tcPr>
            <w:tcW w:w="40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2,929</w:t>
            </w:r>
          </w:p>
        </w:tc>
      </w:tr>
      <w:tr>
        <w:trPr>
          <w:trHeight w:val="173"/>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2004...................................</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2,378</w:t>
            </w:r>
          </w:p>
        </w:tc>
        <w:tc>
          <w:tcPr>
            <w:tcW w:w="40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2,164</w:t>
            </w:r>
          </w:p>
        </w:tc>
      </w:tr>
      <w:tr>
        <w:trPr>
          <w:trHeight w:val="173"/>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1,802</w:t>
            </w:r>
          </w:p>
        </w:tc>
        <w:tc>
          <w:tcPr>
            <w:tcW w:w="40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1,585</w:t>
            </w:r>
          </w:p>
        </w:tc>
      </w:tr>
      <w:tr>
        <w:trPr>
          <w:trHeight w:val="173"/>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2006...................................</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1,333</w:t>
            </w:r>
          </w:p>
        </w:tc>
        <w:tc>
          <w:tcPr>
            <w:tcW w:w="40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1,149</w:t>
            </w:r>
          </w:p>
        </w:tc>
      </w:tr>
      <w:tr>
        <w:trPr>
          <w:trHeight w:val="173"/>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Thereafter.............................</w:t>
            </w: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1,531</w:t>
            </w:r>
          </w:p>
        </w:tc>
        <w:tc>
          <w:tcPr>
            <w:tcW w:w="40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1,531</w:t>
            </w:r>
          </w:p>
        </w:tc>
      </w:tr>
      <w:tr>
        <w:trPr>
          <w:trHeight w:val="173"/>
        </w:trPr>
        <w:tc>
          <w:tcPr>
            <w:tcW w:w="4100" w:type="dxa"/>
            <w:vAlign w:val="bottom"/>
          </w:tcPr>
          <w:p>
            <w:pPr>
              <w:spacing w:after="0"/>
              <w:rPr>
                <w:sz w:val="15"/>
                <w:szCs w:val="15"/>
                <w:color w:val="auto"/>
              </w:rPr>
            </w:pP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Total minimum lease payments...........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14,381</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$1,263</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$13,118</w:t>
            </w:r>
          </w:p>
        </w:tc>
      </w:tr>
      <w:tr>
        <w:trPr>
          <w:trHeight w:val="173"/>
        </w:trPr>
        <w:tc>
          <w:tcPr>
            <w:tcW w:w="4100" w:type="dxa"/>
            <w:vAlign w:val="bottom"/>
          </w:tcPr>
          <w:p>
            <w:pPr>
              <w:spacing w:after="0"/>
              <w:rPr>
                <w:sz w:val="15"/>
                <w:szCs w:val="15"/>
                <w:color w:val="auto"/>
              </w:rPr>
            </w:pP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entered into an agreement with one of our affiliates where we have agreed to pay royalties in exchange for exclusive selling rights for certain territories and products. Minimum royalty payments under this agreement are approximately $1.4 million through June 2003.</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Contingencies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maintain performance and bid bonds for certain customers. The performance bonds usually cover the installation phase of a contract and may on occasion cover the operations and maintenance phase of outsourcing contracts. Bonds in force were $40 million and $48 million at December 31, 2001 and 2000, respectively. Additionally, we have standby letters of credit to guarantee our performance under certain contracts. The outstanding amounts of standby letters of credit were $11.6 million, $11.8 million, and $6.3 million at December 31, 2001, 2000, and 1999, respectively. In addition, we guarantee lease payments for certain equipment leased by an affiliated company. The guaranteed future lease obligation at December 31, 2001 was $816,000.</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are a party to various lawsuits and claims, both as plaintiff and defendant, and have contingent liabilities arising from the conduct of business, none of which, in our opinion, is expected to have a material effect on our financial position or results of operations. We believe that we have made adequate provisions for such contingent liabilities.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we are both a plaintiff and a defendant in litigation concerning potential patent infringement. While we believe we will prevail in this matter, the ultimate outcome and its impact on our financial statements is indeterminable at this time. In the event the outcome is unfavorable to us, there could be a material adverse effect on our financial condition.</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a long-term contract with Southern California Edison ("SCE"), in which we own, operate and maintain a Mobile AMR System for approximately 360,000 of their meters. At December 31, 2001, we had trade and contracts receivable totaling $305,000 from SCE and net capitalized equipment related to this contract of $9.0 million. In January 2001, in response to the California energy market situation, SCE announced it was suspending payments on certain debt and purchased power obligations. SCE has not notified us of any intention to suspend payments on this contract and has continued to make timely monthly payments on its obligation to us. If SCE were to suspend payments, or enter into bankruptcy proceedings, such action could result in a full or partial write-off of the assets and receivables. No loss contingency for this uncertainty has been accrued in the financial statements.</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Development Agreements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received funding to develop certain products under joint development agreements with several companies. We retain the intellectual property rights to the products that are developed. Funding received under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8" w:right="1440" w:bottom="1440" w:gutter="0" w:footer="0" w:header="0"/>
        </w:sectPr>
      </w:pPr>
    </w:p>
    <w:bookmarkStart w:id="60" w:name="page61"/>
    <w:bookmarkEnd w:id="60"/>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these agreements is credited against product development expenses. The agreements require us to pay royalties if successful products are developed and sold. Additionally, we are required to pay royalties on future sales of products incorporating certain AMR technologies. Funding received and royalty expense under these arrangements is as follows:</w:t>
      </w:r>
    </w:p>
    <w:p>
      <w:pPr>
        <w:spacing w:after="0" w:line="200" w:lineRule="exact"/>
        <w:rPr>
          <w:sz w:val="20"/>
          <w:szCs w:val="20"/>
          <w:color w:val="auto"/>
        </w:rPr>
      </w:pPr>
    </w:p>
    <w:p>
      <w:pPr>
        <w:spacing w:after="0" w:line="32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Year Ended December 31,</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1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41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Funding received....................... $391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$382</w:t>
            </w:r>
          </w:p>
        </w:tc>
      </w:tr>
      <w:tr>
        <w:trPr>
          <w:trHeight w:val="173"/>
        </w:trPr>
        <w:tc>
          <w:tcPr>
            <w:tcW w:w="41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Royalties paid.........................  605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w:t>
            </w:r>
          </w:p>
        </w:tc>
      </w:tr>
    </w:tbl>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Shareholder Rights Plan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adopted a Shareholder Rights Plan and in November 1993 declared a dividend of one common share purchase right (a "Right") for each outstanding share of our common stock. Under certain conditions, each Right may be exercised to purchase one share of common stock at a purchase price of $135 per share, subject to adjustment. The Rights will be exercisable only if a person or group has acquired 15% or more of the outstanding shares of our common stock (excluding certain persons who owned more than 15% of the common stock when the Shareholder Rights Plan was adopted). If a person or group acquires 15% or more of the then outstanding shares of common stock, each Right will entitle its holder to receive, upon exercise, common stock having a market value equal to two times the exercise price of the Right. In addition, if we are acquired in a merger or other business combination transaction, each Right will entitle its holder to purchase that number of the acquiring company's common shares having a market value of twice the Right's exercise price. We are entitled to redeem the Rights at $.001 per Right at any time prior to the earlier of the expiration of the Rights in July 2002 or the time that a person has acquired a 15% position. The Rights do not have voting or distribution rights, and until they become exercisable they have no effect on our earnings.</w:t>
      </w:r>
    </w:p>
    <w:p>
      <w:pPr>
        <w:spacing w:after="0" w:line="18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Income Taxes</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A reconciliation of income taxes at the U.S. federal statutory rate of 35% to the consolidated effective tax for continuing operations is as follows: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domestic and foreign components of income before taxes were:</w:t>
      </w:r>
    </w:p>
    <w:p>
      <w:pPr>
        <w:spacing w:after="0" w:line="200" w:lineRule="exact"/>
        <w:rPr>
          <w:sz w:val="20"/>
          <w:szCs w:val="20"/>
          <w:color w:val="auto"/>
        </w:rPr>
      </w:pP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5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3560" w:type="dxa"/>
            <w:vAlign w:val="bottom"/>
          </w:tcPr>
          <w:p>
            <w:pPr>
              <w:spacing w:after="0"/>
              <w:rPr>
                <w:sz w:val="15"/>
                <w:szCs w:val="15"/>
                <w:color w:val="auto"/>
              </w:rPr>
            </w:pPr>
          </w:p>
        </w:tc>
        <w:tc>
          <w:tcPr>
            <w:tcW w:w="258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56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15"/>
                <w:szCs w:val="15"/>
                <w:color w:val="auto"/>
              </w:rPr>
            </w:pPr>
          </w:p>
        </w:tc>
        <w:tc>
          <w:tcPr>
            <w:tcW w:w="25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356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$6,225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(92,108)</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(8,158)</w:t>
            </w:r>
          </w:p>
        </w:tc>
      </w:tr>
      <w:tr>
        <w:trPr>
          <w:trHeight w:val="173"/>
        </w:trPr>
        <w:tc>
          <w:tcPr>
            <w:tcW w:w="356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$21,366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$6,924</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$(100,266)</w:t>
            </w:r>
          </w:p>
        </w:tc>
      </w:tr>
      <w:tr>
        <w:trPr>
          <w:trHeight w:val="173"/>
        </w:trPr>
        <w:tc>
          <w:tcPr>
            <w:tcW w:w="356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867"/>
        </w:trPr>
        <w:tc>
          <w:tcPr>
            <w:tcW w:w="35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bl>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23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Expected federal income tax provision (benefit) $</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7,478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$ 2,423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$(35,093)</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Change in valuation allowance..................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(1,760)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7,048</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(1,233)</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Goodwill amortization..........................</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Foreign operations.............................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861</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429</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w:t>
            </w:r>
          </w:p>
        </w:tc>
      </w:tr>
      <w:tr>
        <w:trPr>
          <w:trHeight w:val="173"/>
        </w:trPr>
        <w:tc>
          <w:tcPr>
            <w:tcW w:w="5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w w:val="99"/>
              </w:rPr>
              <w:t>Total provision (benefit) for income taxes.. $</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7,916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$ 2,700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$(28,010)</w:t>
            </w:r>
          </w:p>
        </w:tc>
      </w:tr>
      <w:tr>
        <w:trPr>
          <w:trHeight w:val="173"/>
        </w:trPr>
        <w:tc>
          <w:tcPr>
            <w:tcW w:w="5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4420" w:type="dxa"/>
            <w:vAlign w:val="bottom"/>
          </w:tcPr>
          <w:p>
            <w:pPr>
              <w:ind w:left="3240"/>
              <w:spacing w:after="0"/>
              <w:rPr>
                <w:sz w:val="20"/>
                <w:szCs w:val="20"/>
                <w:color w:val="auto"/>
              </w:rPr>
            </w:pPr>
            <w:r>
              <w:rPr>
                <w:rFonts w:ascii="Courier New" w:cs="Courier New" w:eastAsia="Courier New" w:hAnsi="Courier New"/>
                <w:sz w:val="15"/>
                <w:szCs w:val="15"/>
                <w:color w:val="auto"/>
              </w:rPr>
              <w:t>61</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38" w:right="1440" w:bottom="902" w:gutter="0" w:footer="0" w:header="0"/>
        </w:sectPr>
      </w:pPr>
    </w:p>
    <w:bookmarkStart w:id="61" w:name="page62"/>
    <w:bookmarkEnd w:id="61"/>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CONSOLIDATED FINANCIAL STATEMENTS--(Continued)</w:t>
            </w:r>
          </w:p>
        </w:tc>
        <w:tc>
          <w:tcPr>
            <w:tcW w:w="860" w:type="dxa"/>
            <w:vAlign w:val="bottom"/>
          </w:tcPr>
          <w:p>
            <w:pPr>
              <w:spacing w:after="0"/>
              <w:rPr>
                <w:sz w:val="14"/>
                <w:szCs w:val="14"/>
                <w:color w:val="auto"/>
              </w:rPr>
            </w:pPr>
          </w:p>
        </w:tc>
      </w:tr>
      <w:tr>
        <w:trPr>
          <w:trHeight w:val="520"/>
        </w:trPr>
        <w:tc>
          <w:tcPr>
            <w:tcW w:w="5820" w:type="dxa"/>
            <w:vAlign w:val="bottom"/>
            <w:gridSpan w:val="4"/>
          </w:tcPr>
          <w:p>
            <w:pPr>
              <w:spacing w:after="0"/>
              <w:rPr>
                <w:sz w:val="20"/>
                <w:szCs w:val="20"/>
                <w:color w:val="auto"/>
              </w:rPr>
            </w:pPr>
            <w:r>
              <w:rPr>
                <w:rFonts w:ascii="Courier New" w:cs="Courier New" w:eastAsia="Courier New" w:hAnsi="Courier New"/>
                <w:sz w:val="15"/>
                <w:szCs w:val="15"/>
                <w:color w:val="auto"/>
              </w:rPr>
              <w:t>The provision for income taxes consisted of the following:</w:t>
            </w:r>
          </w:p>
        </w:tc>
        <w:tc>
          <w:tcPr>
            <w:tcW w:w="860" w:type="dxa"/>
            <w:vAlign w:val="bottom"/>
          </w:tcPr>
          <w:p>
            <w:pPr>
              <w:spacing w:after="0"/>
              <w:rPr>
                <w:sz w:val="24"/>
                <w:szCs w:val="24"/>
                <w:color w:val="auto"/>
              </w:rPr>
            </w:pPr>
          </w:p>
        </w:tc>
      </w:tr>
      <w:tr>
        <w:trPr>
          <w:trHeight w:val="694"/>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4200" w:type="dxa"/>
            <w:vAlign w:val="bottom"/>
          </w:tcPr>
          <w:p>
            <w:pPr>
              <w:spacing w:after="0"/>
              <w:rPr>
                <w:sz w:val="15"/>
                <w:szCs w:val="15"/>
                <w:color w:val="auto"/>
              </w:rPr>
            </w:pPr>
          </w:p>
        </w:tc>
        <w:tc>
          <w:tcPr>
            <w:tcW w:w="24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200" w:type="dxa"/>
            <w:vAlign w:val="bottom"/>
          </w:tcPr>
          <w:p>
            <w:pPr>
              <w:spacing w:after="0"/>
              <w:rPr>
                <w:sz w:val="15"/>
                <w:szCs w:val="15"/>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42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4,589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(2,931)</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State and local............................</w:t>
            </w:r>
          </w:p>
        </w:tc>
        <w:tc>
          <w:tcPr>
            <w:tcW w:w="14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Foreign....................................</w:t>
            </w:r>
          </w:p>
        </w:tc>
        <w:tc>
          <w:tcPr>
            <w:tcW w:w="14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200" w:type="dxa"/>
            <w:vAlign w:val="bottom"/>
          </w:tcPr>
          <w:p>
            <w:pPr>
              <w:spacing w:after="0"/>
              <w:rPr>
                <w:sz w:val="15"/>
                <w:szCs w:val="15"/>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Total current..........................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(1,921)</w:t>
            </w:r>
          </w:p>
        </w:tc>
      </w:tr>
      <w:tr>
        <w:trPr>
          <w:trHeight w:val="173"/>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4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3,130</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(28,625)</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State and local............................</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(2,076)</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Foreign....................................</w:t>
            </w:r>
          </w:p>
        </w:tc>
        <w:tc>
          <w:tcPr>
            <w:tcW w:w="14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(2,436)</w:t>
            </w:r>
          </w:p>
        </w:tc>
      </w:tr>
      <w:tr>
        <w:trPr>
          <w:trHeight w:val="173"/>
        </w:trPr>
        <w:tc>
          <w:tcPr>
            <w:tcW w:w="4200" w:type="dxa"/>
            <w:vAlign w:val="bottom"/>
          </w:tcPr>
          <w:p>
            <w:pPr>
              <w:spacing w:after="0"/>
              <w:rPr>
                <w:sz w:val="15"/>
                <w:szCs w:val="15"/>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Total deferred.........................</w:t>
            </w:r>
          </w:p>
        </w:tc>
        <w:tc>
          <w:tcPr>
            <w:tcW w:w="14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4,276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(33,137)</w:t>
            </w:r>
          </w:p>
        </w:tc>
      </w:tr>
      <w:tr>
        <w:trPr>
          <w:trHeight w:val="173"/>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w w:val="99"/>
              </w:rPr>
              <w:t>Change in valuation allowance.................</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(1,760)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7,048</w:t>
            </w:r>
          </w:p>
        </w:tc>
      </w:tr>
      <w:tr>
        <w:trPr>
          <w:trHeight w:val="173"/>
        </w:trPr>
        <w:tc>
          <w:tcPr>
            <w:tcW w:w="4200" w:type="dxa"/>
            <w:vAlign w:val="bottom"/>
          </w:tcPr>
          <w:p>
            <w:pPr>
              <w:spacing w:after="0"/>
              <w:rPr>
                <w:sz w:val="15"/>
                <w:szCs w:val="15"/>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provision (benefit) for income taxes. $</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7,916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$ 2,700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$(28,010)</w:t>
            </w:r>
          </w:p>
        </w:tc>
      </w:tr>
      <w:tr>
        <w:trPr>
          <w:trHeight w:val="173"/>
        </w:trPr>
        <w:tc>
          <w:tcPr>
            <w:tcW w:w="4200" w:type="dxa"/>
            <w:vAlign w:val="bottom"/>
          </w:tcPr>
          <w:p>
            <w:pPr>
              <w:spacing w:after="0"/>
              <w:rPr>
                <w:sz w:val="15"/>
                <w:szCs w:val="15"/>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Deferred income taxes consisted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3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3840" w:type="dxa"/>
            <w:vAlign w:val="bottom"/>
          </w:tcPr>
          <w:p>
            <w:pPr>
              <w:spacing w:after="0"/>
              <w:rPr>
                <w:sz w:val="15"/>
                <w:szCs w:val="15"/>
                <w:color w:val="auto"/>
              </w:rPr>
            </w:pPr>
          </w:p>
        </w:tc>
        <w:tc>
          <w:tcPr>
            <w:tcW w:w="23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84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spacing w:after="0"/>
              <w:rPr>
                <w:sz w:val="15"/>
                <w:szCs w:val="15"/>
                <w:color w:val="auto"/>
              </w:rPr>
            </w:pPr>
          </w:p>
        </w:tc>
        <w:tc>
          <w:tcPr>
            <w:tcW w:w="23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Loss carryforwards.....................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$22,688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$24,304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$20,796</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Tax credits............................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6,559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7,066</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6,507</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Inventory valuation....................</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1,806</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Long-term contracts....................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1,977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3,305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6,814</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w:t>
            </w:r>
          </w:p>
        </w:tc>
      </w:tr>
      <w:tr>
        <w:trPr>
          <w:trHeight w:val="173"/>
        </w:trPr>
        <w:tc>
          <w:tcPr>
            <w:tcW w:w="384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36,778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39,960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43,629</w:t>
            </w:r>
          </w:p>
        </w:tc>
      </w:tr>
      <w:tr>
        <w:trPr>
          <w:trHeight w:val="173"/>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(977)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Valuation allowance....................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(8,518)</w:t>
            </w:r>
          </w:p>
        </w:tc>
      </w:tr>
      <w:tr>
        <w:trPr>
          <w:trHeight w:val="173"/>
        </w:trPr>
        <w:tc>
          <w:tcPr>
            <w:tcW w:w="384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deferred tax assets...................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$29,086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$32,139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$34,938</w:t>
            </w:r>
          </w:p>
        </w:tc>
      </w:tr>
      <w:tr>
        <w:trPr>
          <w:trHeight w:val="173"/>
        </w:trPr>
        <w:tc>
          <w:tcPr>
            <w:tcW w:w="384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639" w:firstLine="271"/>
        <w:spacing w:after="0" w:line="243" w:lineRule="auto"/>
        <w:rPr>
          <w:sz w:val="20"/>
          <w:szCs w:val="20"/>
          <w:color w:val="auto"/>
        </w:rPr>
      </w:pPr>
      <w:r>
        <w:rPr>
          <w:rFonts w:ascii="Courier New" w:cs="Courier New" w:eastAsia="Courier New" w:hAnsi="Courier New"/>
          <w:sz w:val="15"/>
          <w:szCs w:val="15"/>
          <w:color w:val="auto"/>
        </w:rPr>
        <w:t>Federal research and development tax credits of $4,616,000 expire from 2002-2012 and the federal loss carryforwards of $48,080,000 expire from</w:t>
      </w:r>
    </w:p>
    <w:p>
      <w:pPr>
        <w:spacing w:after="0" w:line="3"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2018-2020. We also have alternative minimum tax credits, totaling $1,942,000 that are available to offset future tax liabilities indefinitely.</w:t>
      </w:r>
    </w:p>
    <w:p>
      <w:pPr>
        <w:spacing w:after="0" w:line="153"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Valuation allowances of $5,535,000, $6,757,000, and $8,412,000 in 2001, 2000, and 1999 respectively, were provided for carryforwards attributable to various items for which the Company may not receive future benefits.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8" w:right="1440" w:bottom="1440" w:gutter="0" w:footer="0" w:header="0"/>
        </w:sectPr>
      </w:pPr>
    </w:p>
    <w:bookmarkStart w:id="62" w:name="page63"/>
    <w:bookmarkEnd w:id="62"/>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Effective January 1, 2002, we are internally organized around four business units focused on the customer segments that we serve. These business units are Electric Systems, Natural Gas Systems, Water &amp; Public Power Systems, and International Systems.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Revenues for each business unit include hardware, custom and licensed software, project management, installation and support activities, outsourcing services, where we own and operate, or simply operate, systems for a periodic fee, and post-sale support activities. Inter-segment revenues are immaterial. Within each business unit, product costs associated with revenue are reported using standards, which include materials, direct labor and an overhead allocation based on projected production for the year. Variances from standard costs are reported in corporate costs and are not allocated to the business units.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Management has three primary measures for each of our operating segments: revenue, gross profit, and operating income. Of these three measures, operating income is our primary profit and loss measure. It is defined as operating income after the allocation of basic services (such as floor space and communication expense), excluding the allocation of corporate product development, marketing, miscellaneous manufacturing and certain other corporate expenses. Operating income is calculated as revenue, less direct costs associated with that revenue, less operating expenses directly incurred by the segment and less the allocations mentioned above. Operating expenses directly associated with each segment may include sales, marketing, development, or administrative expenses. Certain amounts in the 2000 and 1999 financial statements have been reclassified to conform to the 2001 presentation. In the table below corporate information, is included to reconcile segment activity to the consolidated statements of operations.</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Electric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$ 99,722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$ 61,985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$ 64,337</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Natural Gas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35,694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39,836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50,292</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Water &amp; Public Power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65,072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60,123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61,239</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International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25,067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17,544</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$225,555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$179,941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$193,412</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Electric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$ 42,352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$ 26,985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$(57,870)</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Natural Gas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19,370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22,361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25,693</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Water &amp; Public Power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28,791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26,450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26,180</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International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8,621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7,753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2,567</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(12,700)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(5,798)</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Total gross profit (loss).........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$ 97,859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$ 70,849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(9,228)</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Electric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$ 37,201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$ 23,423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$(61,431)</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Natural Gas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23,287</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Water &amp; Public Power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25,295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23,660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23,390</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International Systems.................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(7,624)</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(55,213)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(58,991)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(71,027)</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income (loss).....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$ 25,860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9,650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$(93,405)</w:t>
            </w:r>
          </w:p>
        </w:tc>
      </w:tr>
      <w:tr>
        <w:trPr>
          <w:trHeight w:val="173"/>
        </w:trPr>
        <w:tc>
          <w:tcPr>
            <w:tcW w:w="374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639" w:firstLine="271"/>
        <w:spacing w:after="0" w:line="243" w:lineRule="auto"/>
        <w:rPr>
          <w:sz w:val="20"/>
          <w:szCs w:val="20"/>
          <w:color w:val="auto"/>
        </w:rPr>
      </w:pPr>
      <w:r>
        <w:rPr>
          <w:rFonts w:ascii="Courier New" w:cs="Courier New" w:eastAsia="Courier New" w:hAnsi="Courier New"/>
          <w:sz w:val="15"/>
          <w:szCs w:val="15"/>
          <w:color w:val="auto"/>
        </w:rPr>
        <w:t>During 2001 the Company had one Electric business unit customer, which individually accounted for 15% of total company revenues.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8" w:right="1440" w:bottom="1440" w:gutter="0" w:footer="0" w:header="0"/>
        </w:sectPr>
      </w:pPr>
    </w:p>
    <w:bookmarkStart w:id="63" w:name="page64"/>
    <w:bookmarkEnd w:id="63"/>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Quarterly Results (Unaudited)</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Quarterly results are as follows (in thousands, except per share and stock price data):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First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Second</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Third</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Fourth</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3"/>
        </w:trPr>
        <w:tc>
          <w:tcPr>
            <w:tcW w:w="50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Quarter</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Quarter</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Quarter</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Quarter</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Year</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$47,471</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$53,014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$60,855</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$64,215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$225,555</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Gross profit.........................................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18,681</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23,142</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27,053</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28,983</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97,859</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$ 1,489</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$ 3,158</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$ 3,904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$ 4,899</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$ 13,450</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Basic net income per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0.86</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Diluted net income per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0.75</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Stock Price: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$ 12.50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$ 18.98</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$ 23.84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$ 34.21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34.21</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Low..................................................</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14.25</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20.13</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$46,925</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$44,570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$40,692</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$47,754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$179,941</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Gross profit.........................................</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17,306</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17,564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16,329</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19,650</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70,849</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Net income before extraordinary item and cumulative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302</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1,115</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2,183</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4,224</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Extraordinary gain on early extinguishment of debt,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net of income taxes of $570........................</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1,044</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net of income taxes of $1,581......................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(2,562)</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(2,562)</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$(1,216)</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$ 1,115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$ 2,183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2,706</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Before extraordinary item and cumulative effect of a</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Basic net income (loss) per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Before extraordinary item and cumulative effect of a</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Diluted net income (loss) per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08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Stock Price: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w:t>
            </w:r>
          </w:p>
        </w:tc>
      </w:tr>
      <w:tr>
        <w:trPr>
          <w:trHeight w:val="173"/>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Low..................................................</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28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w:t>
            </w:r>
          </w:p>
        </w:tc>
      </w:tr>
      <w:tr>
        <w:trPr>
          <w:trHeight w:val="520"/>
        </w:trPr>
        <w:tc>
          <w:tcPr>
            <w:tcW w:w="5080" w:type="dxa"/>
            <w:vAlign w:val="bottom"/>
          </w:tcPr>
          <w:p>
            <w:pPr>
              <w:ind w:left="3420"/>
              <w:spacing w:after="0"/>
              <w:rPr>
                <w:sz w:val="20"/>
                <w:szCs w:val="20"/>
                <w:color w:val="auto"/>
              </w:rPr>
            </w:pPr>
            <w:r>
              <w:rPr>
                <w:rFonts w:ascii="Courier New" w:cs="Courier New" w:eastAsia="Courier New" w:hAnsi="Courier New"/>
                <w:sz w:val="15"/>
                <w:szCs w:val="15"/>
                <w:color w:val="auto"/>
              </w:rPr>
              <w:t>64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64" w:name="page65"/>
    <w:bookmarkEnd w:id="64"/>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Subsequent Events</w:t>
      </w:r>
    </w:p>
    <w:p>
      <w:pPr>
        <w:spacing w:after="0" w:line="178" w:lineRule="exact"/>
        <w:rPr>
          <w:sz w:val="20"/>
          <w:szCs w:val="20"/>
          <w:color w:val="auto"/>
        </w:rPr>
      </w:pPr>
    </w:p>
    <w:p>
      <w:pPr>
        <w:ind w:right="3199" w:firstLine="271"/>
        <w:spacing w:after="0" w:line="262" w:lineRule="auto"/>
        <w:rPr>
          <w:sz w:val="20"/>
          <w:szCs w:val="20"/>
          <w:color w:val="auto"/>
        </w:rPr>
      </w:pPr>
      <w:r>
        <w:rPr>
          <w:rFonts w:ascii="Courier New" w:cs="Courier New" w:eastAsia="Courier New" w:hAnsi="Courier New"/>
          <w:sz w:val="14"/>
          <w:szCs w:val="14"/>
          <w:color w:val="auto"/>
        </w:rPr>
        <w:t>On March 12, 2002, Itron acquired all the outstanding shares of LineSoft Corporation, a Spokane-based privately held company that is a leading provider of innovative engineering design software applications and consulting services for optimizing utility transmission and distribution systems. The initial purchase price of $42 million is subject to a working capital adjustment that will be finalized within 45 days from closing. At closing, the working capital adjustment was preliminarily calculated as $600,000, resulting in a net purchase price of $41.4 million. Of this amount $21 million was paid through the issuance of 848,870 shares of Itron common stock and cash for fractional interests. The remaining $20.4 million was paid in cash, except for</w:t>
      </w:r>
    </w:p>
    <w:p>
      <w:pPr>
        <w:spacing w:after="0" w:line="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 million that was placed in escrow as security for the sellers' indemnifications and $600,000 that was also placed in escrow as the initial working capital price adjustment. In addition, Itron is required to pay additional amounts to LineSoft shareholders of up to $13.5 million in the event that certain defined revenue hurdles in 2002, 2003 and/or 2004 are exceeded. Any earnout payments will also be paid half in cash and half in Itron common stock.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February 25, 2002, Itron agreed to sell an office building in Raleigh, NC that we will no longer occupy effective April 2002. The sale, which is contingent upon the purchaser's completion of due diligence, is expected to close on or before July 1, 2002. The sales price of $1,825,000 represents a gain of approximately $975,000.</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March 18, 2002 Itron notified the holders of the remaining exchange notes, totaling $15 million, that we will exercise our option to redeem the notes on April 17, 2002. The holders have until April 16, 2002 to convert their shares into our common stock. Based on the current market prices of our stock, we anticipate note holders will convert rather than redeem.</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8" w:right="1440" w:bottom="1440" w:gutter="0" w:footer="0" w:header="0"/>
        </w:sectPr>
      </w:pPr>
    </w:p>
    <w:bookmarkStart w:id="65" w:name="page66"/>
    <w:bookmarkEnd w:id="65"/>
    <w:p>
      <w:pPr>
        <w:ind w:left="720" w:right="3819" w:hanging="720"/>
        <w:spacing w:after="0" w:line="24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section entitled "Election of Directors" appearing in our Proxy Statement for the Annual Meeting of Shareholders to be held on May 24, 2002 (the "2001 Proxy Statement") sets forth certain information with regard to our directors and is incorporated herein by reference.</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Certain information with respect to persons who are or may be deemed to be executive officers of Itron is set forth under the caption "Executive Officers of the Registrant" in Part I of this Annual Report on Form 10-K.</w:t>
      </w:r>
    </w:p>
    <w:p>
      <w:pPr>
        <w:spacing w:after="0" w:line="17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section entitled "Executive Compensation" appearing in the 2001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7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section entitled "Security Ownership of Certain Beneficial Owners and Management" appearing in the 2001 Proxy Statement sets forth certain information with respect to the ownership of the Registrant's Common Stock and is incorporated herein by reference.</w:t>
      </w:r>
    </w:p>
    <w:p>
      <w:pPr>
        <w:spacing w:after="0" w:line="17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PARTY TRANSACTIONS</w:t>
      </w:r>
    </w:p>
    <w:p>
      <w:pPr>
        <w:spacing w:after="0" w:line="17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The section entitled "Certain Relationships and Related Transactions" appearing in the 2001 Proxy Statement sets forth certain information with respect to the certain business relationships and transactions between the Registrant and its directors and officers and is incorporated herein by reference.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8"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8740" w:type="dxa"/>
            <w:vAlign w:val="bottom"/>
          </w:tcPr>
          <w:p>
            <w:pPr>
              <w:ind w:left="2520"/>
              <w:spacing w:after="0"/>
              <w:rPr>
                <w:sz w:val="20"/>
                <w:szCs w:val="20"/>
                <w:color w:val="auto"/>
              </w:rPr>
            </w:pPr>
            <w:r>
              <w:rPr>
                <w:rFonts w:ascii="Courier New" w:cs="Courier New" w:eastAsia="Courier New" w:hAnsi="Courier New"/>
                <w:sz w:val="15"/>
                <w:szCs w:val="15"/>
                <w:color w:val="auto"/>
              </w:rPr>
              <w:t>PART IV</w:t>
            </w:r>
          </w:p>
        </w:tc>
      </w:tr>
      <w:tr>
        <w:trPr>
          <w:trHeight w:val="347"/>
        </w:trPr>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2) List</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of Financial Statement Schedules;</w:t>
            </w:r>
          </w:p>
        </w:tc>
      </w:tr>
      <w:tr>
        <w:trPr>
          <w:trHeight w:val="347"/>
        </w:trPr>
        <w:tc>
          <w:tcPr>
            <w:tcW w:w="9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Schedule II--Valuation and Qualifying Accounts</w:t>
            </w:r>
          </w:p>
        </w:tc>
      </w:tr>
      <w:tr>
        <w:trPr>
          <w:trHeight w:val="347"/>
        </w:trPr>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3) Exhibits:</w:t>
            </w:r>
          </w:p>
        </w:tc>
      </w:tr>
      <w:tr>
        <w:trPr>
          <w:trHeight w:val="694"/>
        </w:trPr>
        <w:tc>
          <w:tcPr>
            <w:tcW w:w="7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740" w:type="dxa"/>
            <w:vAlign w:val="bottom"/>
          </w:tcPr>
          <w:p>
            <w:pPr>
              <w:spacing w:after="0"/>
              <w:rPr>
                <w:sz w:val="24"/>
                <w:szCs w:val="24"/>
                <w:color w:val="auto"/>
              </w:rPr>
            </w:pP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740" w:type="dxa"/>
            <w:vAlign w:val="bottom"/>
          </w:tcPr>
          <w:p>
            <w:pPr>
              <w:ind w:left="3320"/>
              <w:spacing w:after="0"/>
              <w:rPr>
                <w:sz w:val="20"/>
                <w:szCs w:val="20"/>
                <w:color w:val="auto"/>
              </w:rPr>
            </w:pPr>
            <w:r>
              <w:rPr>
                <w:rFonts w:ascii="Courier New" w:cs="Courier New" w:eastAsia="Courier New" w:hAnsi="Courier New"/>
                <w:sz w:val="15"/>
                <w:szCs w:val="15"/>
                <w:color w:val="auto"/>
              </w:rPr>
              <w:t>Description of Exhibits</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740" w:type="dxa"/>
            <w:vAlign w:val="bottom"/>
          </w:tcPr>
          <w:p>
            <w:pPr>
              <w:ind w:left="3500"/>
              <w:spacing w:after="0"/>
              <w:rPr>
                <w:sz w:val="20"/>
                <w:szCs w:val="20"/>
                <w:color w:val="auto"/>
              </w:rPr>
            </w:pPr>
            <w:r>
              <w:rPr>
                <w:rFonts w:ascii="Courier New" w:cs="Courier New" w:eastAsia="Courier New" w:hAnsi="Courier New"/>
                <w:sz w:val="15"/>
                <w:szCs w:val="15"/>
                <w:color w:val="auto"/>
              </w:rPr>
              <w:t>-----------------------</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Restated Articles of Incorporation of the Registrant. (A) (Exhibit 3.1)</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Restated Bylaws of the Registrant. (A) (Exhibit 3.2)</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Rights Agreement between the Registrant and Chemical Trust Company of California dated as of</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July 15, 1992. (A) (Exhibit 4.1)</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Indenture dated as of March 12, 1997 between the Registrant and Chemical Trust Company of</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California, as trustee. (F) (Exhibit 4.1)</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8740" w:type="dxa"/>
            <w:vAlign w:val="bottom"/>
          </w:tcPr>
          <w:p>
            <w:pPr>
              <w:spacing w:after="0"/>
              <w:rPr>
                <w:sz w:val="20"/>
                <w:szCs w:val="20"/>
                <w:color w:val="auto"/>
              </w:rPr>
            </w:pPr>
            <w:r>
              <w:rPr>
                <w:rFonts w:ascii="Courier New" w:cs="Courier New" w:eastAsia="Courier New" w:hAnsi="Courier New"/>
                <w:sz w:val="15"/>
                <w:szCs w:val="15"/>
                <w:color w:val="auto"/>
                <w:w w:val="99"/>
              </w:rPr>
              <w:t>Form of Change of Control Agreement between Registrant and certain of its executive officers. (G)</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(Exhibit 10.1)</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Schedule of certain executive officers who are parties to Change of Control Agreements (see</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Exhibit 10.1 hereto) with the Registrant.</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Form of Confidentiality Agreement normally entered into with employees. (A) (Exhibit 10.7)</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Amended and Restated Registration Rights Agreement among the Registrant and certain holders of</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its securities dated March 25, 1996 (D) (Exhibit 10.4)</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1989 Restated Stock Option Plan. (D) (Exhibit 10.5)</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1992 Restated Stock Option Plan for Nonemployee Directors. (E)</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Executive Deferred Compensation Plan. *(A) (Exhibit 10.12)</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8740" w:type="dxa"/>
            <w:vAlign w:val="bottom"/>
          </w:tcPr>
          <w:p>
            <w:pPr>
              <w:spacing w:after="0"/>
              <w:rPr>
                <w:sz w:val="20"/>
                <w:szCs w:val="20"/>
                <w:color w:val="auto"/>
              </w:rPr>
            </w:pPr>
            <w:r>
              <w:rPr>
                <w:rFonts w:ascii="Courier New" w:cs="Courier New" w:eastAsia="Courier New" w:hAnsi="Courier New"/>
                <w:sz w:val="15"/>
                <w:szCs w:val="15"/>
                <w:color w:val="auto"/>
                <w:w w:val="99"/>
              </w:rPr>
              <w:t>Form of Indemnification Agreements between the Registrant and certain directors and officers. (G)</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(Exhibit 10.9)</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Schedule of directors and executive officers who are parties to Indemnification Agreements (see</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Exhibit 10.8 hereto) with the Registrant.</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Employment Agreement between the Registrant and David G. Remington dated February 29, 1996.</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 (C) (Exhibit 10.16)</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10.11</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Office Lease between the Registrant and Woodville Leasing Inc. Dated October 4, 1993. (B)</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(Exhibit 10.24)</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10.12</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Purchase Agreement between the Registrant and Pentzer Development Corporation dated July 11,</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1995. (C) (Exhibit 10.19)</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10.13</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Loan Agreement between Itron, Inc. and GE Capital Corporation dated January 18, 2000. (G)</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(Exhibit 10.16)</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10.14</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First Amendment to Credit Agreement dated February 28, 2000. (G) (Exhibit 10.18)</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10.15</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Asset Purchase Agreement between Itron, Inc. and DataCom Information Systems, LLC (e.g. an</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affiliate of Duquesne Light company) dated March 30, 2000. (H) (Exhibit 10.19)</w:t>
            </w:r>
          </w:p>
        </w:tc>
      </w:tr>
      <w:tr>
        <w:trPr>
          <w:trHeight w:val="347"/>
        </w:trPr>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w:t>
            </w: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Warranty and maintenance Agreement between Itron, Inc. and DataCom Information Systems, LLC</w:t>
            </w:r>
          </w:p>
        </w:tc>
      </w:tr>
      <w:tr>
        <w:trPr>
          <w:trHeight w:val="173"/>
        </w:trPr>
        <w:tc>
          <w:tcPr>
            <w:tcW w:w="720" w:type="dxa"/>
            <w:vAlign w:val="bottom"/>
          </w:tcPr>
          <w:p>
            <w:pPr>
              <w:spacing w:after="0"/>
              <w:rPr>
                <w:sz w:val="15"/>
                <w:szCs w:val="15"/>
                <w:color w:val="auto"/>
              </w:rPr>
            </w:pPr>
          </w:p>
        </w:tc>
        <w:tc>
          <w:tcPr>
            <w:tcW w:w="8740" w:type="dxa"/>
            <w:vAlign w:val="bottom"/>
          </w:tcPr>
          <w:p>
            <w:pPr>
              <w:spacing w:after="0"/>
              <w:rPr>
                <w:sz w:val="20"/>
                <w:szCs w:val="20"/>
                <w:color w:val="auto"/>
              </w:rPr>
            </w:pPr>
            <w:r>
              <w:rPr>
                <w:rFonts w:ascii="Courier New" w:cs="Courier New" w:eastAsia="Courier New" w:hAnsi="Courier New"/>
                <w:sz w:val="15"/>
                <w:szCs w:val="15"/>
                <w:color w:val="auto"/>
              </w:rPr>
              <w:t>dated March 30, 2000. (H) (Exhibit 10.20)</w:t>
            </w:r>
          </w:p>
        </w:tc>
      </w:tr>
      <w:tr>
        <w:trPr>
          <w:trHeight w:val="520"/>
        </w:trPr>
        <w:tc>
          <w:tcPr>
            <w:tcW w:w="720" w:type="dxa"/>
            <w:vAlign w:val="bottom"/>
          </w:tcPr>
          <w:p>
            <w:pPr>
              <w:spacing w:after="0"/>
              <w:rPr>
                <w:sz w:val="24"/>
                <w:szCs w:val="24"/>
                <w:color w:val="auto"/>
              </w:rPr>
            </w:pPr>
          </w:p>
        </w:tc>
        <w:tc>
          <w:tcPr>
            <w:tcW w:w="8740" w:type="dxa"/>
            <w:vAlign w:val="bottom"/>
          </w:tcPr>
          <w:p>
            <w:pPr>
              <w:ind w:left="2700"/>
              <w:spacing w:after="0"/>
              <w:rPr>
                <w:sz w:val="20"/>
                <w:szCs w:val="20"/>
                <w:color w:val="auto"/>
              </w:rPr>
            </w:pPr>
            <w:r>
              <w:rPr>
                <w:rFonts w:ascii="Courier New" w:cs="Courier New" w:eastAsia="Courier New" w:hAnsi="Courier New"/>
                <w:sz w:val="15"/>
                <w:szCs w:val="15"/>
                <w:color w:val="auto"/>
              </w:rPr>
              <w:t>67</w:t>
            </w:r>
          </w:p>
        </w:tc>
      </w:tr>
    </w:tbl>
    <w:p>
      <w:pPr>
        <w:sectPr>
          <w:pgSz w:w="11900" w:h="16838" w:orient="portrait"/>
          <w:cols w:equalWidth="0" w:num="1">
            <w:col w:w="10219"/>
          </w:cols>
          <w:pgMar w:left="240" w:top="638" w:right="1440" w:bottom="1440" w:gutter="0" w:footer="0" w:header="0"/>
        </w:sectPr>
      </w:pPr>
    </w:p>
    <w:bookmarkStart w:id="67" w:name="page68"/>
    <w:bookmarkEnd w:id="67"/>
    <w:p>
      <w:pPr>
        <w:ind w:left="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48" w:space="720"/>
            <w:col w:w="6259"/>
          </w:cols>
          <w:pgMar w:left="232" w:top="984" w:right="1440" w:bottom="1440" w:gutter="0" w:footer="0" w:header="0"/>
        </w:sectPr>
      </w:pPr>
    </w:p>
    <w:p>
      <w:pPr>
        <w:spacing w:after="0" w:line="150"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Contribution Agreement between Itron, Inc. and Servatron, Inc. dated May 15, 2000. (I)</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(Exhibit 10.23)</w:t>
      </w:r>
    </w:p>
    <w:p>
      <w:pPr>
        <w:spacing w:after="0" w:line="177"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10.18</w:t>
        <w:tab/>
        <w:t>Credit Agreement between Itron, Inc. and Servatron dated June 22, 2000. (I) (Exhibit 10.23)</w:t>
      </w:r>
    </w:p>
    <w:p>
      <w:pPr>
        <w:spacing w:after="0" w:line="177"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Third Amendment to Credit Agreement dated June 30, 2000. (J) (Exhibit 10.24)</w:t>
      </w:r>
    </w:p>
    <w:p>
      <w:pPr>
        <w:spacing w:after="0" w:line="178" w:lineRule="exact"/>
        <w:rPr>
          <w:sz w:val="20"/>
          <w:szCs w:val="20"/>
          <w:color w:val="auto"/>
        </w:rPr>
      </w:pPr>
    </w:p>
    <w:p>
      <w:pPr>
        <w:ind w:left="728" w:right="1299" w:hanging="630"/>
        <w:spacing w:after="0" w:line="243" w:lineRule="auto"/>
        <w:tabs>
          <w:tab w:leader="none" w:pos="707" w:val="left"/>
        </w:tabs>
        <w:rPr>
          <w:sz w:val="20"/>
          <w:szCs w:val="20"/>
          <w:color w:val="auto"/>
        </w:rPr>
      </w:pPr>
      <w:r>
        <w:rPr>
          <w:rFonts w:ascii="Courier New" w:cs="Courier New" w:eastAsia="Courier New" w:hAnsi="Courier New"/>
          <w:sz w:val="15"/>
          <w:szCs w:val="15"/>
          <w:color w:val="auto"/>
        </w:rPr>
        <w:t>10.20</w:t>
        <w:tab/>
        <w:t>Agreement and Plan of Reorganization Agreement between Itron, Inc. and LineSoft Corporation dated February 14, 2002 (K) (Exhibit 2.1)</w:t>
      </w:r>
    </w:p>
    <w:p>
      <w:pPr>
        <w:spacing w:after="0" w:line="175"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10.21</w:t>
        <w:tab/>
        <w:t>2000 Stock Option Incentive Compensation Plan (L)</w:t>
      </w:r>
    </w:p>
    <w:p>
      <w:pPr>
        <w:spacing w:after="0" w:line="177"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4"/>
          <w:szCs w:val="14"/>
          <w:color w:val="auto"/>
        </w:rPr>
        <w:t>2000 Restated Stock Option Grant Program for Nonemployee Directors</w:t>
      </w:r>
    </w:p>
    <w:p>
      <w:pPr>
        <w:spacing w:after="0" w:line="178" w:lineRule="exact"/>
        <w:rPr>
          <w:sz w:val="20"/>
          <w:szCs w:val="20"/>
          <w:color w:val="auto"/>
        </w:rPr>
      </w:pPr>
    </w:p>
    <w:p>
      <w:pPr>
        <w:ind w:left="728" w:right="2019" w:hanging="630"/>
        <w:spacing w:after="0" w:line="243" w:lineRule="auto"/>
        <w:tabs>
          <w:tab w:leader="none" w:pos="707" w:val="left"/>
        </w:tabs>
        <w:rPr>
          <w:sz w:val="20"/>
          <w:szCs w:val="20"/>
          <w:color w:val="auto"/>
        </w:rPr>
      </w:pPr>
      <w:r>
        <w:rPr>
          <w:rFonts w:ascii="Courier New" w:cs="Courier New" w:eastAsia="Courier New" w:hAnsi="Courier New"/>
          <w:sz w:val="15"/>
          <w:szCs w:val="15"/>
          <w:color w:val="auto"/>
        </w:rPr>
        <w:t>10.23</w:t>
        <w:tab/>
        <w:t>Loan Agreement between Itron, Inc. And Wells Fargo Bank, National Association dated February 15, 2002.</w:t>
      </w:r>
    </w:p>
    <w:p>
      <w:pPr>
        <w:spacing w:after="0" w:line="176" w:lineRule="exact"/>
        <w:rPr>
          <w:sz w:val="20"/>
          <w:szCs w:val="20"/>
          <w:color w:val="auto"/>
        </w:rPr>
      </w:pPr>
    </w:p>
    <w:p>
      <w:pPr>
        <w:ind w:left="728" w:right="939" w:hanging="637"/>
        <w:spacing w:after="0" w:line="243" w:lineRule="auto"/>
        <w:tabs>
          <w:tab w:leader="none" w:pos="7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 Subsidiaries of the Registrant Independent Auditors' Consent Financial Data Schedule.</w:t>
      </w:r>
    </w:p>
    <w:p>
      <w:pPr>
        <w:spacing w:after="0" w:line="175" w:lineRule="exact"/>
        <w:rPr>
          <w:sz w:val="20"/>
          <w:szCs w:val="20"/>
          <w:color w:val="auto"/>
        </w:rPr>
      </w:pPr>
    </w:p>
    <w:p>
      <w:pPr>
        <w:ind w:left="728" w:hanging="637"/>
        <w:spacing w:after="0"/>
        <w:tabs>
          <w:tab w:leader="none" w:pos="72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76" w:lineRule="exact"/>
        <w:rPr>
          <w:rFonts w:ascii="Courier New" w:cs="Courier New" w:eastAsia="Courier New" w:hAnsi="Courier New"/>
          <w:sz w:val="15"/>
          <w:szCs w:val="15"/>
          <w:color w:val="auto"/>
        </w:rPr>
      </w:pPr>
    </w:p>
    <w:p>
      <w:pPr>
        <w:ind w:left="728" w:hanging="637"/>
        <w:spacing w:after="0"/>
        <w:tabs>
          <w:tab w:leader="none" w:pos="72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368" w:right="3279" w:hanging="368"/>
        <w:spacing w:after="0" w:line="244"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5"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6" w:lineRule="exact"/>
        <w:rPr>
          <w:rFonts w:ascii="Courier New" w:cs="Courier New" w:eastAsia="Courier New" w:hAnsi="Courier New"/>
          <w:sz w:val="15"/>
          <w:szCs w:val="15"/>
          <w:color w:val="auto"/>
        </w:rPr>
      </w:pPr>
    </w:p>
    <w:p>
      <w:pPr>
        <w:jc w:val="both"/>
        <w:ind w:left="368" w:right="3279" w:hanging="368"/>
        <w:spacing w:after="0" w:line="244"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5"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Current Report on Form 8-K dated March 18, 1997.</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1999 Annual Report on Form 10-K dated March 26,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May 15,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of Form 10-Q dated August 14,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November 14,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Report on Form 8-K dated March 1, 2002.</w:t>
      </w:r>
    </w:p>
    <w:p>
      <w:pPr>
        <w:spacing w:after="0" w:line="176"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28, 2001 for its annual meeting of shareholders held on May 16, 2001.</w:t>
      </w:r>
    </w:p>
    <w:p>
      <w:pPr>
        <w:spacing w:after="0" w:line="175"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 Management contract or compensatory plan or arrangement.</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(delta) Confidential treatment requested for a portion of this agreement.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Reports on Form 8-K:</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There were no Current Reports on Form 8-K filed during the fourth quarter of 2001.</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984" w:right="1440" w:bottom="1440" w:gutter="0" w:footer="0" w:header="0"/>
          <w:type w:val="continuous"/>
        </w:sectPr>
      </w:pPr>
    </w:p>
    <w:bookmarkStart w:id="68" w:name="page69"/>
    <w:bookmarkEnd w:id="68"/>
    <w:p>
      <w:pPr>
        <w:jc w:val="center"/>
        <w:ind w:right="3192"/>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 in the City of Spokane, State of Washington, on the 28th day of March, 2002.</w:t>
      </w:r>
    </w:p>
    <w:p>
      <w:pPr>
        <w:spacing w:after="0" w:line="175"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ITRON, INC.</w:t>
      </w:r>
    </w:p>
    <w:p>
      <w:pPr>
        <w:spacing w:after="0" w:line="177" w:lineRule="exact"/>
        <w:rPr>
          <w:sz w:val="20"/>
          <w:szCs w:val="20"/>
          <w:color w:val="auto"/>
        </w:rPr>
      </w:pPr>
    </w:p>
    <w:p>
      <w:pPr>
        <w:ind w:left="4228"/>
        <w:spacing w:after="0"/>
        <w:tabs>
          <w:tab w:leader="none" w:pos="4847" w:val="left"/>
          <w:tab w:leader="none" w:pos="5307"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DAVID G. REMINGTON</w:t>
      </w:r>
    </w:p>
    <w:p>
      <w:pPr>
        <w:spacing w:after="0" w:line="4" w:lineRule="exact"/>
        <w:rPr>
          <w:sz w:val="20"/>
          <w:szCs w:val="20"/>
          <w:color w:val="auto"/>
        </w:rPr>
      </w:pPr>
    </w:p>
    <w:p>
      <w:pPr>
        <w:ind w:left="46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David G. Remington</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Vice President and Chief</w:t>
      </w:r>
    </w:p>
    <w:p>
      <w:pPr>
        <w:spacing w:after="0" w:line="3" w:lineRule="exact"/>
        <w:rPr>
          <w:sz w:val="20"/>
          <w:szCs w:val="20"/>
          <w:color w:val="auto"/>
        </w:rPr>
      </w:pPr>
    </w:p>
    <w:p>
      <w:pPr>
        <w:ind w:left="5148"/>
        <w:spacing w:after="0"/>
        <w:rPr>
          <w:sz w:val="20"/>
          <w:szCs w:val="20"/>
          <w:color w:val="auto"/>
        </w:rPr>
      </w:pPr>
      <w:r>
        <w:rPr>
          <w:rFonts w:ascii="Courier New" w:cs="Courier New" w:eastAsia="Courier New" w:hAnsi="Courier New"/>
          <w:sz w:val="15"/>
          <w:szCs w:val="15"/>
          <w:color w:val="auto"/>
        </w:rPr>
        <w:t>Financial Officer</w:t>
      </w:r>
    </w:p>
    <w:p>
      <w:pPr>
        <w:spacing w:after="0" w:line="178"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in the capacities indicated below on the 28th day of March, 2002.</w:t>
      </w:r>
    </w:p>
    <w:p>
      <w:pPr>
        <w:sectPr>
          <w:pgSz w:w="11900" w:h="16838" w:orient="portrait"/>
          <w:cols w:equalWidth="0" w:num="1">
            <w:col w:w="10227"/>
          </w:cols>
          <w:pgMar w:left="232" w:top="638" w:right="1440" w:bottom="1440" w:gutter="0" w:footer="0" w:header="0"/>
        </w:sectPr>
      </w:pPr>
    </w:p>
    <w:p>
      <w:pPr>
        <w:spacing w:after="0" w:line="175" w:lineRule="exact"/>
        <w:rPr>
          <w:sz w:val="20"/>
          <w:szCs w:val="20"/>
          <w:color w:val="auto"/>
        </w:rPr>
      </w:pPr>
    </w:p>
    <w:p>
      <w:pPr>
        <w:ind w:left="908"/>
        <w:spacing w:after="0"/>
        <w:rPr>
          <w:sz w:val="20"/>
          <w:szCs w:val="20"/>
          <w:color w:val="auto"/>
        </w:rPr>
      </w:pPr>
      <w:r>
        <w:rPr>
          <w:rFonts w:ascii="Courier New" w:cs="Courier New" w:eastAsia="Courier New" w:hAnsi="Courier New"/>
          <w:sz w:val="14"/>
          <w:szCs w:val="14"/>
          <w:color w:val="auto"/>
        </w:rPr>
        <w:t>Signature</w:t>
      </w:r>
    </w:p>
    <w:p>
      <w:pPr>
        <w:spacing w:after="0" w:line="15" w:lineRule="exact"/>
        <w:rPr>
          <w:sz w:val="20"/>
          <w:szCs w:val="20"/>
          <w:color w:val="auto"/>
        </w:rPr>
      </w:pPr>
    </w:p>
    <w:p>
      <w:pPr>
        <w:ind w:left="90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3068" w:space="720"/>
            <w:col w:w="6439"/>
          </w:cols>
          <w:pgMar w:left="232" w:top="638" w:right="1440" w:bottom="1440" w:gutter="0" w:footer="0" w:header="0"/>
          <w:type w:val="continuous"/>
        </w:sectPr>
      </w:pPr>
    </w:p>
    <w:p>
      <w:pPr>
        <w:ind w:left="368"/>
        <w:spacing w:after="0"/>
        <w:tabs>
          <w:tab w:leader="none" w:pos="787" w:val="left"/>
        </w:tabs>
        <w:rPr>
          <w:sz w:val="20"/>
          <w:szCs w:val="20"/>
          <w:color w:val="auto"/>
        </w:rPr>
      </w:pPr>
      <w:r>
        <w:rPr>
          <w:rFonts w:ascii="Courier New" w:cs="Courier New" w:eastAsia="Courier New" w:hAnsi="Courier New"/>
          <w:sz w:val="15"/>
          <w:szCs w:val="15"/>
          <w:color w:val="auto"/>
        </w:rPr>
        <w:t>/S/</w:t>
        <w:tab/>
        <w:t>S. EDWARD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4" w:lineRule="exact"/>
        <w:rPr>
          <w:sz w:val="20"/>
          <w:szCs w:val="20"/>
          <w:color w:val="auto"/>
        </w:rPr>
      </w:pPr>
    </w:p>
    <w:p>
      <w:pPr>
        <w:sectPr>
          <w:pgSz w:w="11900" w:h="16838" w:orient="portrait"/>
          <w:cols w:equalWidth="0" w:num="2">
            <w:col w:w="2348" w:space="720"/>
            <w:col w:w="7159"/>
          </w:cols>
          <w:pgMar w:left="232" w:top="638" w:right="1440" w:bottom="1440" w:gutter="0" w:footer="0" w:header="0"/>
          <w:type w:val="continuous"/>
        </w:sect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6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 Edward White</w:t>
      </w:r>
    </w:p>
    <w:p>
      <w:pPr>
        <w:sectPr>
          <w:pgSz w:w="11900" w:h="16838" w:orient="portrait"/>
          <w:cols w:equalWidth="0" w:num="1">
            <w:col w:w="10227"/>
          </w:cols>
          <w:pgMar w:left="232" w:top="638" w:right="1440" w:bottom="1440" w:gutter="0" w:footer="0" w:header="0"/>
          <w:type w:val="continuous"/>
        </w:sectPr>
      </w:pPr>
    </w:p>
    <w:p>
      <w:pPr>
        <w:spacing w:after="0" w:line="177" w:lineRule="exact"/>
        <w:rPr>
          <w:sz w:val="20"/>
          <w:szCs w:val="20"/>
          <w:color w:val="auto"/>
        </w:rPr>
      </w:pPr>
    </w:p>
    <w:p>
      <w:pPr>
        <w:ind w:left="268"/>
        <w:spacing w:after="0"/>
        <w:tabs>
          <w:tab w:leader="none" w:pos="707" w:val="left"/>
        </w:tabs>
        <w:rPr>
          <w:sz w:val="20"/>
          <w:szCs w:val="20"/>
          <w:color w:val="auto"/>
        </w:rPr>
      </w:pPr>
      <w:r>
        <w:rPr>
          <w:rFonts w:ascii="Courier New" w:cs="Courier New" w:eastAsia="Courier New" w:hAnsi="Courier New"/>
          <w:sz w:val="15"/>
          <w:szCs w:val="15"/>
          <w:color w:val="auto"/>
        </w:rPr>
        <w:t>/S/</w:t>
        <w:tab/>
        <w:t>LEROY D. NOSBAUM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LeRoy D. Nosbaum</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and</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Director (Principal</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Executive Officer)</w:t>
      </w:r>
    </w:p>
    <w:p>
      <w:pPr>
        <w:spacing w:after="0" w:line="177" w:lineRule="exact"/>
        <w:rPr>
          <w:sz w:val="20"/>
          <w:szCs w:val="20"/>
          <w:color w:val="auto"/>
        </w:rPr>
      </w:pPr>
    </w:p>
    <w:p>
      <w:pPr>
        <w:sectPr>
          <w:pgSz w:w="11900" w:h="16838" w:orient="portrait"/>
          <w:cols w:equalWidth="0" w:num="2">
            <w:col w:w="2788" w:space="0"/>
            <w:col w:w="7439"/>
          </w:cols>
          <w:pgMar w:left="232" w:top="638" w:right="1440" w:bottom="1440" w:gutter="0" w:footer="0" w:header="0"/>
          <w:type w:val="continuous"/>
        </w:sectPr>
      </w:pPr>
    </w:p>
    <w:p>
      <w:pPr>
        <w:ind w:left="268"/>
        <w:spacing w:after="0"/>
        <w:tabs>
          <w:tab w:leader="none" w:pos="707" w:val="left"/>
          <w:tab w:leader="none" w:pos="2687" w:val="left"/>
        </w:tabs>
        <w:rPr>
          <w:sz w:val="20"/>
          <w:szCs w:val="20"/>
          <w:color w:val="auto"/>
        </w:rPr>
      </w:pPr>
      <w:r>
        <w:rPr>
          <w:rFonts w:ascii="Courier New" w:cs="Courier New" w:eastAsia="Courier New" w:hAnsi="Courier New"/>
          <w:sz w:val="15"/>
          <w:szCs w:val="15"/>
          <w:color w:val="auto"/>
        </w:rPr>
        <w:t>/S/</w:t>
        <w:tab/>
        <w:t>ROBERT D. NEILSON</w:t>
      </w:r>
      <w:r>
        <w:rPr>
          <w:sz w:val="20"/>
          <w:szCs w:val="20"/>
          <w:color w:val="auto"/>
        </w:rPr>
        <w:tab/>
      </w:r>
      <w:r>
        <w:rPr>
          <w:rFonts w:ascii="Courier New" w:cs="Courier New" w:eastAsia="Courier New" w:hAnsi="Courier New"/>
          <w:sz w:val="15"/>
          <w:szCs w:val="15"/>
          <w:color w:val="auto"/>
        </w:rPr>
        <w:t>President and Chief Operating</w:t>
      </w:r>
    </w:p>
    <w:p>
      <w:pPr>
        <w:spacing w:after="0" w:line="3" w:lineRule="exact"/>
        <w:rPr>
          <w:sz w:val="20"/>
          <w:szCs w:val="20"/>
          <w:color w:val="auto"/>
        </w:rPr>
      </w:pPr>
    </w:p>
    <w:p>
      <w:pPr>
        <w:ind w:left="8"/>
        <w:spacing w:after="0"/>
        <w:tabs>
          <w:tab w:leader="none" w:pos="394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Officer</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Robert D. Neilson</w:t>
      </w:r>
    </w:p>
    <w:p>
      <w:pPr>
        <w:sectPr>
          <w:pgSz w:w="11900" w:h="16838" w:orient="portrait"/>
          <w:cols w:equalWidth="0" w:num="1">
            <w:col w:w="10227"/>
          </w:cols>
          <w:pgMar w:left="232" w:top="638" w:right="1440" w:bottom="1440" w:gutter="0" w:footer="0" w:header="0"/>
          <w:type w:val="continuous"/>
        </w:sectPr>
      </w:pPr>
    </w:p>
    <w:p>
      <w:pPr>
        <w:spacing w:after="0" w:line="177" w:lineRule="exact"/>
        <w:rPr>
          <w:sz w:val="20"/>
          <w:szCs w:val="20"/>
          <w:color w:val="auto"/>
        </w:rPr>
      </w:pPr>
    </w:p>
    <w:p>
      <w:pPr>
        <w:ind w:left="188"/>
        <w:spacing w:after="0"/>
        <w:tabs>
          <w:tab w:leader="none" w:pos="607" w:val="left"/>
        </w:tabs>
        <w:rPr>
          <w:sz w:val="20"/>
          <w:szCs w:val="20"/>
          <w:color w:val="auto"/>
        </w:rPr>
      </w:pPr>
      <w:r>
        <w:rPr>
          <w:rFonts w:ascii="Courier New" w:cs="Courier New" w:eastAsia="Courier New" w:hAnsi="Courier New"/>
          <w:sz w:val="15"/>
          <w:szCs w:val="15"/>
          <w:color w:val="auto"/>
        </w:rPr>
        <w:t>/S/</w:t>
        <w:tab/>
        <w:t>DAVID G. REMINGTON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David G. Remington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4"/>
          <w:szCs w:val="14"/>
          <w:color w:val="auto"/>
        </w:rPr>
        <w:t>Vice President and Chief</w:t>
      </w:r>
    </w:p>
    <w:p>
      <w:pPr>
        <w:spacing w:after="0" w:line="14"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Officer (Principal</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Financial and Accounting</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Officer)</w:t>
      </w:r>
    </w:p>
    <w:p>
      <w:pPr>
        <w:spacing w:after="0" w:line="177" w:lineRule="exact"/>
        <w:rPr>
          <w:sz w:val="20"/>
          <w:szCs w:val="20"/>
          <w:color w:val="auto"/>
        </w:rPr>
      </w:pPr>
    </w:p>
    <w:p>
      <w:pPr>
        <w:sectPr>
          <w:pgSz w:w="11900" w:h="16838" w:orient="portrait"/>
          <w:cols w:equalWidth="0" w:num="2">
            <w:col w:w="2788" w:space="100"/>
            <w:col w:w="7339"/>
          </w:cols>
          <w:pgMar w:left="232" w:top="638" w:right="1440" w:bottom="1440" w:gutter="0" w:footer="0" w:header="0"/>
          <w:type w:val="continuous"/>
        </w:sectPr>
      </w:pPr>
    </w:p>
    <w:p>
      <w:pPr>
        <w:spacing w:after="0" w:line="1" w:lineRule="exact"/>
        <w:rPr>
          <w:sz w:val="20"/>
          <w:szCs w:val="20"/>
          <w:color w:val="auto"/>
        </w:rPr>
      </w:pPr>
    </w:p>
    <w:p>
      <w:pPr>
        <w:ind w:left="268"/>
        <w:spacing w:after="0"/>
        <w:tabs>
          <w:tab w:leader="none" w:pos="707" w:val="left"/>
        </w:tabs>
        <w:rPr>
          <w:sz w:val="20"/>
          <w:szCs w:val="20"/>
          <w:color w:val="auto"/>
        </w:rPr>
      </w:pPr>
      <w:r>
        <w:rPr>
          <w:rFonts w:ascii="Courier New" w:cs="Courier New" w:eastAsia="Courier New" w:hAnsi="Courier New"/>
          <w:sz w:val="14"/>
          <w:szCs w:val="14"/>
          <w:color w:val="auto"/>
        </w:rPr>
        <w:t>/S/</w:t>
        <w:tab/>
        <w:t>MICHAEL B. BRACY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sectPr>
          <w:pgSz w:w="11900" w:h="16838" w:orient="portrait"/>
          <w:cols w:equalWidth="0" w:num="2">
            <w:col w:w="2888" w:space="720"/>
            <w:col w:w="6619"/>
          </w:cols>
          <w:pgMar w:left="232" w:top="638" w:right="1440" w:bottom="1440" w:gutter="0" w:footer="0" w:header="0"/>
          <w:type w:val="continuous"/>
        </w:sectPr>
      </w:pPr>
    </w:p>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Bracy</w:t>
      </w:r>
    </w:p>
    <w:p>
      <w:pPr>
        <w:spacing w:after="0" w:line="177" w:lineRule="exact"/>
        <w:rPr>
          <w:sz w:val="20"/>
          <w:szCs w:val="20"/>
          <w:color w:val="auto"/>
        </w:rPr>
      </w:pPr>
    </w:p>
    <w:p>
      <w:pPr>
        <w:ind w:left="188"/>
        <w:spacing w:after="0"/>
        <w:tabs>
          <w:tab w:leader="none" w:pos="607" w:val="left"/>
          <w:tab w:leader="none" w:pos="3587" w:val="left"/>
        </w:tabs>
        <w:rPr>
          <w:sz w:val="20"/>
          <w:szCs w:val="20"/>
          <w:color w:val="auto"/>
        </w:rPr>
      </w:pPr>
      <w:r>
        <w:rPr>
          <w:rFonts w:ascii="Courier New" w:cs="Courier New" w:eastAsia="Courier New" w:hAnsi="Courier New"/>
          <w:sz w:val="15"/>
          <w:szCs w:val="15"/>
          <w:color w:val="auto"/>
        </w:rPr>
        <w:t>/S/</w:t>
        <w:tab/>
        <w:t>MICHAEL J. CHESSER</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Chesser</w:t>
      </w:r>
    </w:p>
    <w:p>
      <w:pPr>
        <w:spacing w:after="0" w:line="177" w:lineRule="exact"/>
        <w:rPr>
          <w:sz w:val="20"/>
          <w:szCs w:val="20"/>
          <w:color w:val="auto"/>
        </w:rPr>
      </w:pPr>
    </w:p>
    <w:p>
      <w:pPr>
        <w:ind w:left="268"/>
        <w:spacing w:after="0"/>
        <w:tabs>
          <w:tab w:leader="none" w:pos="707" w:val="left"/>
          <w:tab w:leader="none" w:pos="3587" w:val="left"/>
        </w:tabs>
        <w:rPr>
          <w:sz w:val="20"/>
          <w:szCs w:val="20"/>
          <w:color w:val="auto"/>
        </w:rPr>
      </w:pPr>
      <w:r>
        <w:rPr>
          <w:rFonts w:ascii="Courier New" w:cs="Courier New" w:eastAsia="Courier New" w:hAnsi="Courier New"/>
          <w:sz w:val="15"/>
          <w:szCs w:val="15"/>
          <w:color w:val="auto"/>
        </w:rPr>
        <w:t>/S/</w:t>
        <w:tab/>
        <w:t>TED C. DEMERRITT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Ted C. DeMerritt</w:t>
      </w:r>
    </w:p>
    <w:p>
      <w:pPr>
        <w:spacing w:after="0" w:line="177" w:lineRule="exact"/>
        <w:rPr>
          <w:sz w:val="20"/>
          <w:szCs w:val="20"/>
          <w:color w:val="auto"/>
        </w:rPr>
      </w:pPr>
    </w:p>
    <w:p>
      <w:pPr>
        <w:ind w:left="368"/>
        <w:spacing w:after="0"/>
        <w:tabs>
          <w:tab w:leader="none" w:pos="787" w:val="left"/>
          <w:tab w:leader="none" w:pos="3587" w:val="left"/>
        </w:tabs>
        <w:rPr>
          <w:sz w:val="20"/>
          <w:szCs w:val="20"/>
          <w:color w:val="auto"/>
        </w:rPr>
      </w:pPr>
      <w:r>
        <w:rPr>
          <w:rFonts w:ascii="Courier New" w:cs="Courier New" w:eastAsia="Courier New" w:hAnsi="Courier New"/>
          <w:sz w:val="15"/>
          <w:szCs w:val="15"/>
          <w:color w:val="auto"/>
        </w:rPr>
        <w:t>/S/</w:t>
        <w:tab/>
        <w:t>JON E. ELIASSEN</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Jon E. Eliassen</w:t>
      </w:r>
    </w:p>
    <w:p>
      <w:pPr>
        <w:spacing w:after="0" w:line="177" w:lineRule="exact"/>
        <w:rPr>
          <w:sz w:val="20"/>
          <w:szCs w:val="20"/>
          <w:color w:val="auto"/>
        </w:rPr>
      </w:pPr>
    </w:p>
    <w:p>
      <w:pPr>
        <w:ind w:left="188"/>
        <w:spacing w:after="0"/>
        <w:tabs>
          <w:tab w:leader="none" w:pos="607" w:val="left"/>
          <w:tab w:leader="none" w:pos="3587" w:val="left"/>
        </w:tabs>
        <w:rPr>
          <w:sz w:val="20"/>
          <w:szCs w:val="20"/>
          <w:color w:val="auto"/>
        </w:rPr>
      </w:pPr>
      <w:r>
        <w:rPr>
          <w:rFonts w:ascii="Courier New" w:cs="Courier New" w:eastAsia="Courier New" w:hAnsi="Courier New"/>
          <w:sz w:val="15"/>
          <w:szCs w:val="15"/>
          <w:color w:val="auto"/>
        </w:rPr>
        <w:t>/S/</w:t>
        <w:tab/>
        <w:t>THOMAS S. GLANVILLE</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S. Glanville</w:t>
      </w:r>
    </w:p>
    <w:p>
      <w:pPr>
        <w:spacing w:after="0" w:line="177" w:lineRule="exact"/>
        <w:rPr>
          <w:sz w:val="20"/>
          <w:szCs w:val="20"/>
          <w:color w:val="auto"/>
        </w:rPr>
      </w:pPr>
    </w:p>
    <w:p>
      <w:pPr>
        <w:ind w:left="368"/>
        <w:spacing w:after="0"/>
        <w:tabs>
          <w:tab w:leader="none" w:pos="787" w:val="left"/>
          <w:tab w:leader="none" w:pos="3587" w:val="left"/>
        </w:tabs>
        <w:rPr>
          <w:sz w:val="20"/>
          <w:szCs w:val="20"/>
          <w:color w:val="auto"/>
        </w:rPr>
      </w:pPr>
      <w:r>
        <w:rPr>
          <w:rFonts w:ascii="Courier New" w:cs="Courier New" w:eastAsia="Courier New" w:hAnsi="Courier New"/>
          <w:sz w:val="15"/>
          <w:szCs w:val="15"/>
          <w:color w:val="auto"/>
        </w:rPr>
        <w:t>/S/</w:t>
        <w:tab/>
        <w:t>MARY ANN PETERS</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Mary Ann Peters</w:t>
      </w:r>
    </w:p>
    <w:p>
      <w:pPr>
        <w:spacing w:after="0" w:line="177" w:lineRule="exact"/>
        <w:rPr>
          <w:sz w:val="20"/>
          <w:szCs w:val="20"/>
          <w:color w:val="auto"/>
        </w:rPr>
      </w:pPr>
    </w:p>
    <w:p>
      <w:pPr>
        <w:ind w:left="268"/>
        <w:spacing w:after="0"/>
        <w:tabs>
          <w:tab w:leader="none" w:pos="707" w:val="left"/>
          <w:tab w:leader="none" w:pos="3587" w:val="left"/>
        </w:tabs>
        <w:rPr>
          <w:sz w:val="20"/>
          <w:szCs w:val="20"/>
          <w:color w:val="auto"/>
        </w:rPr>
      </w:pPr>
      <w:r>
        <w:rPr>
          <w:rFonts w:ascii="Courier New" w:cs="Courier New" w:eastAsia="Courier New" w:hAnsi="Courier New"/>
          <w:sz w:val="15"/>
          <w:szCs w:val="15"/>
          <w:color w:val="auto"/>
        </w:rPr>
        <w:t>/S/</w:t>
        <w:tab/>
        <w:t>GRAHAM M. WILSON</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Graham M. Wilson</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638"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Schedule II:</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w w:val="99"/>
              </w:rPr>
              <w:t>VALUATION AND QUALIFYING</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ACCOUNTS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Balance at end</w:t>
            </w:r>
          </w:p>
        </w:tc>
      </w:tr>
      <w:tr>
        <w:trPr>
          <w:trHeight w:val="173"/>
        </w:trPr>
        <w:tc>
          <w:tcPr>
            <w:tcW w:w="1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Additions</w:t>
            </w:r>
          </w:p>
        </w:tc>
        <w:tc>
          <w:tcPr>
            <w:tcW w:w="20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of period</w:t>
            </w:r>
          </w:p>
        </w:tc>
      </w:tr>
      <w:tr>
        <w:trPr>
          <w:trHeight w:val="173"/>
        </w:trPr>
        <w:tc>
          <w:tcPr>
            <w:tcW w:w="1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8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w w:val="99"/>
              </w:rPr>
              <w:t>--------------------- -------------------</w:t>
            </w:r>
          </w:p>
        </w:tc>
      </w:tr>
      <w:tr>
        <w:trPr>
          <w:trHeight w:val="173"/>
        </w:trPr>
        <w:tc>
          <w:tcPr>
            <w:tcW w:w="1160" w:type="dxa"/>
            <w:vAlign w:val="bottom"/>
          </w:tcPr>
          <w:p>
            <w:pPr>
              <w:spacing w:after="0"/>
              <w:rPr>
                <w:sz w:val="15"/>
                <w:szCs w:val="15"/>
                <w:color w:val="auto"/>
              </w:rPr>
            </w:pPr>
          </w:p>
        </w:tc>
        <w:tc>
          <w:tcPr>
            <w:tcW w:w="4020" w:type="dxa"/>
            <w:vAlign w:val="bottom"/>
            <w:gridSpan w:val="3"/>
          </w:tcPr>
          <w:p>
            <w:pPr>
              <w:ind w:left="2080"/>
              <w:spacing w:after="0"/>
              <w:rPr>
                <w:sz w:val="20"/>
                <w:szCs w:val="20"/>
                <w:color w:val="auto"/>
              </w:rPr>
            </w:pPr>
            <w:r>
              <w:rPr>
                <w:rFonts w:ascii="Courier New" w:cs="Courier New" w:eastAsia="Courier New" w:hAnsi="Courier New"/>
                <w:sz w:val="15"/>
                <w:szCs w:val="15"/>
                <w:color w:val="auto"/>
              </w:rPr>
              <w:t>Balance at Charged to</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3060" w:type="dxa"/>
            <w:vAlign w:val="bottom"/>
            <w:gridSpan w:val="2"/>
          </w:tcPr>
          <w:p>
            <w:pPr>
              <w:ind w:left="2080"/>
              <w:spacing w:after="0"/>
              <w:rPr>
                <w:sz w:val="20"/>
                <w:szCs w:val="20"/>
                <w:color w:val="auto"/>
              </w:rPr>
            </w:pPr>
            <w:r>
              <w:rPr>
                <w:rFonts w:ascii="Courier New" w:cs="Courier New" w:eastAsia="Courier New" w:hAnsi="Courier New"/>
                <w:sz w:val="15"/>
                <w:szCs w:val="15"/>
                <w:color w:val="auto"/>
              </w:rPr>
              <w:t>beginning</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costs and</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of</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expenses</w:t>
            </w:r>
          </w:p>
        </w:tc>
        <w:tc>
          <w:tcPr>
            <w:tcW w:w="292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Deductions Current Non current</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260" w:type="dxa"/>
            <w:vAlign w:val="bottom"/>
          </w:tcPr>
          <w:p>
            <w:pPr>
              <w:spacing w:after="0"/>
              <w:rPr>
                <w:sz w:val="15"/>
                <w:szCs w:val="15"/>
                <w:color w:val="auto"/>
              </w:rPr>
            </w:pPr>
          </w:p>
        </w:tc>
        <w:tc>
          <w:tcPr>
            <w:tcW w:w="4680" w:type="dxa"/>
            <w:vAlign w:val="bottom"/>
            <w:gridSpan w:val="6"/>
          </w:tcPr>
          <w:p>
            <w:pPr>
              <w:spacing w:after="0"/>
              <w:rPr>
                <w:sz w:val="20"/>
                <w:szCs w:val="20"/>
                <w:color w:val="auto"/>
              </w:rPr>
            </w:pPr>
            <w:r>
              <w:rPr>
                <w:rFonts w:ascii="Courier New" w:cs="Courier New" w:eastAsia="Courier New" w:hAnsi="Courier New"/>
                <w:sz w:val="15"/>
                <w:szCs w:val="15"/>
                <w:color w:val="auto"/>
                <w:w w:val="99"/>
              </w:rPr>
              <w:t>---------- ---------- ---------- ------- -----------</w:t>
            </w:r>
          </w:p>
        </w:tc>
      </w:tr>
      <w:tr>
        <w:trPr>
          <w:trHeight w:val="173"/>
        </w:trPr>
        <w:tc>
          <w:tcPr>
            <w:tcW w:w="1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72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 in thousands)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1999:</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Inventory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obsolescence..........</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$4,766</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Short and</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long-term warranty....</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5,946</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4,801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6,062</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800</w:t>
            </w: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Allowance</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for doubtful accounts.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1,485</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4,808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1,311</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2000:</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Inventory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obsolescence..........</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$3,370</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Short and</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long-term warranty....</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6,862</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3,572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5,008</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726</w:t>
            </w: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Allowance</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for doubtful accounts.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1,311</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1,144</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2001:</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Inventory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obsolescence..........</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$3,776</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Short and</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long-term warranty....</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5,734</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3,229</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3,098</w:t>
            </w:r>
          </w:p>
        </w:tc>
      </w:tr>
      <w:tr>
        <w:trPr>
          <w:trHeight w:val="173"/>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Allowance</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for doubtful accounts.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1,144</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520"/>
        </w:trPr>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70" w:name="page71"/>
    <w:bookmarkEnd w:id="70"/>
    <w:p>
      <w:pPr>
        <w:ind w:left="278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3320" w:space="720"/>
            <w:col w:w="6179"/>
          </w:cols>
          <w:pgMar w:left="240" w:top="638" w:right="1440" w:bottom="1440" w:gutter="0" w:footer="0" w:header="0"/>
          <w:type w:val="continuous"/>
        </w:sectPr>
      </w:pPr>
    </w:p>
    <w:p>
      <w:pPr>
        <w:ind w:left="260"/>
        <w:spacing w:after="0"/>
        <w:tabs>
          <w:tab w:leader="none" w:pos="700" w:val="left"/>
        </w:tabs>
        <w:rPr>
          <w:sz w:val="20"/>
          <w:szCs w:val="20"/>
          <w:color w:val="auto"/>
        </w:rPr>
      </w:pPr>
      <w:r>
        <w:rPr>
          <w:rFonts w:ascii="Courier New" w:cs="Courier New" w:eastAsia="Courier New" w:hAnsi="Courier New"/>
          <w:sz w:val="15"/>
          <w:szCs w:val="15"/>
          <w:color w:val="auto"/>
        </w:rPr>
        <w:t>3.1</w:t>
        <w:tab/>
        <w:t>Restated Articles of Incorporation of the Registrant. (A) (Exhibit 3.1)</w:t>
      </w:r>
    </w:p>
    <w:p>
      <w:pPr>
        <w:spacing w:after="0" w:line="177" w:lineRule="exact"/>
        <w:rPr>
          <w:sz w:val="20"/>
          <w:szCs w:val="20"/>
          <w:color w:val="auto"/>
        </w:rPr>
      </w:pPr>
    </w:p>
    <w:p>
      <w:pPr>
        <w:ind w:left="260"/>
        <w:spacing w:after="0"/>
        <w:tabs>
          <w:tab w:leader="none" w:pos="7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Restated Bylaws of the Registrant. (A) (Exhibit 3.2)</w:t>
      </w:r>
    </w:p>
    <w:p>
      <w:pPr>
        <w:spacing w:after="0" w:line="178" w:lineRule="exact"/>
        <w:rPr>
          <w:sz w:val="20"/>
          <w:szCs w:val="20"/>
          <w:color w:val="auto"/>
        </w:rPr>
      </w:pPr>
    </w:p>
    <w:p>
      <w:pPr>
        <w:ind w:left="720" w:right="1219" w:hanging="450"/>
        <w:spacing w:after="0" w:line="243" w:lineRule="auto"/>
        <w:tabs>
          <w:tab w:leader="none" w:pos="700" w:val="left"/>
        </w:tabs>
        <w:rPr>
          <w:sz w:val="20"/>
          <w:szCs w:val="20"/>
          <w:color w:val="auto"/>
        </w:rPr>
      </w:pPr>
      <w:r>
        <w:rPr>
          <w:rFonts w:ascii="Courier New" w:cs="Courier New" w:eastAsia="Courier New" w:hAnsi="Courier New"/>
          <w:sz w:val="15"/>
          <w:szCs w:val="15"/>
          <w:color w:val="auto"/>
        </w:rPr>
        <w:t>4.1</w:t>
        <w:tab/>
        <w:t>Rights Agreement between the Registrant and Chemical Trust Company of California dated as of July 15, 1992. (A) (Exhibit 4.1)</w:t>
      </w:r>
    </w:p>
    <w:p>
      <w:pPr>
        <w:spacing w:after="0" w:line="176" w:lineRule="exact"/>
        <w:rPr>
          <w:sz w:val="20"/>
          <w:szCs w:val="20"/>
          <w:color w:val="auto"/>
        </w:rPr>
      </w:pPr>
    </w:p>
    <w:p>
      <w:pPr>
        <w:ind w:left="720" w:right="1479" w:hanging="450"/>
        <w:spacing w:after="0" w:line="243" w:lineRule="auto"/>
        <w:tabs>
          <w:tab w:leader="none" w:pos="700" w:val="left"/>
        </w:tabs>
        <w:rPr>
          <w:sz w:val="20"/>
          <w:szCs w:val="20"/>
          <w:color w:val="auto"/>
        </w:rPr>
      </w:pPr>
      <w:r>
        <w:rPr>
          <w:rFonts w:ascii="Courier New" w:cs="Courier New" w:eastAsia="Courier New" w:hAnsi="Courier New"/>
          <w:sz w:val="15"/>
          <w:szCs w:val="15"/>
          <w:color w:val="auto"/>
        </w:rPr>
        <w:t>4.2</w:t>
        <w:tab/>
        <w:t>Indenture dated as of March 12, 1997 between the Registrant and Chemical Trust Company of California, as trustee. (F) (Exhibit 4.1)</w:t>
      </w:r>
    </w:p>
    <w:p>
      <w:pPr>
        <w:spacing w:after="0" w:line="175"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10.1</w:t>
        <w:tab/>
        <w:t>Form of Change of Control Agreement between Registrant and certain of its executive officers. (G)</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(Exhibit 10.1)</w:t>
      </w:r>
    </w:p>
    <w:p>
      <w:pPr>
        <w:spacing w:after="0" w:line="178" w:lineRule="exact"/>
        <w:rPr>
          <w:sz w:val="20"/>
          <w:szCs w:val="20"/>
          <w:color w:val="auto"/>
        </w:rPr>
      </w:pPr>
    </w:p>
    <w:p>
      <w:pPr>
        <w:ind w:left="720" w:right="1299" w:hanging="54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10.2</w:t>
        <w:tab/>
        <w:t>Schedule of certain executive officers who are parties to Change of Control Agreements (see Exhibit 10.1 hereto) with the Registrant.</w:t>
      </w:r>
    </w:p>
    <w:p>
      <w:pPr>
        <w:spacing w:after="0" w:line="175"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Form of Confidentiality Agreement normally entered into with employees. (A) (Exhibit 10.7)</w:t>
      </w:r>
    </w:p>
    <w:p>
      <w:pPr>
        <w:spacing w:after="0" w:line="178" w:lineRule="exact"/>
        <w:rPr>
          <w:sz w:val="20"/>
          <w:szCs w:val="20"/>
          <w:color w:val="auto"/>
        </w:rPr>
      </w:pPr>
    </w:p>
    <w:p>
      <w:pPr>
        <w:ind w:left="720" w:right="1039" w:hanging="54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10.4</w:t>
        <w:tab/>
        <w:t>Amended and Restated Registration Rights Agreement among the Registrant and certain holders of its securities dated March 25, 1996 (D) (Exhibit 10.4)</w:t>
      </w:r>
    </w:p>
    <w:p>
      <w:pPr>
        <w:spacing w:after="0" w:line="175"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10.5</w:t>
        <w:tab/>
        <w:t>1989 Restated Stock Option Plan. (D) (Exhibit 10.5)</w:t>
      </w:r>
    </w:p>
    <w:p>
      <w:pPr>
        <w:spacing w:after="0" w:line="177"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1992 Restated Stock Option Plan for Nonemployee Directors. (E)</w:t>
      </w:r>
    </w:p>
    <w:p>
      <w:pPr>
        <w:spacing w:after="0" w:line="177"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Executive Deferred Compensation Plan. *(A) (Exhibit 10.12)</w:t>
      </w:r>
    </w:p>
    <w:p>
      <w:pPr>
        <w:spacing w:after="0" w:line="177"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10.8</w:t>
        <w:tab/>
        <w:t>Form of Indemnification Agreements between the Registrant and certain directors and officers. (G)</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(Exhibit 10.9)</w:t>
      </w:r>
    </w:p>
    <w:p>
      <w:pPr>
        <w:spacing w:after="0" w:line="178" w:lineRule="exact"/>
        <w:rPr>
          <w:sz w:val="20"/>
          <w:szCs w:val="20"/>
          <w:color w:val="auto"/>
        </w:rPr>
      </w:pPr>
    </w:p>
    <w:p>
      <w:pPr>
        <w:ind w:left="720" w:right="939" w:hanging="54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10.9</w:t>
        <w:tab/>
        <w:t>Schedule of directors and executive officers who are parties to Indemnification Agreements (see Exhibit 10.8 hereto) with the Registrant.</w:t>
      </w:r>
    </w:p>
    <w:p>
      <w:pPr>
        <w:spacing w:after="0" w:line="176" w:lineRule="exact"/>
        <w:rPr>
          <w:sz w:val="20"/>
          <w:szCs w:val="20"/>
          <w:color w:val="auto"/>
        </w:rPr>
      </w:pPr>
    </w:p>
    <w:p>
      <w:pPr>
        <w:ind w:left="720" w:right="1299" w:hanging="63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10.10</w:t>
        <w:tab/>
        <w:t>Employment Agreement between the Registrant and David G. Remington dated February 29, 1996. * (C) (Exhibit 10.16)</w:t>
      </w:r>
    </w:p>
    <w:p>
      <w:pPr>
        <w:spacing w:after="0" w:line="175"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10.11</w:t>
        <w:tab/>
        <w:t>Office Lease between the Registrant and Woodville Leasing Inc. Dated October 4, 1993. (B)</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(Exhibit 10.24)</w:t>
      </w:r>
    </w:p>
    <w:p>
      <w:pPr>
        <w:spacing w:after="0" w:line="177"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Purchase Agreement between the Registrant and Pentzer Development Corporation dated July 11,</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1995. (C) (Exhibit 10.19)</w:t>
      </w:r>
    </w:p>
    <w:p>
      <w:pPr>
        <w:spacing w:after="0" w:line="177"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10.13</w:t>
        <w:tab/>
        <w:t>Loan Agreement between Itron, Inc. and GE Capital Corporation dated January 18, 2000. (G)</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(Exhibit 10.16)</w:t>
      </w:r>
    </w:p>
    <w:p>
      <w:pPr>
        <w:spacing w:after="0" w:line="177"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4"/>
          <w:szCs w:val="14"/>
          <w:color w:val="auto"/>
        </w:rPr>
        <w:t>First Amendment to Credit Agreement dated February 28, 2000. (G) (Exhibit 10.18)</w:t>
      </w:r>
    </w:p>
    <w:p>
      <w:pPr>
        <w:spacing w:after="0" w:line="178" w:lineRule="exact"/>
        <w:rPr>
          <w:sz w:val="20"/>
          <w:szCs w:val="20"/>
          <w:color w:val="auto"/>
        </w:rPr>
      </w:pPr>
    </w:p>
    <w:p>
      <w:pPr>
        <w:ind w:left="720" w:right="1399" w:hanging="63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10.15</w:t>
        <w:tab/>
        <w:t>Asset Purchase Agreement between Itron, Inc. and DataCom Information Systems, LLC (e.g. an affiliate of Duquesne Light company) dated March 30, 2000. (H) (Exhibit 10.19)</w:t>
      </w:r>
    </w:p>
    <w:p>
      <w:pPr>
        <w:spacing w:after="0" w:line="176" w:lineRule="exact"/>
        <w:rPr>
          <w:sz w:val="20"/>
          <w:szCs w:val="20"/>
          <w:color w:val="auto"/>
        </w:rPr>
      </w:pPr>
    </w:p>
    <w:p>
      <w:pPr>
        <w:ind w:left="720" w:right="1299" w:hanging="63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10.16</w:t>
        <w:tab/>
        <w:t>Warranty and maintenance Agreement between Itron, Inc. and DataCom Information Systems, LLC dated March 30, 2000. (H) (Exhibit 10.20)</w:t>
      </w:r>
    </w:p>
    <w:p>
      <w:pPr>
        <w:spacing w:after="0" w:line="175"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Contribution Agreement between Itron, Inc. and Servatron, Inc. dated May 15, 2000. (I)</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(Exhibit 10.23)</w:t>
      </w:r>
    </w:p>
    <w:p>
      <w:pPr>
        <w:spacing w:after="0" w:line="177"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10.18</w:t>
        <w:tab/>
        <w:t>Credit Agreement between Itron, Inc. and Servatron dated June 22, 2000. (I) (Exhibit 10.23)</w:t>
      </w:r>
    </w:p>
    <w:p>
      <w:pPr>
        <w:spacing w:after="0" w:line="177"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Third Amendment to Credit Agreement dated June 30, 2000. (J) (Exhibit 10.24)</w:t>
      </w:r>
    </w:p>
    <w:p>
      <w:pPr>
        <w:spacing w:after="0" w:line="178" w:lineRule="exact"/>
        <w:rPr>
          <w:sz w:val="20"/>
          <w:szCs w:val="20"/>
          <w:color w:val="auto"/>
        </w:rPr>
      </w:pPr>
    </w:p>
    <w:p>
      <w:pPr>
        <w:ind w:left="720" w:right="1299" w:hanging="63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10.20</w:t>
        <w:tab/>
        <w:t>Agreement and Plan of Reorganization Agreement between Itron, Inc. and LineSoft Corporation dated February 14, 2002 (K) (Exhibit 2.1)</w:t>
      </w:r>
    </w:p>
    <w:p>
      <w:pPr>
        <w:spacing w:after="0" w:line="175"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10.21</w:t>
        <w:tab/>
        <w:t>2000 Stock Option Incentive Compensation Plan (L)</w:t>
      </w:r>
    </w:p>
    <w:p>
      <w:pPr>
        <w:sectPr>
          <w:pgSz w:w="11900" w:h="16838" w:orient="portrait"/>
          <w:cols w:equalWidth="0" w:num="1">
            <w:col w:w="10219"/>
          </w:cols>
          <w:pgMar w:left="240" w:top="638" w:right="1440" w:bottom="1440" w:gutter="0" w:footer="0" w:header="0"/>
          <w:type w:val="continuous"/>
        </w:sectPr>
      </w:pPr>
    </w:p>
    <w:bookmarkStart w:id="71" w:name="page72"/>
    <w:bookmarkEnd w:id="71"/>
    <w:p>
      <w:pPr>
        <w:ind w:left="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48" w:space="720"/>
            <w:col w:w="6259"/>
          </w:cols>
          <w:pgMar w:left="232" w:top="985" w:right="1440" w:bottom="1440" w:gutter="0" w:footer="0" w:header="0"/>
        </w:sectPr>
      </w:pPr>
    </w:p>
    <w:p>
      <w:pPr>
        <w:spacing w:after="0" w:line="150" w:lineRule="exact"/>
        <w:rPr>
          <w:sz w:val="20"/>
          <w:szCs w:val="20"/>
          <w:color w:val="auto"/>
        </w:rPr>
      </w:pPr>
    </w:p>
    <w:p>
      <w:pPr>
        <w:ind w:left="88"/>
        <w:spacing w:after="0"/>
        <w:tabs>
          <w:tab w:leader="none" w:pos="707"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4"/>
          <w:szCs w:val="14"/>
          <w:color w:val="auto"/>
        </w:rPr>
        <w:t>2000 Restated Stock Option Grant Program for Nonemployee Directors</w:t>
      </w:r>
    </w:p>
    <w:p>
      <w:pPr>
        <w:spacing w:after="0" w:line="178" w:lineRule="exact"/>
        <w:rPr>
          <w:sz w:val="20"/>
          <w:szCs w:val="20"/>
          <w:color w:val="auto"/>
        </w:rPr>
      </w:pPr>
    </w:p>
    <w:p>
      <w:pPr>
        <w:ind w:left="728" w:right="2019" w:hanging="630"/>
        <w:spacing w:after="0" w:line="243" w:lineRule="auto"/>
        <w:tabs>
          <w:tab w:leader="none" w:pos="707" w:val="left"/>
        </w:tabs>
        <w:rPr>
          <w:sz w:val="20"/>
          <w:szCs w:val="20"/>
          <w:color w:val="auto"/>
        </w:rPr>
      </w:pPr>
      <w:r>
        <w:rPr>
          <w:rFonts w:ascii="Courier New" w:cs="Courier New" w:eastAsia="Courier New" w:hAnsi="Courier New"/>
          <w:sz w:val="15"/>
          <w:szCs w:val="15"/>
          <w:color w:val="auto"/>
        </w:rPr>
        <w:t>10.23</w:t>
        <w:tab/>
        <w:t>Loan Agreement between Itron, Inc. And Wells Fargo Bank, National Association dated February 15, 2002.</w:t>
      </w:r>
    </w:p>
    <w:p>
      <w:pPr>
        <w:spacing w:after="0" w:line="176" w:lineRule="exact"/>
        <w:rPr>
          <w:sz w:val="20"/>
          <w:szCs w:val="20"/>
          <w:color w:val="auto"/>
        </w:rPr>
      </w:pPr>
    </w:p>
    <w:p>
      <w:pPr>
        <w:ind w:left="728" w:right="939" w:hanging="637"/>
        <w:spacing w:after="0" w:line="243" w:lineRule="auto"/>
        <w:tabs>
          <w:tab w:leader="none" w:pos="72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 Subsidiaries of the Registrant Independent Auditors' Consent Financial Data Schedule.</w:t>
      </w:r>
    </w:p>
    <w:p>
      <w:pPr>
        <w:spacing w:after="0" w:line="175" w:lineRule="exact"/>
        <w:rPr>
          <w:sz w:val="20"/>
          <w:szCs w:val="20"/>
          <w:color w:val="auto"/>
        </w:rPr>
      </w:pPr>
    </w:p>
    <w:p>
      <w:pPr>
        <w:ind w:left="728" w:hanging="637"/>
        <w:spacing w:after="0"/>
        <w:tabs>
          <w:tab w:leader="none" w:pos="72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76" w:lineRule="exact"/>
        <w:rPr>
          <w:rFonts w:ascii="Courier New" w:cs="Courier New" w:eastAsia="Courier New" w:hAnsi="Courier New"/>
          <w:sz w:val="15"/>
          <w:szCs w:val="15"/>
          <w:color w:val="auto"/>
        </w:rPr>
      </w:pPr>
    </w:p>
    <w:p>
      <w:pPr>
        <w:ind w:left="728" w:hanging="637"/>
        <w:spacing w:after="0"/>
        <w:tabs>
          <w:tab w:leader="none" w:pos="72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368" w:right="3279" w:hanging="368"/>
        <w:spacing w:after="0" w:line="244"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5"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6" w:lineRule="exact"/>
        <w:rPr>
          <w:rFonts w:ascii="Courier New" w:cs="Courier New" w:eastAsia="Courier New" w:hAnsi="Courier New"/>
          <w:sz w:val="15"/>
          <w:szCs w:val="15"/>
          <w:color w:val="auto"/>
        </w:rPr>
      </w:pPr>
    </w:p>
    <w:p>
      <w:pPr>
        <w:jc w:val="both"/>
        <w:ind w:left="368" w:right="3279" w:hanging="368"/>
        <w:spacing w:after="0" w:line="244"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5"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Current Report on Form 8-K dated March 18, 1997.</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1999 Annual Report on Form 10-K dated March 26,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May 15,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of Form 10-Q dated August 14,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November 14, 2000.</w:t>
      </w:r>
    </w:p>
    <w:p>
      <w:pPr>
        <w:spacing w:after="0" w:line="176"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Report on Form 8-K dated March 1, 2002.</w:t>
      </w:r>
    </w:p>
    <w:p>
      <w:pPr>
        <w:spacing w:after="0" w:line="176"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28, 2001 for its annual meeting of shareholders held on May 16, 2001.</w:t>
      </w:r>
    </w:p>
    <w:p>
      <w:pPr>
        <w:spacing w:after="0" w:line="175" w:lineRule="exact"/>
        <w:rPr>
          <w:sz w:val="20"/>
          <w:szCs w:val="20"/>
          <w:color w:val="auto"/>
        </w:rPr>
      </w:pPr>
    </w:p>
    <w:p>
      <w:pPr>
        <w:ind w:left="368" w:hanging="277"/>
        <w:spacing w:after="0"/>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(delta) Confidential treatment requested for a portion of this agreement.</w:t>
      </w:r>
    </w:p>
    <w:p>
      <w:pPr>
        <w:sectPr>
          <w:pgSz w:w="11900" w:h="16838" w:orient="portrait"/>
          <w:cols w:equalWidth="0" w:num="1">
            <w:col w:w="10227"/>
          </w:cols>
          <w:pgMar w:left="232" w:top="985" w:right="1440" w:bottom="1440" w:gutter="0" w:footer="0" w:header="0"/>
          <w:type w:val="continuous"/>
        </w:sectPr>
      </w:pPr>
    </w:p>
    <w:bookmarkStart w:id="72" w:name="page73"/>
    <w:bookmarkEnd w:id="72"/>
    <w:p>
      <w:pPr>
        <w:jc w:val="right"/>
        <w:ind w:right="3019"/>
        <w:spacing w:after="0"/>
        <w:rPr>
          <w:sz w:val="20"/>
          <w:szCs w:val="20"/>
          <w:color w:val="auto"/>
        </w:rPr>
      </w:pPr>
      <w:r>
        <w:rPr>
          <w:rFonts w:ascii="Courier New" w:cs="Courier New" w:eastAsia="Courier New" w:hAnsi="Courier New"/>
          <w:sz w:val="15"/>
          <w:szCs w:val="15"/>
          <w:color w:val="auto"/>
        </w:rPr>
        <w:t>Exhibit 10.2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D. Neilson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LeRoy D. Nosbaum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Remington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Jemima G. Scarpelli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A. Shepherd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A.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Russell E. Vanos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Russell N. Fairbanks,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Timothy J. Gelvin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L. Brown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Hengesh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Randi L. Neilson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Whitney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A. Cantelme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R. Dwiggins,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Douglas A. Staker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Godwin</w:t>
      </w:r>
    </w:p>
    <w:p>
      <w:pPr>
        <w:sectPr>
          <w:pgSz w:w="11900" w:h="16838" w:orient="portrait"/>
          <w:cols w:equalWidth="0" w:num="1">
            <w:col w:w="9239"/>
          </w:cols>
          <w:pgMar w:left="1220" w:top="661" w:right="1440" w:bottom="1440" w:gutter="0" w:footer="0" w:header="0"/>
        </w:sectPr>
      </w:pPr>
    </w:p>
    <w:bookmarkStart w:id="73" w:name="page74"/>
    <w:bookmarkEnd w:id="73"/>
    <w:p>
      <w:pPr>
        <w:jc w:val="right"/>
        <w:ind w:right="3019"/>
        <w:spacing w:after="0"/>
        <w:rPr>
          <w:sz w:val="20"/>
          <w:szCs w:val="20"/>
          <w:color w:val="auto"/>
        </w:rPr>
      </w:pPr>
      <w:r>
        <w:rPr>
          <w:rFonts w:ascii="Courier New" w:cs="Courier New" w:eastAsia="Courier New" w:hAnsi="Courier New"/>
          <w:sz w:val="15"/>
          <w:szCs w:val="15"/>
          <w:color w:val="auto"/>
        </w:rPr>
        <w:t>Exhibit 10.9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MariLyn R. Blair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B. Bracy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Jemima G. Scarpelli f/k/a Brennan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Jon E. Eliassen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Graham M. Wilson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Robert D. Neilson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Ted C. DeMerritt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Mary Ann Peters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Russell E. Vanos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David G. Remington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Stuart Edward White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LeRoy D. Nosbaum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Dennis A. Shepherd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A. Smith</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Deloris R. Duquette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Chesser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William L. Brown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Russell N. Fairbanks, Jr.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Timothy J. Gelvin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W. Hengesh</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Randi L. Neilson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Robert W. Whitney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A. Cantelme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Larry Eggleston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Thomas S. Glanville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R. Dwiggins, Jr.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Douglas A. Staker</w:t>
      </w:r>
    </w:p>
    <w:p>
      <w:pPr>
        <w:sectPr>
          <w:pgSz w:w="11900" w:h="16838" w:orient="portrait"/>
          <w:cols w:equalWidth="0" w:num="1">
            <w:col w:w="10219"/>
          </w:cols>
          <w:pgMar w:left="240" w:top="661" w:right="1440" w:bottom="1440" w:gutter="0" w:footer="0" w:header="0"/>
        </w:sectPr>
      </w:pPr>
    </w:p>
    <w:bookmarkStart w:id="74" w:name="page75"/>
    <w:bookmarkEnd w:id="74"/>
    <w:p>
      <w:pPr>
        <w:jc w:val="right"/>
        <w:ind w:right="3019"/>
        <w:spacing w:after="0"/>
        <w:rPr>
          <w:sz w:val="20"/>
          <w:szCs w:val="20"/>
          <w:color w:val="auto"/>
        </w:rPr>
      </w:pPr>
      <w:r>
        <w:rPr>
          <w:rFonts w:ascii="Courier New" w:cs="Courier New" w:eastAsia="Courier New" w:hAnsi="Courier New"/>
          <w:sz w:val="15"/>
          <w:szCs w:val="15"/>
          <w:color w:val="auto"/>
        </w:rPr>
        <w:t>Exhibit 10.22</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TERMS OF AMENDED AND RESTATED STOCK OPTION</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GRANT PROGRAM FOR NONEMPLOYEE DIRECTORS UNDER THE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ITRON, INC. 2000 STOCK INCENTIVE PLAN</w:t>
      </w:r>
    </w:p>
    <w:p>
      <w:pPr>
        <w:spacing w:after="0" w:line="178"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The following provisions set forth the terms of the amended and restated stock option grant program (the "Program") for nonemployee directors of Itron, Inc. (the "Company") under the Itron, Inc. 2000 Stock Incentive Plan (the "Plan"). The following terms are intended to supplement, not alter or change, the provisions of the Plan, and in the event of any inconsistency between the terms contained herein and in the Plan, the Plan shall govern. All capitalized terms that are not defined herein shall be as defined in the Plan.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Eligibility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Each elected or appointed director of the Company who is not otherwise an employee of the Company or a Related Corporation (an "Eligible Director") shall be eligible to receive Awards under the Plan, as described below.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Initial Grants</w:t>
      </w:r>
    </w:p>
    <w:p>
      <w:pPr>
        <w:spacing w:after="0" w:line="178" w:lineRule="exact"/>
        <w:rPr>
          <w:sz w:val="20"/>
          <w:szCs w:val="20"/>
          <w:color w:val="auto"/>
        </w:rPr>
      </w:pPr>
    </w:p>
    <w:p>
      <w:pPr>
        <w:ind w:right="3099" w:firstLine="443"/>
        <w:spacing w:after="0" w:line="244" w:lineRule="auto"/>
        <w:tabs>
          <w:tab w:leader="none" w:pos="81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Nonqualified Stock Option to purchase 10,000 shares of the Company's Common Stock shall be granted to each Eligible Director upon such Eligible Director's initial election or appointment to the Board (each, an "Initial Grant").</w:t>
      </w:r>
    </w:p>
    <w:p>
      <w:pPr>
        <w:spacing w:after="0" w:line="175" w:lineRule="exact"/>
        <w:rPr>
          <w:rFonts w:ascii="Courier New" w:cs="Courier New" w:eastAsia="Courier New" w:hAnsi="Courier New"/>
          <w:sz w:val="15"/>
          <w:szCs w:val="15"/>
          <w:color w:val="auto"/>
        </w:rPr>
      </w:pPr>
    </w:p>
    <w:p>
      <w:pPr>
        <w:ind w:left="440" w:right="3019" w:firstLine="3"/>
        <w:spacing w:after="0" w:line="488" w:lineRule="auto"/>
        <w:tabs>
          <w:tab w:leader="none" w:pos="8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shall be fully vested and exercisable on the Grant Date. 3. Annual Grants</w:t>
      </w:r>
    </w:p>
    <w:p>
      <w:pPr>
        <w:spacing w:after="0" w:line="3" w:lineRule="exact"/>
        <w:rPr>
          <w:sz w:val="20"/>
          <w:szCs w:val="20"/>
          <w:color w:val="auto"/>
        </w:rPr>
      </w:pPr>
    </w:p>
    <w:p>
      <w:pPr>
        <w:ind w:right="3279" w:firstLine="443"/>
        <w:spacing w:after="0" w:line="244" w:lineRule="auto"/>
        <w:tabs>
          <w:tab w:leader="none" w:pos="81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2002 Annual Shareholders' Meeting, each Eligible Director shall automatically receive a Nonqualified Stock Option to purchase 8,000 shares of Common Stock immediately following each year's Annual Meeting (each, an "Annual Grant").</w:t>
      </w:r>
    </w:p>
    <w:p>
      <w:pPr>
        <w:spacing w:after="0" w:line="175" w:lineRule="exact"/>
        <w:rPr>
          <w:rFonts w:ascii="Courier New" w:cs="Courier New" w:eastAsia="Courier New" w:hAnsi="Courier New"/>
          <w:sz w:val="15"/>
          <w:szCs w:val="15"/>
          <w:color w:val="auto"/>
        </w:rPr>
      </w:pPr>
    </w:p>
    <w:p>
      <w:pPr>
        <w:ind w:left="440" w:right="3099" w:firstLine="3"/>
        <w:spacing w:after="0" w:line="488" w:lineRule="auto"/>
        <w:tabs>
          <w:tab w:leader="none" w:pos="8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shall be fully vested and exercisable on the Grant Date. 4. Retainer Grants</w:t>
      </w:r>
    </w:p>
    <w:p>
      <w:pPr>
        <w:spacing w:after="0" w:line="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Each Eligible Director shall automatically receive, annually on or about January 1 of each year, a Stock Award of a number of shares of the Company's Common Stock having a value equal 60% of such Eligible Director's annual retainer (as such retainer is established by the Board from time to time) in lieu of cash payment of such portion of such retainer. The number of shares of Common Stock issued pursuant to such Stock Award shall be based on the Fair Market Value of such shares as defined in the Plan.</w:t>
      </w:r>
    </w:p>
    <w:p>
      <w:pPr>
        <w:sectPr>
          <w:pgSz w:w="11900" w:h="16838" w:orient="portrait"/>
          <w:cols w:equalWidth="0" w:num="1">
            <w:col w:w="10219"/>
          </w:cols>
          <w:pgMar w:left="240" w:top="661" w:right="1440" w:bottom="1440" w:gutter="0" w:footer="0" w:header="0"/>
        </w:sectPr>
      </w:pPr>
    </w:p>
    <w:bookmarkStart w:id="75" w:name="page76"/>
    <w:bookmarkEnd w:id="75"/>
    <w:p>
      <w:pPr>
        <w:ind w:left="448"/>
        <w:spacing w:after="0"/>
        <w:rPr>
          <w:sz w:val="20"/>
          <w:szCs w:val="20"/>
          <w:color w:val="auto"/>
        </w:rPr>
      </w:pPr>
      <w:r>
        <w:rPr>
          <w:rFonts w:ascii="Courier New" w:cs="Courier New" w:eastAsia="Courier New" w:hAnsi="Courier New"/>
          <w:sz w:val="15"/>
          <w:szCs w:val="15"/>
          <w:color w:val="auto"/>
        </w:rPr>
        <w:t>5. Chairman of the Board and Committee Chair Grants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addition to the foregoing Option and Stock Award Grants, commencing with the 2002 Annual Shareholders' Meeting, (a) the Chairman of the Board shall receive an additional Nonqualified Stock Option to purchase 1,250 shares of Common Stock immediately following each year's Annual Meeting, and (b) the chairman of each committee of the Board shall receive an additional Nonqualified Stock Option to purchase 1,250 shares of Common Stock immediately following each year's Annual Meeting, each such Option to be fully vested and exercisable on the Grant Date.</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6. Option Exercise Price</w:t>
      </w:r>
    </w:p>
    <w:p>
      <w:pPr>
        <w:spacing w:after="0" w:line="178" w:lineRule="exact"/>
        <w:rPr>
          <w:sz w:val="20"/>
          <w:szCs w:val="20"/>
          <w:color w:val="auto"/>
        </w:rPr>
      </w:pPr>
    </w:p>
    <w:p>
      <w:pPr>
        <w:ind w:left="8" w:right="3559" w:firstLine="451"/>
        <w:spacing w:after="0" w:line="243" w:lineRule="auto"/>
        <w:rPr>
          <w:sz w:val="20"/>
          <w:szCs w:val="20"/>
          <w:color w:val="auto"/>
        </w:rPr>
      </w:pPr>
      <w:r>
        <w:rPr>
          <w:rFonts w:ascii="Courier New" w:cs="Courier New" w:eastAsia="Courier New" w:hAnsi="Courier New"/>
          <w:sz w:val="15"/>
          <w:szCs w:val="15"/>
          <w:color w:val="auto"/>
        </w:rPr>
        <w:t>The exercise price of an Option shall be the Fair Market Value of the Common Stock on the Grant Date.</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7. Manner of Option Exercise</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An Option shall be exercised by giving the required notice to the Company, stating the number of shares of Common Stock with respect to which the Option is being exercised; provided, however, that no fewer than 100 shares (or the remaining shares then purchasable under the Option, if less than 100 shares) may be purchased upon any exercise of an Option hereunder and that only whole shares will be issued pursuant to the exercise of any Option. The notice shall be accompanied by payment in full for such Common Stock, which payment may be in whole or in part (a) in cash or check, (b) in shares of Common Stock owned by the Eligible Director for at least six months having a fair market value on the day prior to the exercise date equal to the aggregate option exercise price, or</w:t>
      </w:r>
    </w:p>
    <w:p>
      <w:pPr>
        <w:spacing w:after="0" w:line="2" w:lineRule="exact"/>
        <w:rPr>
          <w:sz w:val="20"/>
          <w:szCs w:val="20"/>
          <w:color w:val="auto"/>
        </w:rPr>
      </w:pPr>
    </w:p>
    <w:p>
      <w:pPr>
        <w:ind w:left="8" w:right="3379" w:hanging="8"/>
        <w:spacing w:after="0" w:line="244" w:lineRule="auto"/>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properly executed exercise notice, together with irrevocable instructions to a broker, to promptly deliver to the Company the amount of sale or loan proceeds to pay the exercise price, all in accordance with the regulations of the Federal Reserve Board.</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8. Term of Options</w:t>
      </w:r>
    </w:p>
    <w:p>
      <w:pPr>
        <w:spacing w:after="0" w:line="178"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Each Option shall expire ten years from the Grant Date thereof, but shall be subject to earlier termination as follows:</w:t>
      </w:r>
    </w:p>
    <w:p>
      <w:pPr>
        <w:spacing w:after="0" w:line="176" w:lineRule="exact"/>
        <w:rPr>
          <w:sz w:val="20"/>
          <w:szCs w:val="20"/>
          <w:color w:val="auto"/>
        </w:rPr>
      </w:pPr>
    </w:p>
    <w:p>
      <w:pPr>
        <w:ind w:left="8" w:right="3019" w:firstLine="443"/>
        <w:spacing w:after="0" w:line="244" w:lineRule="auto"/>
        <w:tabs>
          <w:tab w:leader="none" w:pos="81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Eligible Director ceases to be a director of the Company for any reason other than the death of the Eligible Director, the Option may be exercised by the Eligible Director only within one year after the date he or she ceases to be a director of the Company or prior to the date on which the Option expires by its terms, whichever is earlier.</w:t>
      </w:r>
    </w:p>
    <w:p>
      <w:pPr>
        <w:spacing w:after="0" w:line="176" w:lineRule="exact"/>
        <w:rPr>
          <w:rFonts w:ascii="Courier New" w:cs="Courier New" w:eastAsia="Courier New" w:hAnsi="Courier New"/>
          <w:sz w:val="15"/>
          <w:szCs w:val="15"/>
          <w:color w:val="auto"/>
        </w:rPr>
      </w:pPr>
    </w:p>
    <w:p>
      <w:pPr>
        <w:ind w:left="8" w:right="3099" w:firstLine="443"/>
        <w:spacing w:after="0" w:line="244" w:lineRule="auto"/>
        <w:tabs>
          <w:tab w:leader="none" w:pos="81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of an Eligible Director, whether during the optionee's service as a director or during the one-year period referred to in Section 8(a) the Option may be exercised only within one year after the date of death of the Eligible Director or prior to the date on which the Option expires by its terms, whichever is earlier, by the personal representative of the Eligible Director's estate, the</w:t>
      </w:r>
    </w:p>
    <w:p>
      <w:pPr>
        <w:sectPr>
          <w:pgSz w:w="11900" w:h="16838" w:orient="portrait"/>
          <w:cols w:equalWidth="0" w:num="1">
            <w:col w:w="10227"/>
          </w:cols>
          <w:pgMar w:left="232" w:top="638" w:right="1440" w:bottom="1440" w:gutter="0" w:footer="0" w:header="0"/>
        </w:sectPr>
      </w:pPr>
    </w:p>
    <w:bookmarkStart w:id="76" w:name="page77"/>
    <w:bookmarkEnd w:id="76"/>
    <w:p>
      <w:pPr>
        <w:ind w:right="3019"/>
        <w:spacing w:after="0" w:line="244" w:lineRule="auto"/>
        <w:rPr>
          <w:sz w:val="20"/>
          <w:szCs w:val="20"/>
          <w:color w:val="auto"/>
        </w:rPr>
      </w:pPr>
      <w:r>
        <w:rPr>
          <w:rFonts w:ascii="Courier New" w:cs="Courier New" w:eastAsia="Courier New" w:hAnsi="Courier New"/>
          <w:sz w:val="15"/>
          <w:szCs w:val="15"/>
          <w:color w:val="auto"/>
        </w:rPr>
        <w:t>person(s) to whom the Eligible Director's rights under the Option have passed by will or the applicable laws of descent and distribution, or the beneficiary designated pursuant to the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 Amendment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may amend the provisions contained herein in such respects as it deems advisable. Any such amendment shall not, without the consent of the Eligible Director, impair or diminish any rights of an Eligible Director or any rights of the Company under an Option.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Provisions of the Plan (including any amendments) that were not discussed above, to the extent applicable to Eligible Directors, shall continue to govern the terms and conditions of Awards granted to Eligible Directors pursuant to this Program.</w:t>
      </w:r>
    </w:p>
    <w:p>
      <w:pPr>
        <w:sectPr>
          <w:pgSz w:w="11900" w:h="16838" w:orient="portrait"/>
          <w:cols w:equalWidth="0" w:num="1">
            <w:col w:w="10219"/>
          </w:cols>
          <w:pgMar w:left="240" w:top="638" w:right="1440" w:bottom="1440" w:gutter="0" w:footer="0" w:header="0"/>
        </w:sectPr>
      </w:pPr>
    </w:p>
    <w:bookmarkStart w:id="77" w:name="page78"/>
    <w:bookmarkEnd w:id="77"/>
    <w:p>
      <w:pPr>
        <w:jc w:val="right"/>
        <w:ind w:right="3019"/>
        <w:spacing w:after="0"/>
        <w:rPr>
          <w:sz w:val="20"/>
          <w:szCs w:val="20"/>
          <w:color w:val="auto"/>
        </w:rPr>
      </w:pPr>
      <w:r>
        <w:rPr>
          <w:rFonts w:ascii="Courier New" w:cs="Courier New" w:eastAsia="Courier New" w:hAnsi="Courier New"/>
          <w:sz w:val="15"/>
          <w:szCs w:val="15"/>
          <w:color w:val="auto"/>
        </w:rPr>
        <w:t>Exhibit 10.23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CREDIT AGREEMENT</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THIS AGREEMENT is entered into as of February 15, 2002, by and between ITRON, INC., a Washington corporation ("Borrower"), and WELLS FARGO BANK, NATIONAL ASSOCIATION ("Bank").</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Borrower has requested that Bank extend or continue credit to Borrower as described below, and Bank has agreed to provide such credit to Borrower on the terms and conditions contained herein.</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NOW, THEREFORE, for valuable consideration, the receipt and sufficiency of which are hereby acknowledged, Bank and Borrower hereby agree as follows:</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CREDIT TERMS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 LINE OF CREDIT.</w:t>
      </w:r>
    </w:p>
    <w:p>
      <w:pPr>
        <w:spacing w:after="0" w:line="178" w:lineRule="exact"/>
        <w:rPr>
          <w:sz w:val="20"/>
          <w:szCs w:val="20"/>
          <w:color w:val="auto"/>
        </w:rPr>
      </w:pPr>
    </w:p>
    <w:p>
      <w:pPr>
        <w:ind w:right="3019" w:firstLine="443"/>
        <w:spacing w:after="0" w:line="244" w:lineRule="auto"/>
        <w:tabs>
          <w:tab w:leader="none" w:pos="81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 Subject to the terms and conditions of this Agreement, Bank hereby agrees to make advances under a revolving line of credit to Borrower from time to time up to and including May 31, 2003, not to exceed at any time the aggregate principal amount of Thirty Five Million Dollars ($35,000,000.00) ("Line of Credit"), the proceeds of which shall be used to finance general corporate purposes. Borrower's obligation to repay advances under the Line of Credit shall be evidenced by a promissory note substantially in the form of Exhibit "A" attached hereto ("Line of Credit Note"), all terms of which are incorporated herein by this reference.</w:t>
      </w:r>
    </w:p>
    <w:p>
      <w:pPr>
        <w:spacing w:after="0" w:line="179"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Subfeature. As a subfeature under the Line of Credit, Bank agrees from time to time during the term thereof to issue or cause an affiliate to issue commercial and standby letters of credit for the account of Borrower (each, a "Letter of Credit" and collectively, "Letters of Credit"); provided however, that the aggregate undrawn amount of all outstanding Letters of Credit shall not at any time exceed Fifteen Million Dollars ($15,000,000.00). The form and substance of each Letter of Credit shall be subject to approval by Bank, in its sole discretion. No Letter of Credit shall have an expiration date beyond the maturity date of the Line of Credit. The undrawn amount of all Letters of Credit shall be reserved under the Line of Credit and shall not be available for borrowings thereunder. Each Letter of Credit shall be subject to the additional terms and conditions of the Letter of Credit agreements, applications and any related documents required by Bank in connection with the issuance thereof. Each draft paid under a Letter of Credit shall be deemed an advance under the Line of Credit and shall be repaid by Borrower in accordance with the terms and conditions of this Agreement applicable to such advances; provided however, that if advances under the Line of Credit are not available, for any reason, at the time any draft is paid, then Borrower shall immediately pay to Bank the full amount of such draft, together with interest thereon from the date such draft is paid to the date such amount is fully repaid by Borrower, at the rate of interest applicable to advances under the Line of Credit. In such event Borrower agrees that Bank, in its</w:t>
      </w:r>
    </w:p>
    <w:p>
      <w:pPr>
        <w:spacing w:after="0" w:line="200" w:lineRule="exact"/>
        <w:rPr>
          <w:sz w:val="20"/>
          <w:szCs w:val="20"/>
          <w:color w:val="auto"/>
        </w:rPr>
      </w:pPr>
    </w:p>
    <w:p>
      <w:pPr>
        <w:spacing w:after="0" w:line="31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61" w:right="1440" w:bottom="1440" w:gutter="0" w:footer="0" w:header="0"/>
        </w:sectPr>
      </w:pPr>
    </w:p>
    <w:bookmarkStart w:id="78" w:name="page79"/>
    <w:bookmarkEnd w:id="78"/>
    <w:p>
      <w:pPr>
        <w:ind w:right="3459"/>
        <w:spacing w:after="0" w:line="243" w:lineRule="auto"/>
        <w:rPr>
          <w:sz w:val="20"/>
          <w:szCs w:val="20"/>
          <w:color w:val="auto"/>
        </w:rPr>
      </w:pPr>
      <w:r>
        <w:rPr>
          <w:rFonts w:ascii="Courier New" w:cs="Courier New" w:eastAsia="Courier New" w:hAnsi="Courier New"/>
          <w:sz w:val="15"/>
          <w:szCs w:val="15"/>
          <w:color w:val="auto"/>
        </w:rPr>
        <w:t>sole discretion, may debit any account maintained by Borrower with Bank for the amount of any such draft.</w:t>
      </w:r>
    </w:p>
    <w:p>
      <w:pPr>
        <w:spacing w:after="0" w:line="176" w:lineRule="exact"/>
        <w:rPr>
          <w:sz w:val="20"/>
          <w:szCs w:val="20"/>
          <w:color w:val="auto"/>
        </w:rPr>
      </w:pPr>
    </w:p>
    <w:p>
      <w:pPr>
        <w:ind w:right="3019" w:firstLine="443"/>
        <w:spacing w:after="0" w:line="244" w:lineRule="auto"/>
        <w:tabs>
          <w:tab w:leader="none" w:pos="81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and Repayment. Borrower may from time to time during the term of the Line of Credit borrow, partially or wholly repay its outstanding borrowings, and reborrow, subject to all of the limitations, terms and conditions contained herein or in the Line of Credit Note; provided however, that the total outstanding borrowings under the Line of Credit shall not at any time exceed the maximum aggregate principal amount available thereunder, as set forth above.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INTEREST/FEES.</w:t>
      </w:r>
    </w:p>
    <w:p>
      <w:pPr>
        <w:spacing w:after="0" w:line="178" w:lineRule="exact"/>
        <w:rPr>
          <w:sz w:val="20"/>
          <w:szCs w:val="20"/>
          <w:color w:val="auto"/>
        </w:rPr>
      </w:pPr>
    </w:p>
    <w:p>
      <w:pPr>
        <w:ind w:right="3199" w:firstLine="443"/>
        <w:spacing w:after="0" w:line="244" w:lineRule="auto"/>
        <w:tabs>
          <w:tab w:leader="none" w:pos="81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 outstanding principal balance of the Revolving Line of Credit shall bear interest, at the rate of interest set forth in the Revolving Line of Credit Note.</w:t>
      </w:r>
    </w:p>
    <w:p>
      <w:pPr>
        <w:spacing w:after="0" w:line="175" w:lineRule="exact"/>
        <w:rPr>
          <w:rFonts w:ascii="Courier New" w:cs="Courier New" w:eastAsia="Courier New" w:hAnsi="Courier New"/>
          <w:sz w:val="15"/>
          <w:szCs w:val="15"/>
          <w:color w:val="auto"/>
        </w:rPr>
      </w:pPr>
    </w:p>
    <w:p>
      <w:pPr>
        <w:ind w:right="3199" w:firstLine="443"/>
        <w:spacing w:after="0" w:line="270" w:lineRule="auto"/>
        <w:tabs>
          <w:tab w:leader="none" w:pos="81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and Payment. Interest shall be computed on the basis of a 360-day year, actual days elapsed. Interest shall be payable at the times and place set forth in each promissory note or other instrument required hereby.</w:t>
      </w:r>
    </w:p>
    <w:p>
      <w:pPr>
        <w:spacing w:after="0" w:line="158" w:lineRule="exact"/>
        <w:rPr>
          <w:rFonts w:ascii="Courier New" w:cs="Courier New" w:eastAsia="Courier New" w:hAnsi="Courier New"/>
          <w:sz w:val="14"/>
          <w:szCs w:val="14"/>
          <w:color w:val="auto"/>
        </w:rPr>
      </w:pPr>
    </w:p>
    <w:p>
      <w:pPr>
        <w:ind w:right="3279" w:firstLine="443"/>
        <w:spacing w:after="0" w:line="244" w:lineRule="auto"/>
        <w:tabs>
          <w:tab w:leader="none" w:pos="81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The term "Prime Rate" shall mean at any time the rate of interest most recently announced within Bank at its principal office as its Prime Rate, with the understanding that the Prime Rate is one of Bank's base rates and serves as the basis upon which effective rates of interest are calculated for those loans making reference thereto, and is evidenced by the recording thereof in such internal publication or publications as Bank may designate. Each change in the rate of interest shall become effective on the date each Prime Rate change is announced within Bank.</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Fee. Borrower shall pay to Bank a non-refundable commitment fee for the Revolving Line of Credit equal to $43,750.00, which fee shall be due and payable in full on the date of this Agreement.</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Unused Commitment Fee. Borrower shall pay to Bank a fee equal to one hundred twenty-five thousandths percent (.125%) per annum (computed on the basis of a 360-day year, actual days elapsed) on the average daily unused amount of the Revolving Line of Credit, which fee shall be calculated on a quarterly basis by Bank and shall be due and payable by Borrower in arrears on each April 1, June 1, October 1 and December 1.</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Fees. Borrower shall pay to Bank (i) fees upon the issuance of each standby Letter of Credit equal to nine-tenths percent (.90%) per annum (computed on the basis of a 360-day year, actual days elapsed) of the face amount thereof, (ii) fees upon the issuance of any other Letter of Credit, fees upon the payment or negotiation of each draft under any Letter of Credit and fees upon the occurrence of any other activity with respect to any Letter of Credit (including without limitation, the transfer, amendment or cancellation of any Letter of Credit) determined in accordance with Bank's standard fees and charges then in effect for such activity.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 COLLATERAL.</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security for all indebtedness of Borrower to Bank subject hereto, Borrower hereby grants to Bank security interests of first priority in all Borrower's accounts receivable and other similar rights to receive payment from customers of the Borrower, and inventory, and general</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79" w:name="page80"/>
    <w:bookmarkEnd w:id="79"/>
    <w:p>
      <w:pPr>
        <w:ind w:right="3019"/>
        <w:spacing w:after="0" w:line="264" w:lineRule="auto"/>
        <w:rPr>
          <w:sz w:val="20"/>
          <w:szCs w:val="20"/>
          <w:color w:val="auto"/>
        </w:rPr>
      </w:pPr>
      <w:r>
        <w:rPr>
          <w:rFonts w:ascii="Courier New" w:cs="Courier New" w:eastAsia="Courier New" w:hAnsi="Courier New"/>
          <w:sz w:val="14"/>
          <w:szCs w:val="14"/>
          <w:color w:val="auto"/>
        </w:rPr>
        <w:t>intangibles other than Borrower's intellectual property, except as set forth in Exhibit B, which is a listing of current Outsourcing Project Assets (as hereinafter defined) that are the subject of a first perfected security interest already granted to a project finance lender under an Outsourcing Project (as hereinafter defined). Bank agrees that the Borrower may from time to time enter into long-term, fixed rate, third party project financing arrangements for an Outsourcing Project, in the ordinary course of its business, with such financing to be secured by the Outsourcing Project Assets related thereto. Bank agrees to release any security interest it may have in such related Outsourcing Project Assets at the time Borrower obtains such project financing arrangements.</w:t>
      </w:r>
    </w:p>
    <w:p>
      <w:pPr>
        <w:spacing w:after="0" w:line="163" w:lineRule="exact"/>
        <w:rPr>
          <w:sz w:val="20"/>
          <w:szCs w:val="20"/>
          <w:color w:val="auto"/>
        </w:rPr>
      </w:pPr>
    </w:p>
    <w:p>
      <w:pPr>
        <w:ind w:left="440" w:right="3099" w:firstLine="451"/>
        <w:spacing w:after="0" w:line="244" w:lineRule="auto"/>
        <w:rPr>
          <w:sz w:val="20"/>
          <w:szCs w:val="20"/>
          <w:color w:val="auto"/>
        </w:rPr>
      </w:pPr>
      <w:r>
        <w:rPr>
          <w:rFonts w:ascii="Courier New" w:cs="Courier New" w:eastAsia="Courier New" w:hAnsi="Courier New"/>
          <w:sz w:val="15"/>
          <w:szCs w:val="15"/>
          <w:color w:val="auto"/>
        </w:rPr>
        <w:t>As used in this Agreement, the term "Outsourcing Project" means a project under which Borrower, constructs a meter reading system consisting of hardware and software within the service territory of a utility or the equivalent ("Utility"), and enters into a contract with such Utility for the construction of the meter reading system and the long-term operations and maintenance thereof, including without limitation, furnishing the Utility with the output of the system, which primarily consist of meter readings, for a price to be paid as the output is delivered.</w:t>
      </w:r>
    </w:p>
    <w:p>
      <w:pPr>
        <w:spacing w:after="0" w:line="178" w:lineRule="exact"/>
        <w:rPr>
          <w:sz w:val="20"/>
          <w:szCs w:val="20"/>
          <w:color w:val="auto"/>
        </w:rPr>
      </w:pPr>
    </w:p>
    <w:p>
      <w:pPr>
        <w:ind w:left="440" w:right="3019" w:firstLine="451"/>
        <w:spacing w:after="0" w:line="244" w:lineRule="auto"/>
        <w:rPr>
          <w:sz w:val="20"/>
          <w:szCs w:val="20"/>
          <w:color w:val="auto"/>
        </w:rPr>
      </w:pPr>
      <w:r>
        <w:rPr>
          <w:rFonts w:ascii="Courier New" w:cs="Courier New" w:eastAsia="Courier New" w:hAnsi="Courier New"/>
          <w:sz w:val="15"/>
          <w:szCs w:val="15"/>
          <w:color w:val="auto"/>
        </w:rPr>
        <w:t>As used in this Agreement, the term "Outsourcing Project Assets" means assets that comprise an Outsourcing Project, including the hardware and software components of the meter reading system that has been constructed and installed in a Utility's service territory, contracts between Borrower and the Utility with respect to the Outsourcing Project, use rights to trademarks, copyrights, patents, and licenses as necessary to operate and maintain the Outsourcing Project, the trade and contract receivables arising from the Borrower's performance under such contracts, and, if the ownership of Outsourcing Project assets has been contributed or otherwise transferred to a special and single purpose entity for the purpose of permitting or facilitating project financing, all of the stock of such special and single purpose entity.</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All of the foregoing shall be evidenced by and subject to the terms of such security agreements, financing statements, deeds of trust and other documents as Bank shall reasonably require, all in form and substance satisfactory to Bank. Borrower shall reimburse Bank immediately upon demand for all costs and expenses incurred by Bank in connection with any of the foregoing security, including without limitation, filing and recording fees and costs of appraisals, audits and title insurance.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REPRESENTATIONS AND WARRANTIES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Borrower makes the following representations and warranties to Bank, which representations and warranties shall survive the execution of this Agreement and shall continue in full force and effect until the full and final payment, and satisfaction and discharge, of all obligations of Borrower to Bank subject to this Agreement.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2.1. LEGAL STATUS. Borrower is a corporation, duly organized and existing and in good standing under the laws of the State of Washington, and is qualified or licensed to do business (and is in good standing as a foreign corporation, if applicable) in all jurisdictions in which such qualification or licensing is required or in which the failure to so qualify or to be so licensed could have a material adverse effect on Borrower.</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80" w:name="page81"/>
    <w:bookmarkEnd w:id="80"/>
    <w:p>
      <w:pPr>
        <w:ind w:right="3019" w:firstLine="451"/>
        <w:spacing w:after="0" w:line="244" w:lineRule="auto"/>
        <w:rPr>
          <w:sz w:val="20"/>
          <w:szCs w:val="20"/>
          <w:color w:val="auto"/>
        </w:rPr>
      </w:pPr>
      <w:r>
        <w:rPr>
          <w:rFonts w:ascii="Courier New" w:cs="Courier New" w:eastAsia="Courier New" w:hAnsi="Courier New"/>
          <w:sz w:val="15"/>
          <w:szCs w:val="15"/>
          <w:color w:val="auto"/>
        </w:rPr>
        <w:t>SECTION 2.2. AUTHORIZATION AND VALIDITY. This Agreement and each promissory note, contract, instrument and other document required hereby or at any time hereafter delivered to Bank in connection herewith (collectively, the "Loan Documents") have been duly authorized, and upon their execution and delivery in accordance with the provisions hereof will constitute legal, valid and binding agreements and obligations of Borrower or the party which executes the same, enforceable in accordance with their respective terms.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2.3. NO VIOLATION. The execution, delivery and performance by Borrower of each of the Loan Documents do not violate any provision of any law or regulation, or contravene any provision of the Articles of Incorporation or By-Laws of Borrower, or result in any breach of or default under any contract, obligation, indenture or other instrument to which Borrower is a party or by which Borrower may be bound.</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SECTION 2.4. LITIGATION. There are no pending, or to the best of Borrower's knowledge threatened, actions, claims, investigations, suits or proceedings by or before any governmental authority, arbitrator, court or administrative agency which could have a material adverse effect on the financial condition or operation of Borrower other than those disclosed by Borrower to Bank in the financial statements referred to in Section 2.5 and in Exhibit "C."</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2.5. CORRECTNESS OF FINANCIAL STATEMENT. The financial statement of Borrower dated September 30, 2001, a true copy of which has been delivered by Borrower to Bank prior to the date hereof, (a) is complete and correct and presents fairly the financial condition of Borrower, (b) discloses all liabilities of Borrower that are required to be reflected or reserved against under generally accepted accounting principles, whether liquidated or unliquidated, fixed or contingent, and (c) has been prepared in accordance with generally accepted accounting principles consistently applied. Since the date of such financial statement there has been no material adverse change in the financial condition of Borrower, nor has Borrower mortgaged, pledged, granted a security interest in or otherwise encumbered any of its assets or properties except in favor of Bank or as otherwise permitted by Bank in writing.</w:t>
      </w:r>
    </w:p>
    <w:p>
      <w:pPr>
        <w:spacing w:after="0" w:line="181"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SECTION 2.6. INCOME TAX RETURNS. Borrower has no knowledge of any pending assessments or adjustments of its income tax payable with respect to any year, except as disclosed in Exhibit "D."</w:t>
      </w:r>
    </w:p>
    <w:p>
      <w:pPr>
        <w:spacing w:after="0" w:line="175"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SECTION 2.7. NO SUBORDINATION. There is no agreement, indenture, contract or instrument to which Borrower is a party or by which Borrower may be bound that requires the subordination in right of payment of any of Borrower's obligations subject to this Agreement to any other obligation of Borrower.</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2.8. PERMITS, FRANCHISES. Borrower possesses, and will hereafter possess, all permits, consents, approvals, franchises and licenses required and rights to all trademarks, trade names, patents, and fictitious names, if any, necessary to enable it to conduct the business in which it is now engaged in compliance with applicable law.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2.9. ERISA. Borrower is in compliance in all material respects with all applicable provisions of the Employee Retirement Income Security Act of 1974, as amended or recodified from time to time ("ERISA"); Borrower has not violated any provision of any defined employee pension benefit plan (as defined in ERISA) maintained or contributed to by Borrower (each, a "Plan"); no Reportable Event as defined in ERISA has occurred and is continuing with respect to any Plan initiated by Borrower; Borrower has met its minimum funding requirements under ERISA with respect to each Plan; and each Plan will be able to fulfill its benefit obligations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81" w:name="page82"/>
    <w:bookmarkEnd w:id="81"/>
    <w:p>
      <w:pPr>
        <w:ind w:right="3559"/>
        <w:spacing w:after="0" w:line="243" w:lineRule="auto"/>
        <w:rPr>
          <w:sz w:val="20"/>
          <w:szCs w:val="20"/>
          <w:color w:val="auto"/>
        </w:rPr>
      </w:pPr>
      <w:r>
        <w:rPr>
          <w:rFonts w:ascii="Courier New" w:cs="Courier New" w:eastAsia="Courier New" w:hAnsi="Courier New"/>
          <w:sz w:val="15"/>
          <w:szCs w:val="15"/>
          <w:color w:val="auto"/>
        </w:rPr>
        <w:t>as they come due in accordance with the Plan documents and under generally accepted accounting principles.</w:t>
      </w:r>
    </w:p>
    <w:p>
      <w:pPr>
        <w:spacing w:after="0" w:line="176"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SECTION 2.10. OTHER OBLIGATIONS. Borrower is not in default on any obligation for borrowed money, any purchase money obligation or any other materials lease, commitment, contract, instrument or obligation.</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2.11. ENVIRONMENTAL MATTERS. Except as disclosed by Borrower to Bank in writing prior to the date hereof, Borrower is in compliance in all material respects with all applicable federal or state environmental, hazardous waste, health and safety statutes, and any rules or regulations adopted pursuant thereto, which govern or affect any of Borrower's operations and/or properties, including without limitation, the Comprehensive Environmental Response, Compensation and Liability Act of 1980, the Superfund Amendments and Reauthorization Act of 1986, the Federal Resource Conservation and Recovery Act of 1976, and the Federal Toxic Substances Control Act, as any of the same may be amended, modified or supplemented from time to time. None of the operations of Borrower is the subject of any federal or state investigation evaluating whether any remedial action involving a material expenditure is needed to respond to a release of any toxic or hazardous waste or substance into the environment. Borrower has no material contingent liability in connection with any release of any toxic or hazardous waste or substance into the environment.</w:t>
      </w:r>
    </w:p>
    <w:p>
      <w:pPr>
        <w:spacing w:after="0" w:line="18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CONDITIONS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3.1. CONDITIONS OF INITIAL EXTENSION OF CREDIT. The obligation of Bank to extend any credit contemplated by this Agreement is subject to the fulfillment to Bank's satisfaction of all of the following conditions:</w:t>
      </w:r>
    </w:p>
    <w:p>
      <w:pPr>
        <w:spacing w:after="0" w:line="175" w:lineRule="exact"/>
        <w:rPr>
          <w:sz w:val="20"/>
          <w:szCs w:val="20"/>
          <w:color w:val="auto"/>
        </w:rPr>
      </w:pPr>
    </w:p>
    <w:p>
      <w:pPr>
        <w:ind w:right="3019" w:firstLine="443"/>
        <w:spacing w:after="0" w:line="243" w:lineRule="auto"/>
        <w:tabs>
          <w:tab w:leader="none" w:pos="81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Bank Counsel. All legal matters incidental to the extension of credit by Bank shall be satisfactory to Bank's counsel.</w:t>
      </w:r>
    </w:p>
    <w:p>
      <w:pPr>
        <w:spacing w:after="0" w:line="176" w:lineRule="exact"/>
        <w:rPr>
          <w:rFonts w:ascii="Courier New" w:cs="Courier New" w:eastAsia="Courier New" w:hAnsi="Courier New"/>
          <w:sz w:val="15"/>
          <w:szCs w:val="15"/>
          <w:color w:val="auto"/>
        </w:rPr>
      </w:pPr>
    </w:p>
    <w:p>
      <w:pPr>
        <w:ind w:right="3819" w:firstLine="443"/>
        <w:spacing w:after="0" w:line="243" w:lineRule="auto"/>
        <w:tabs>
          <w:tab w:leader="none" w:pos="81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 Bank shall have received, in form and substance satisfactory to Bank, each of the following, duly executed:</w:t>
      </w:r>
    </w:p>
    <w:p>
      <w:pPr>
        <w:spacing w:after="0" w:line="176" w:lineRule="exact"/>
        <w:rPr>
          <w:rFonts w:ascii="Courier New" w:cs="Courier New" w:eastAsia="Courier New" w:hAnsi="Courier New"/>
          <w:sz w:val="15"/>
          <w:szCs w:val="15"/>
          <w:color w:val="auto"/>
        </w:rPr>
      </w:pPr>
    </w:p>
    <w:p>
      <w:pPr>
        <w:ind w:left="1440" w:right="3459" w:hanging="546"/>
        <w:spacing w:after="0" w:line="243" w:lineRule="auto"/>
        <w:tabs>
          <w:tab w:leader="none" w:pos="1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promissory note or other instrument required hereby.</w:t>
      </w:r>
    </w:p>
    <w:p>
      <w:pPr>
        <w:spacing w:after="0" w:line="1"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Incumbency.</w:t>
      </w:r>
    </w:p>
    <w:p>
      <w:pPr>
        <w:spacing w:after="0" w:line="3"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Resolution: Borrowing.</w:t>
      </w:r>
    </w:p>
    <w:p>
      <w:pPr>
        <w:spacing w:after="0" w:line="3"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Agreement: Rights to Payment and Inventory.</w:t>
      </w:r>
    </w:p>
    <w:p>
      <w:pPr>
        <w:spacing w:after="0" w:line="3"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Letter</w:t>
      </w:r>
    </w:p>
    <w:p>
      <w:pPr>
        <w:spacing w:after="0" w:line="4" w:lineRule="exact"/>
        <w:rPr>
          <w:rFonts w:ascii="Courier New" w:cs="Courier New" w:eastAsia="Courier New" w:hAnsi="Courier New"/>
          <w:sz w:val="15"/>
          <w:szCs w:val="15"/>
          <w:color w:val="auto"/>
        </w:rPr>
      </w:pPr>
    </w:p>
    <w:p>
      <w:pPr>
        <w:ind w:left="1440" w:right="3019" w:hanging="546"/>
        <w:spacing w:after="0" w:line="243" w:lineRule="auto"/>
        <w:tabs>
          <w:tab w:leader="none" w:pos="1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as Bank may require under any other Section of this Agreement.</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Condition. There shall have been no material adverse change, as determined by Bank, in the financial condition or business of Borrower, nor any material decline, as determined by Bank, in the market value of any collateral required hereunder or a substantial or material portion of the assets of Borrower.</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Borrower shall have delivered to Bank evidence of insurance coverage on all Borrower's property, in form, substance, amounts, covering risks and issued by</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82" w:name="page83"/>
    <w:bookmarkEnd w:id="82"/>
    <w:p>
      <w:pPr>
        <w:ind w:right="3279"/>
        <w:spacing w:after="0" w:line="243" w:lineRule="auto"/>
        <w:rPr>
          <w:sz w:val="20"/>
          <w:szCs w:val="20"/>
          <w:color w:val="auto"/>
        </w:rPr>
      </w:pPr>
      <w:r>
        <w:rPr>
          <w:rFonts w:ascii="Courier New" w:cs="Courier New" w:eastAsia="Courier New" w:hAnsi="Courier New"/>
          <w:sz w:val="15"/>
          <w:szCs w:val="15"/>
          <w:color w:val="auto"/>
        </w:rPr>
        <w:t>companies satisfactory to Bank, and where required by Bank, with loss payable endorsements in favor of Bank.</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3.2. CONDITIONS OF EACH EXTENSION OF CREDIT. The obligation of Bank to make each extension of credit requested by Borrower hereunder shall be subject to the fulfillment to Bank's satisfaction of each of the following conditions:</w:t>
      </w:r>
    </w:p>
    <w:p>
      <w:pPr>
        <w:spacing w:after="0" w:line="176" w:lineRule="exact"/>
        <w:rPr>
          <w:sz w:val="20"/>
          <w:szCs w:val="20"/>
          <w:color w:val="auto"/>
        </w:rPr>
      </w:pPr>
    </w:p>
    <w:p>
      <w:pPr>
        <w:ind w:right="3099" w:firstLine="443"/>
        <w:spacing w:after="0" w:line="244" w:lineRule="auto"/>
        <w:tabs>
          <w:tab w:leader="none" w:pos="81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The representations and warranties contained herein and in each of the other Loan Documents shall be true on and as of the date of the signing of this Agreement and on the date of each extension of credit by Bank pursuant hereto, with the same effect as though such representations and warranties had been made on and as of each such date, and on each such date, no Event of Default as defined herein, and no condition, event or act which with the giving of notice or the passage of time or both would constitute such an Event of Default, shall have occurred and be continuing or shall exist.</w:t>
      </w:r>
    </w:p>
    <w:p>
      <w:pPr>
        <w:spacing w:after="0" w:line="178" w:lineRule="exact"/>
        <w:rPr>
          <w:rFonts w:ascii="Courier New" w:cs="Courier New" w:eastAsia="Courier New" w:hAnsi="Courier New"/>
          <w:sz w:val="15"/>
          <w:szCs w:val="15"/>
          <w:color w:val="auto"/>
        </w:rPr>
      </w:pPr>
    </w:p>
    <w:p>
      <w:pPr>
        <w:ind w:right="3019" w:firstLine="443"/>
        <w:spacing w:after="0" w:line="243" w:lineRule="auto"/>
        <w:tabs>
          <w:tab w:leader="none" w:pos="81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 Bank shall have received all additional documents, which may be required in connection with such extension of credit.</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AFFIRMATIVE COVENANTS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Borrower covenants that so long as Bank is obligated to extend credit to Borrower pursuant hereto, or any liabilities (whether direct or contingent, liquidated or unliquidated) of Borrower to Bank under any of the Loan Documents remain outstanding, and until payment in full of all obligations of Borrower subject hereto, Borrower shall, unless Bank otherwise consents in writing:</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4.1. PUNCTUAL PAYMENTS. Punctually pay all principal, interest, fees or other liabilities due under any of the Loan Documents at the times and place and in the manner specified therein.</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4.2. ACCOUNTING RECORDS. Maintain adequate books and records in accordance with generally accepted accounting principles consistently applied, and permit any representative of Bank, at any reasonable time, to inspect, audit and examine such books and records, to make copies of the same, and to inspect the properties of Borrower.</w:t>
      </w:r>
    </w:p>
    <w:p>
      <w:pPr>
        <w:spacing w:after="0" w:line="177"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SECTION 4.3. FINANCIAL STATEMENTS. Provide to Bank all of the following, in form and detail satisfactory to Bank:</w:t>
      </w:r>
    </w:p>
    <w:p>
      <w:pPr>
        <w:spacing w:after="0" w:line="176" w:lineRule="exact"/>
        <w:rPr>
          <w:sz w:val="20"/>
          <w:szCs w:val="20"/>
          <w:color w:val="auto"/>
        </w:rPr>
      </w:pPr>
    </w:p>
    <w:p>
      <w:pPr>
        <w:ind w:right="3099" w:firstLine="443"/>
        <w:spacing w:after="0" w:line="244" w:lineRule="auto"/>
        <w:tabs>
          <w:tab w:leader="none" w:pos="81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120 days after and as of the end of each fiscal year, a copy of the 10K Report of Borrower, and any other reports or information, filed with the Securities and Exchange Commission, to include a copy of the annual budget for the current year then commenced and information showing the performance of the Borrower for the previous year relative to the annual budget for the previous year;</w:t>
      </w:r>
    </w:p>
    <w:p>
      <w:pPr>
        <w:spacing w:after="0" w:line="177"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60 days after and as of the end of each quarter, a 10Q Report of Borrower, with any other reports or information filed with the Securities and Exchange Commission;</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83" w:name="page84"/>
    <w:bookmarkEnd w:id="83"/>
    <w:p>
      <w:pPr>
        <w:ind w:right="3019" w:firstLine="443"/>
        <w:spacing w:after="0" w:line="244" w:lineRule="auto"/>
        <w:tabs>
          <w:tab w:leader="none" w:pos="81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each quarterly financial statement of Borrower required hereby, a certificate of the president or chief financial officer of Borrower that said financial statements are accurate and that there exists no Event of Default nor any condition, act or event which with the giving of notice or the passage of time or both would constitute an Event of Default;</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30 days after and as of the end of each month, a borrowing base certificate, an inventory collateral report, and an aged summary of accounts receivable;</w:t>
      </w:r>
    </w:p>
    <w:p>
      <w:pPr>
        <w:spacing w:after="0" w:line="174"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information as Bank may reasonably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request.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4.4. COMPLIANCE. Preserve and maintain all material licenses, permits, governmental approvals, rights, privileges and franchises necessary for the conduct of its business; and comply with the material provisions of all documents pursuant to which Borrower is organized and/or which govern Borrower's continued existence and with the material requirements of all laws, rules, regulations and orders of any governmental authority applicable to Borrower and/or its business.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4.5. INSURANCE. Maintain and keep in force insurance of the types and in amounts customarily carried in lines of business similar to that of Borrower, including but not limited to fire, extended coverage, public liability, flood, property damage and workers' compensation, with all such insurance carried with companies and in amounts reasonably satisfactory to Bank, and deliver to Bank from time to time at Bank's request schedules setting forth all insurance then in effect.</w:t>
      </w:r>
    </w:p>
    <w:p>
      <w:pPr>
        <w:spacing w:after="0" w:line="178" w:lineRule="exact"/>
        <w:rPr>
          <w:sz w:val="20"/>
          <w:szCs w:val="20"/>
          <w:color w:val="auto"/>
        </w:rPr>
      </w:pPr>
    </w:p>
    <w:p>
      <w:pPr>
        <w:ind w:right="3739" w:firstLine="451"/>
        <w:spacing w:after="0" w:line="244" w:lineRule="auto"/>
        <w:rPr>
          <w:sz w:val="20"/>
          <w:szCs w:val="20"/>
          <w:color w:val="auto"/>
        </w:rPr>
      </w:pPr>
      <w:r>
        <w:rPr>
          <w:rFonts w:ascii="Courier New" w:cs="Courier New" w:eastAsia="Courier New" w:hAnsi="Courier New"/>
          <w:sz w:val="15"/>
          <w:szCs w:val="15"/>
          <w:color w:val="auto"/>
        </w:rPr>
        <w:t>SECTION 4.6. FACILITIES. Keep all properties useful or necessary to Borrower's business in good repair and condition, ordinary wear and tear excepted, and from time to time make necessary repairs, renewals and replacements thereto.</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4.7. TAXES AND OTHER LIABILITIES. Pay and discharge when due any and all indebtedness, obligations, assessments and taxes, both real or personal, including without limitation federal and state income taxes and state and local property taxes and assessments, except such (a) as Borrower may in good faith contest or as to which a bona fide dispute may arise, and (b) for which Borrower has made provision, to Bank's satisfaction, for eventual payment thereof in the event Borrower is obligated to make such payment.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4.8. LITIGATION. Promptly give notice in writing to Bank of any litigation pending or threatened against Borrower for which public disclosure would be required by the requirements of the Securities and Exchange Commission or NASDAQ.</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4.9. FINANCIAL CONDITION. Maintain Borrower's financial condition as follows using generally accepted accounting principles consistently applied and used consistently with prior practices (except to the extent modified by the definitions herein):</w:t>
      </w:r>
    </w:p>
    <w:p>
      <w:pPr>
        <w:spacing w:after="0" w:line="176" w:lineRule="exact"/>
        <w:rPr>
          <w:sz w:val="20"/>
          <w:szCs w:val="20"/>
          <w:color w:val="auto"/>
        </w:rPr>
      </w:pPr>
    </w:p>
    <w:p>
      <w:pPr>
        <w:jc w:val="both"/>
        <w:ind w:right="3379" w:firstLine="443"/>
        <w:spacing w:after="0" w:line="278" w:lineRule="auto"/>
        <w:tabs>
          <w:tab w:leader="none" w:pos="81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Ratio not at any time less than 1.50 to 1.00, with "Current Ratio" defined as total current assets divided by total current liabilities.</w:t>
      </w:r>
    </w:p>
    <w:p>
      <w:pPr>
        <w:spacing w:after="0" w:line="152"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Tangible Net Worth not at any time less than $100,000,000.00, with "Tangible Net Worth" defined as the aggregate of total stockholders' equity plus subordinated debt less any intangible assets.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84" w:name="page85"/>
    <w:bookmarkEnd w:id="84"/>
    <w:p>
      <w:pPr>
        <w:ind w:right="3819" w:firstLine="443"/>
        <w:spacing w:after="0" w:line="243" w:lineRule="auto"/>
        <w:tabs>
          <w:tab w:leader="none" w:pos="81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after taxes not less than $1.00 on an annual basis, determined as of each fiscal year end.</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Funded Debt to EBITDA not more than 3.0 to 1.00 as of the end of each fiscal quarter, on a trailing four-quarter basis, with "Funded Debt" defined as the sum of all obligations for borrowed money (including subordinated debt), plus all obligations with respect to the principal component of capital leases, and with "EBITDA" defined as net profit before tax plus interest expense (net of capitalized interest expense), depreciation expense and amortization expense.</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Direct Funded Debt to EBITDA not more than 2.25 to 1.00 as of the end of each fiscal quarter, on a trailing four-quarter basis, with "Funded Debt" defined as the sum of all obligations for borrowed money (including subordinated debt but excluding borrowings for Outsourcing Projects), plus all obligations with respect to the principal component of capital leases, and with "EBITDA" defined as net profit before tax plus interest expense (exclusive of income and interest expense related to Outsourcing Projects) (net of capitalized interest expense), depreciation expense and amortization expense.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4.10. NOTICE TO BANK. Promptly (but in no event more than five (5) days after the occurrence of each such event or matter) give written notice to Bank in reasonable detail of: (a) the occurrence of any Event of Default, or any condition, event or act which with the giving of notice or the passage of time or both would constitute an Event of Default; (b) any change in the name or the legal organizational structure of Borrower; (c) the occurrence and nature of any Reportable Event or Prohibited Transaction, each as defined in ERISA, or any funding deficiency with respect to any Plan; or (d) any termination or cancellation of any insurance policy which Borrower is required to maintain, or any uninsured or partially uninsured loss through liability or property damage, or through fire, theft or any other cause affecting Borrower's property in excess of an aggregate of $5,000,000.00.</w:t>
      </w:r>
    </w:p>
    <w:p>
      <w:pPr>
        <w:spacing w:after="0" w:line="1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NEGATIVE COVENANTS</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Borrower further covenants that so long as Bank is obligated to extend credit to Borrower pursuant hereto, or any liabilities (whether direct or contingent, liquidated or unliquidated) of Borrower to Bank under any of the Loan Documents remain outstanding, and until payment in full of all obligations of Borrower subject hereto, Borrower will not without Bank's prior written consent:</w:t>
      </w:r>
    </w:p>
    <w:p>
      <w:pPr>
        <w:spacing w:after="0" w:line="17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SECTION 5.1. USE OF FUNDS. Use any of the proceeds of any credit extended hereunder except for the purposes stated in Article I hereof.</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5.2. MERGER, CONSOLIDATION, TRANSFER OF ASSETS. Merge into or consolidate with any other entity (other than wholly-owned subsidiaries); make any substantial change in the nature of Borrower's business as conducted as of the date hereof; acquire all or substantially all of the assets of any other entity; nor sell, lease, transfer or otherwise dispose of all or a substantial or material portion of Borrower's assets except in the ordinary course of its business.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5" w:name="page86"/>
    <w:bookmarkEnd w:id="85"/>
    <w:p>
      <w:pPr>
        <w:ind w:right="3019" w:firstLine="451"/>
        <w:spacing w:after="0" w:line="244" w:lineRule="auto"/>
        <w:rPr>
          <w:sz w:val="20"/>
          <w:szCs w:val="20"/>
          <w:color w:val="auto"/>
        </w:rPr>
      </w:pPr>
      <w:r>
        <w:rPr>
          <w:rFonts w:ascii="Courier New" w:cs="Courier New" w:eastAsia="Courier New" w:hAnsi="Courier New"/>
          <w:sz w:val="15"/>
          <w:szCs w:val="15"/>
          <w:color w:val="auto"/>
        </w:rPr>
        <w:t>SECTION 5.3. GUARANTIES. Guarantee or become liable in any way as surety, endorser (other than as endorser of negotiable instruments for deposit or collection in the ordinary course of business), accommodation endorser or otherwise for, nor pledge or hypothecate any assets of Borrower as security for, any liabilities or obligations of any other person or entity, except any of the foregoing in favor of Bank, except those disclosed in Exhibit "E."</w:t>
      </w:r>
    </w:p>
    <w:p>
      <w:pPr>
        <w:spacing w:after="0" w:line="177"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SECTION 5.4. LOANS, ADVANCES, INVESTMENTS. Make any loans or advances to or investments in any person or entity, except disclosed in Exhibit "F."</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5.5. BASKET OF PERMITTED TRANSACTIONS. Notwithstanding Sections 5.2, 5.3 and 5.4, Borrower may: (a) acquire all or substantially all of the assets of any non-affiliated entity; (b) guarantee or become liable as surety or endorser; and (c) make loans or advances to or investments in any person or entity, as long as the aggregate amount of (a), (b) and (c) immediately has not exceeded $10.0 million, including those items in Exhibits "E" and "F."</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5.6. DIVIDENDS, DISTRIBUTIONS. Declare or pay any dividend or distribution either in cash, stock or any other property on Borrower's stock now or hereafter outstanding, nor redeem, retire, repurchase or otherwise acquire any shares of any class of Borrower's stock now or hereafter outstanding, except the Borrower may use up to $10.0 million of its funds to repurchase or otherwise acquire shares of any class of the Borrower's stock.</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5.7. PLEDGE OF ASSETS. Mortgage, pledge, grant or permit to exist a security interest in, or lien upon, all or any portion of Borrower's assets now owned or hereafter acquired, except (i) any of the foregoing in favor of Bank or which is disclosed in Exhibit "G," (ii) Outsourcing Project Assets and (iii) purchase money liens and equipment leases for equipment used in Borrower's business.</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EVENTS OF DEFAULT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SECTION 6.1. The occurrence of any of the following shall constitute an "Event of Default" under this Agreement:</w:t>
      </w:r>
    </w:p>
    <w:p>
      <w:pPr>
        <w:spacing w:after="0" w:line="176" w:lineRule="exact"/>
        <w:rPr>
          <w:sz w:val="20"/>
          <w:szCs w:val="20"/>
          <w:color w:val="auto"/>
        </w:rPr>
      </w:pPr>
    </w:p>
    <w:p>
      <w:pPr>
        <w:ind w:right="3279" w:firstLine="443"/>
        <w:spacing w:after="0" w:line="243" w:lineRule="auto"/>
        <w:tabs>
          <w:tab w:leader="none" w:pos="81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fail to pay when due any principal, interest, fees or other amounts payable under any of the Loan Documents.</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financial statement or certificate furnished to Bank in connection with, or any representation or warranty made by Borrower or any other party under this Agreement or any other Loan Document shall prove to be incorrect, false or misleading in any material respect when furnished or made.</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default in the performance of or compliance with any obligation, agreement or other provision contained herein or in any other Loan Document (other than those referred to in subsections (a) and (b) above, and with respect to any such default which by its nature can be cured, such default shall continue for a period of twenty (20) days from its occurrence.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86" w:name="page87"/>
    <w:bookmarkEnd w:id="86"/>
    <w:p>
      <w:pPr>
        <w:ind w:right="3099" w:firstLine="443"/>
        <w:spacing w:after="0" w:line="244" w:lineRule="auto"/>
        <w:tabs>
          <w:tab w:leader="none" w:pos="81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default in the payment or performance of any obligation, or any defined event of default, under the terms of any contract or instrument (other than any of the Loan Documents) pursuant to which Borrower has incurred any debt or other liability to any person or entity, including Bank, which debt or liability shall exceed $100,000.00.</w:t>
      </w:r>
    </w:p>
    <w:p>
      <w:pPr>
        <w:spacing w:after="0" w:line="176"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notice of judgment lien against Borrower, or the or the recording of any abstract of judgment against Borrower in any county in which Borrower has an interest in real property; or the service of a notice of levy and/or of a writ of attachment or execution, or other like process, against the assets of Borrower; or the entry of a judgment against Borrower; and with respect to any of the foregoing, the amount is in excess of $5,000,000.00 and has not been vacated, discharged, stayed or bonded pending appeal within forty five (45) days from such filing, recording, service or entry.</w:t>
      </w:r>
    </w:p>
    <w:p>
      <w:pPr>
        <w:spacing w:after="0" w:line="164"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become insolvent, or shall suffer or consent to or apply for the appointment of a receiver, trustee, custodian or liquidator of itself or any of its property, or shall generally fail to pay its debts as they become due, or shall make a general assignment for the benefit of creditors; Borrower shall file a voluntary petition in bankruptcy, or seeking reorganization, in order to effect a plan or other arrangement with creditors or any other relief under the Bankruptcy Reform Act, Title 11 of the United States Code, as amended or recodified from time to time ("Bankruptcy Code"), or under any state or federal law granting relief to debtors, whether now or hereafter in effect; or any involuntary petition or proceeding pursuant to the Bankruptcy Code or any other applicable state or federal law relating to bankruptcy, reorganization or other relief for debtors is filed or commenced against Borrower, or Borrower shall file an answer admitting the jurisdiction of the court and the material allegations of any involuntary petition; or Borrower shall be adjudicated a bankrupt, or an order for relief shall be entered against Borrower by any court of competent jurisdiction under the Bankruptcy Code or any other applicable state or federal law relating to bankruptcy, reorganization or other relief for debtors.</w:t>
      </w:r>
    </w:p>
    <w:p>
      <w:pPr>
        <w:spacing w:after="0" w:line="184" w:lineRule="exact"/>
        <w:rPr>
          <w:rFonts w:ascii="Courier New" w:cs="Courier New" w:eastAsia="Courier New" w:hAnsi="Courier New"/>
          <w:sz w:val="15"/>
          <w:szCs w:val="15"/>
          <w:color w:val="auto"/>
        </w:rPr>
      </w:pPr>
    </w:p>
    <w:p>
      <w:pPr>
        <w:ind w:right="3279" w:firstLine="443"/>
        <w:spacing w:after="0" w:line="244" w:lineRule="auto"/>
        <w:tabs>
          <w:tab w:leader="none" w:pos="81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or occur any event or condition which Bank in good faith believes materially impairs, or is substantially likely to materially impair, the prospect of payment or performance by Borrower of its obligations under any of the Loan Documents.</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or incapacity of Borrower. The dissolution or liquidation of Borrower; or Borrower, or any of its directors, stockholders or members, shall take action seeking to effect the dissolution or liquidation of Borrower.</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6.2. REMEDIES. Upon the occurrence of any Event of Default: (a) all indebtedness of Borrower under each of the Loan Documents, any term thereof to the contrary notwithstanding, shall at Bank's option and without notice become immediately due and payable without presentment, demand, protest or notice of dishonor, all of which are hereby expressly waived by each Borrower; (b) the obligation, if any, of Bank to extend any further credit under any of the Loan Documents shall immediately cease and terminate; and (c) Bank shall have all rights, powers and remedies available under each of the Loan Documents, or accorded by law, including without limitation the right to resort to any or all security for any credit subject hereto and to exercise any or all of the rights of a beneficiary or secured party pursuant to applicable law. All rights, powers and remedies of Bank may be exercised at any time by Bank and from time to time after the occurrence of an Event of Default, are cumulative and not exclusive, and shall be in addition to any other rights, powers or remedies provided by law or equity.</w:t>
      </w:r>
    </w:p>
    <w:p>
      <w:pPr>
        <w:spacing w:after="0" w:line="3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87" w:name="page88"/>
    <w:bookmarkEnd w:id="87"/>
    <w:p>
      <w:pPr>
        <w:ind w:left="314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MISCELLANEOUS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SECTION 7.1. NO WAIVER. No delay, failure or discontinuance of Bank in exercising any right, power or remedy under any of the Loan Documents shall affect or operate as a waiver of such right, power or remedy; nor shall any single or partial exercise of any such right, power or remedy preclude, waive or otherwise affect any other or further exercise thereof or the exercise of any other right, power or remedy. Any waiver, permit, consent or approval of any kind by Bank of any breach of or default under any of the Loan Documents must be in writing and shall be effective only to the extent set forth in such writing.</w:t>
      </w:r>
    </w:p>
    <w:p>
      <w:pPr>
        <w:spacing w:after="0" w:line="16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7.2. NOTICES. All notices, requests and demands which any party is required or may desire to give to any other party under any provision of this Agreement must be in writing delivered to each party at the following address: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BORROWER:</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2818 North Sullivan Road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Spokane, WA 99216</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BANK:</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WELLS FARGO BANK, NATIONAL ASSOCIATION</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221 North Wall Street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Spokane, WA 99201</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or to such other address as any party may designate by written notice to all other parties. Each such notice, request and demand shall be deemed given or made as follows: (a) if sent by hand delivery, upon delivery; (b) if sent by mail, upon the earlier of the date of receipt or three (3) days after deposit in the U.S. mail, first class and postage prepaid; and (c) if sent by telecopy, upon receipt.</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7.3. COSTS, EXPENSES AND ATTORNEYS' FEES. Borrower shall pay to Bank immediately upon demand the full amount of all reasonable payments, advances, charges, costs and expenses, including reasonable attorneys' fees (to include outside counsel fees and all allocated costs of Bank's in-house counsel), expended or incurred by Bank in connection with (a) the negotiation and preparation of this Agreement and the other Loan Documents, Bank's continued administration hereof and thereof, and the preparation of any amendments and waivers hereto and thereto, (b) the enforcement of Bank's rights and/or the collection of any amounts which become due to Bank under any of the Loan Documents, and (c) the prosecution or defense of any action in any way related to any of the Loan Documents,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any Borrower or any other person or entity.</w:t>
      </w:r>
    </w:p>
    <w:p>
      <w:pPr>
        <w:spacing w:after="0" w:line="34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7.4. SUCCESSORS, ASSIGNMENT. This Agreement shall be binding upon and inure to the benefit of the heirs, executors, administrators, legal representatives, successors and assigns of the parties; provided however, that Borrower may not assign or transfer its interest hereunder without Bank's prior written consent. Bank reserves the rights to</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88" w:name="page89"/>
    <w:bookmarkEnd w:id="88"/>
    <w:p>
      <w:pPr>
        <w:ind w:left="8" w:right="3019"/>
        <w:spacing w:after="0" w:line="244" w:lineRule="auto"/>
        <w:rPr>
          <w:sz w:val="20"/>
          <w:szCs w:val="20"/>
          <w:color w:val="auto"/>
        </w:rPr>
      </w:pPr>
      <w:r>
        <w:rPr>
          <w:rFonts w:ascii="Courier New" w:cs="Courier New" w:eastAsia="Courier New" w:hAnsi="Courier New"/>
          <w:sz w:val="15"/>
          <w:szCs w:val="15"/>
          <w:color w:val="auto"/>
        </w:rPr>
        <w:t>sell, assign, transfer, negotiate or grant participations in all or any part of, or any interest in, Bank's rights and benefits under each of the Loan Documents. In connection therewith, Bank may disclose all documents and information, which Bank now has or may hereafter acquire relating to any credit subject hereto, Borrower or its business, or any collateral required hereunder.</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7.5. ENTIRE AGREEMENT; AMENDMENT. This Agreement and the other Loan Documents constitute the entire agreement between Borrower and Bank with respect to each credit subject hereto and supersede all prior negotiations, communications, discussions and correspondence concerning the subject matter hereof. This Agreement may be amended or modified only in writing signed by each party hereto.</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7.6. NO THIRD PARTY BENEFICIARIES. This Agreement is made and entered into for the sole protection and benefit of the parties hereto and their respective permitted successors and assigns, and no other person or entity shall be a third party beneficiary of, or have any direct or indirect cause of action or claim in connection with, this Agreement or any other of the Loan Documents to which it is not a party.</w:t>
      </w:r>
    </w:p>
    <w:p>
      <w:pPr>
        <w:spacing w:after="0" w:line="177"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SECTION 7.7. TIME. Time is of the essence of each and every provision of this Agreement and each other of the Loan Documents.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7.8. SEVERABILITY OF PROVISIONS. If any provision of this Agreement shall be prohibited by or invalid under applicable law, such provision shall be ineffective only to the extent of such prohibition or invalidity without invalidating the remainder of such provision or any remaining provisions of this Agreement.</w:t>
      </w:r>
    </w:p>
    <w:p>
      <w:pPr>
        <w:spacing w:after="0" w:line="177"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SECTION 7.9. COUNTERPARTS. This Agreement may be executed in any number of counterparts, each of which when executed and delivered shall be deemed to be an original, and all of which when taken together shall constitute one and the same Agreement.</w:t>
      </w:r>
    </w:p>
    <w:p>
      <w:pPr>
        <w:spacing w:after="0" w:line="176" w:lineRule="exact"/>
        <w:rPr>
          <w:sz w:val="20"/>
          <w:szCs w:val="20"/>
          <w:color w:val="auto"/>
        </w:rPr>
      </w:pPr>
    </w:p>
    <w:p>
      <w:pPr>
        <w:ind w:left="8" w:right="3639" w:firstLine="451"/>
        <w:spacing w:after="0" w:line="243" w:lineRule="auto"/>
        <w:rPr>
          <w:sz w:val="20"/>
          <w:szCs w:val="20"/>
          <w:color w:val="auto"/>
        </w:rPr>
      </w:pPr>
      <w:r>
        <w:rPr>
          <w:rFonts w:ascii="Courier New" w:cs="Courier New" w:eastAsia="Courier New" w:hAnsi="Courier New"/>
          <w:sz w:val="15"/>
          <w:szCs w:val="15"/>
          <w:color w:val="auto"/>
        </w:rPr>
        <w:t>SECTION 7.10. GOVERNING LAW. This Agreement shall be governed by and construed in accordance with the laws of the State of Washington.</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SECTION 7.11. ARBITRATION.</w:t>
      </w:r>
    </w:p>
    <w:p>
      <w:pPr>
        <w:spacing w:after="0" w:line="178" w:lineRule="exact"/>
        <w:rPr>
          <w:sz w:val="20"/>
          <w:szCs w:val="20"/>
          <w:color w:val="auto"/>
        </w:rPr>
      </w:pPr>
    </w:p>
    <w:p>
      <w:pPr>
        <w:ind w:left="8" w:right="3019" w:firstLine="443"/>
        <w:spacing w:after="0" w:line="244" w:lineRule="auto"/>
        <w:tabs>
          <w:tab w:leader="none" w:pos="81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The parties hereto agree, upon demand by any party, to submit to binding arbitration all claims, disputes and controversies between or among them (and their respective employees, officers, directors, attorneys, and other agents), whether in tort, contract or otherwise arising out of or relating to in any way (i) the loan and related Loan Documents which are the subject of this Agreement and its negotiation, execution, collateralization, administration, repayment, modification, extension, substitution, formation, inducement, enforcement, default or termination; or (ii) requests for additional credit.</w:t>
      </w:r>
    </w:p>
    <w:p>
      <w:pPr>
        <w:spacing w:after="0" w:line="179" w:lineRule="exact"/>
        <w:rPr>
          <w:rFonts w:ascii="Courier New" w:cs="Courier New" w:eastAsia="Courier New" w:hAnsi="Courier New"/>
          <w:sz w:val="15"/>
          <w:szCs w:val="15"/>
          <w:color w:val="auto"/>
        </w:rPr>
      </w:pPr>
    </w:p>
    <w:p>
      <w:pPr>
        <w:ind w:left="8" w:right="3019" w:firstLine="443"/>
        <w:spacing w:after="0" w:line="262" w:lineRule="auto"/>
        <w:tabs>
          <w:tab w:leader="none" w:pos="81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Rules. Any arbitration proceeding will (i) proceed in a location in Washington selected by the American Arbitration Association ("AAA");</w:t>
      </w:r>
    </w:p>
    <w:p>
      <w:pPr>
        <w:ind w:left="8" w:right="3019" w:hanging="8"/>
        <w:spacing w:after="0" w:line="244" w:lineRule="auto"/>
        <w:tabs>
          <w:tab w:leader="none" w:pos="45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governed by the Federal Arbitration Act (Title 9 of the United States Code), notwithstanding any conflicting choice of law provision in any of the documents between the parties; and (iii) be conducted by the AAA, or such other administrator as the parties shall mutually agree upon, in accordance with the AAA's commercial dispute resolution procedures, unless the claim or counterclaim is at least $1,000,000.00 exclusive of claimed interest, arbitration fees and costs in which case the arbitration shall be conducted in accordance with the AAA's optional procedures for large,</w:t>
      </w:r>
    </w:p>
    <w:p>
      <w:pPr>
        <w:spacing w:after="0" w:line="35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8" w:right="1440" w:bottom="1440" w:gutter="0" w:footer="0" w:header="0"/>
        </w:sectPr>
      </w:pPr>
    </w:p>
    <w:bookmarkStart w:id="89" w:name="page90"/>
    <w:bookmarkEnd w:id="89"/>
    <w:p>
      <w:pPr>
        <w:ind w:right="3019"/>
        <w:spacing w:after="0" w:line="244" w:lineRule="auto"/>
        <w:rPr>
          <w:sz w:val="20"/>
          <w:szCs w:val="20"/>
          <w:color w:val="auto"/>
        </w:rPr>
      </w:pPr>
      <w:r>
        <w:rPr>
          <w:rFonts w:ascii="Courier New" w:cs="Courier New" w:eastAsia="Courier New" w:hAnsi="Courier New"/>
          <w:sz w:val="15"/>
          <w:szCs w:val="15"/>
          <w:color w:val="auto"/>
        </w:rPr>
        <w:t>complex commercial disputes (the commercial dispute resolution procedures or the optional procedures for large, complex commercial disputes to be referred to, as applicable, as the "Rules"). If there is any inconsistency between the terms hereof and the Rules, the terms and procedures set forth herein shall control. Any party who fails or refuses to submit to arbitration following a demand by any other party shall bear all costs and expenses incurred by such other party in compelling arbitration of any dispute. Nothing contained herein shall be deemed to be a waiver by any party that is a bank of the protections afforded to it under 12 U.S.C. ss.91 or any similar applicable state law.</w:t>
      </w:r>
    </w:p>
    <w:p>
      <w:pPr>
        <w:spacing w:after="0" w:line="179" w:lineRule="exact"/>
        <w:rPr>
          <w:sz w:val="20"/>
          <w:szCs w:val="20"/>
          <w:color w:val="auto"/>
        </w:rPr>
      </w:pPr>
    </w:p>
    <w:p>
      <w:pPr>
        <w:ind w:right="3019" w:firstLine="443"/>
        <w:spacing w:after="0" w:line="264" w:lineRule="auto"/>
        <w:tabs>
          <w:tab w:leader="none" w:pos="81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of Provisional Remedies, Self-Help and Foreclosure. The arbitration requirement does not limit the right of any party to (i) foreclose against real or personal property collateral; (ii) exercise self-help remedies relating to collateral or proceeds of collateral such as setoff or repossession; or (iii) obtain provisional or ancillary remedies such as replevin, injunctive relief, attachment or the appointment of a receiver, before during or after the pendency of any arbitration proceeding. This exclusion does not constitute a waiver of the right or obligation of any party to submit any dispute to arbitration or reference hereunder, including those arising from the exercise of the actions detailed in sections (i), (ii) and (iii) of this paragraph.</w:t>
      </w:r>
    </w:p>
    <w:p>
      <w:pPr>
        <w:spacing w:after="0" w:line="162"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Arbitrator Qualifications and Powers. Any arbitration proceeding in which the amount in controversy is $5,000,000.00 or less will be decided by a single arbitrator selected according to the Rules, and who shall not render an award of greater than $5,000,000.00. Any dispute in which the amount in controversy exceeds $5,000,000.00 shall be decided by majority vote of a panel of three arbitrators; provided however, that all three arbitrators must actively participate in all hearings and deliberations. The arbitrator will be a neutral attorney licensed in the State of Washington or a neutral retired judge of the state or federal judiciary of Washington, in either case with a minimum of ten years experience in the substantive law applicable to the subject matter of the dispute to be arbitrated. The arbitrator will determine whether or not an issue is arbitratable and will give effect to the statutes of limitation in determining any claim. In any arbitration proceeding the arbitrator will decide (by documents only or with a hearing at the arbitrator's discretion) any pre-hearing motions which are similar to motions to dismiss for failure to state a claim or motions for summary adjudication. The arbitrator shall resolve all disputes in accordance with the substantive law of Washington and may grant any remedy or relief that a court of such state could order or grant within the scope hereof and such ancillary relief as is necessary to make effective any award. The arbitrator shall also have the power to award recovery of all costs and fees, to impose sanctions and to take such other action as the arbitrator deems necessary to the same extent a judge could pursuant to the Federal Rules of Civil Procedure, the Washington Rules of Civil Procedure or other applicable law. Judgment upon the award rendered by the arbitrator may be entered in any court having jurisdiction. The institution and maintenance of an action for judicial relief or pursuit of a provisional or ancillary remedy shall not constitute a waiver of the right of any party, including the plaintiff, to submit the controversy or claim to arbitration if any other party contests such action for judicial relief.</w:t>
      </w:r>
    </w:p>
    <w:p>
      <w:pPr>
        <w:spacing w:after="0" w:line="191"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Discovery. In any arbitration proceeding discovery will be permitted in accordance with the Rules. All discovery shall be expressly limited to matters directly relevant to the dispute being arbitrated and must be completed no later than 20 days before the hearing date and within 180 days of the filing of the dispute with the AAA. Any requests for an extension of the discovery periods, or any discovery disputes, will be subject to final determination by the arbitrator upon a showing that the request for discovery is essential for the party's presentation and that no alternative means for obtaining information is available.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90" w:name="page91"/>
    <w:bookmarkEnd w:id="90"/>
    <w:p>
      <w:pPr>
        <w:ind w:right="3099" w:firstLine="443"/>
        <w:spacing w:after="0" w:line="244" w:lineRule="auto"/>
        <w:tabs>
          <w:tab w:leader="none" w:pos="81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Proceedings and Consolidations. The resolution of any dispute arising pursuant to the terms of this Agreement shall be determined by a separate arbitration proceeding and such dispute shall not be consolidated with other disputes or included in any class proceeding.</w:t>
      </w:r>
    </w:p>
    <w:p>
      <w:pPr>
        <w:spacing w:after="0" w:line="175" w:lineRule="exact"/>
        <w:rPr>
          <w:rFonts w:ascii="Courier New" w:cs="Courier New" w:eastAsia="Courier New" w:hAnsi="Courier New"/>
          <w:sz w:val="15"/>
          <w:szCs w:val="15"/>
          <w:color w:val="auto"/>
        </w:rPr>
      </w:pPr>
    </w:p>
    <w:p>
      <w:pPr>
        <w:ind w:right="3199" w:firstLine="443"/>
        <w:spacing w:after="0" w:line="243" w:lineRule="auto"/>
        <w:tabs>
          <w:tab w:leader="none" w:pos="81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Arbitration Costs And Fees. The arbitrator shall award all costs and expenses of the arbitration proceeding.</w:t>
      </w:r>
    </w:p>
    <w:p>
      <w:pPr>
        <w:spacing w:after="0" w:line="176"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To the maximum extent practicable, the AAA, the arbitrators and the parties shall take all action required to conclude any arbitration proceeding within 180 days of the filing of the dispute with the AAA. No arbitrator or other party to an arbitration proceeding may disclose the existence, content or results thereof, except for disclosures of information by a party required in the ordinary course of its business or by applicable law or regulation. If more than one agreement for arbitration by or between the parties potentially applies to a dispute, the arbitration provision most directly related to the Loan Documents or the subject matter of the dispute shall control. This arbitration provision shall survive termination, amendment or expiration of any of the Loan Documents or any relationship between the parties.</w:t>
      </w:r>
    </w:p>
    <w:p>
      <w:pPr>
        <w:spacing w:after="0" w:line="169"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ORAL AGREEMENTS OR ORAL COMMITMENTS TO LOAN MONEY, EXTEND CREDIT OR TO FORBEAR ENFORCING REPAYMENT OF A DEBT ARE NOT ENFORCEABLE UNDER WASHINGTON LAW.</w:t>
      </w:r>
    </w:p>
    <w:p>
      <w:pPr>
        <w:spacing w:after="0" w:line="153"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day and year first written above.</w:t>
      </w:r>
    </w:p>
    <w:p>
      <w:pPr>
        <w:sectPr>
          <w:pgSz w:w="11900" w:h="16838" w:orient="portrait"/>
          <w:cols w:equalWidth="0" w:num="1">
            <w:col w:w="10219"/>
          </w:cols>
          <w:pgMar w:left="240" w:top="638"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WELLS FARGO BANK,</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NATIONAL ASSOCIATION</w:t>
      </w:r>
    </w:p>
    <w:p>
      <w:pPr>
        <w:spacing w:after="0" w:line="187" w:lineRule="exact"/>
        <w:rPr>
          <w:sz w:val="20"/>
          <w:szCs w:val="20"/>
          <w:color w:val="auto"/>
        </w:rPr>
      </w:pPr>
    </w:p>
    <w:p>
      <w:pPr>
        <w:sectPr>
          <w:pgSz w:w="11900" w:h="16838" w:orient="portrait"/>
          <w:cols w:equalWidth="0" w:num="2">
            <w:col w:w="2780" w:space="720"/>
            <w:col w:w="671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/s/ David G. Remington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Thomas Beil</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Thomas Beil, Relationship Manager</w:t>
      </w:r>
    </w:p>
    <w:p>
      <w:pPr>
        <w:spacing w:after="0" w:line="177" w:lineRule="exact"/>
        <w:rPr>
          <w:sz w:val="20"/>
          <w:szCs w:val="20"/>
          <w:color w:val="auto"/>
        </w:rPr>
      </w:pPr>
    </w:p>
    <w:p>
      <w:pPr>
        <w:sectPr>
          <w:pgSz w:w="11900" w:h="16838" w:orient="portrait"/>
          <w:cols w:equalWidth="0" w:num="3">
            <w:col w:w="260" w:space="100"/>
            <w:col w:w="2420" w:space="720"/>
            <w:col w:w="671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VP &amp; CFO</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638" w:right="1440" w:bottom="1440" w:gutter="0" w:footer="0" w:header="0"/>
          <w:type w:val="continuous"/>
        </w:sectPr>
      </w:pPr>
    </w:p>
    <w:bookmarkStart w:id="91" w:name="page92"/>
    <w:bookmarkEnd w:id="91"/>
    <w:p>
      <w:pPr>
        <w:ind w:left="2428"/>
        <w:spacing w:after="0"/>
        <w:rPr>
          <w:sz w:val="20"/>
          <w:szCs w:val="20"/>
          <w:color w:val="auto"/>
        </w:rPr>
      </w:pPr>
      <w:r>
        <w:rPr>
          <w:rFonts w:ascii="Courier New" w:cs="Courier New" w:eastAsia="Courier New" w:hAnsi="Courier New"/>
          <w:sz w:val="15"/>
          <w:szCs w:val="15"/>
          <w:color w:val="auto"/>
        </w:rPr>
        <w:t>ADDENDUM TO PROMISSORY NOTE</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(LIBOR PRICING ADJUSTMENTS)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THIS ADDENDUM is attached to and made a part of that certain promissory note executed by ITRON, INC. ("Borrower") and payable to WELLS FARGO BANK, NATIONAL ASSOCIATION ("Bank"), or order, dated as of February 15, 2002, in the principal amount of Thirty Five Million Dollars ($35,000,000.00) (the "Note").</w:t>
      </w:r>
    </w:p>
    <w:p>
      <w:pPr>
        <w:spacing w:after="0" w:line="176"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following provisions are hereby incorporated into the Note to reflect the interest rate adjustments agreed to by Bank and Borrower: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RATE ADJUSTMENTS:</w:t>
      </w:r>
    </w:p>
    <w:p>
      <w:pPr>
        <w:spacing w:after="0" w:line="178" w:lineRule="exact"/>
        <w:rPr>
          <w:sz w:val="20"/>
          <w:szCs w:val="20"/>
          <w:color w:val="auto"/>
        </w:rPr>
      </w:pPr>
    </w:p>
    <w:p>
      <w:pPr>
        <w:ind w:left="8" w:right="3019" w:hanging="8"/>
        <w:spacing w:after="0" w:line="243"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LIBOR Margin. The initial LIBOR margin applicable to this Note shall be as set forth in the "Interest" paragraph herein.</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Rate Adjustments. Bank shall adjust the LIBOR margin used to determine the rate of interest applicable to LIBOR options selected by Borrower under this Note on a quarterly basis, commencing with the calendar quarter ending September 30, 2001, if required to reflect a change in Borrower's ratio of Funded Debt To EBITDA (as defined in the Credit Agreement referenced herein), in accordance with the following grid:</w:t>
      </w:r>
    </w:p>
    <w:p>
      <w:pPr>
        <w:spacing w:after="0" w:line="176"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Funded</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Applicable</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Annual Unused</w:t>
            </w:r>
          </w:p>
        </w:tc>
      </w:tr>
      <w:tr>
        <w:trPr>
          <w:trHeight w:val="173"/>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Debt/EBITDA</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LIBOR Margin</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Fee</w:t>
            </w:r>
          </w:p>
        </w:tc>
      </w:tr>
      <w:tr>
        <w:trPr>
          <w:trHeight w:val="173"/>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to 2.24</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Libor + 2.00%</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.250%</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1.75</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to 1.99</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Libor + 1.75%</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.125%</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to 1.74</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Libor + 1.50%</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.125%</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1.49</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or less</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Libor + 1.25%</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.125%</w:t>
            </w:r>
          </w:p>
        </w:tc>
      </w:tr>
    </w:tbl>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Each such adjustment shall be effective on the first Business Day of the calendar quarter following the quarter during which Bank receives and reviews Borrower's most current calendar quarter-end financial statements in accordance with any requirements established by Bank for the preparation and delivery thereof.</w:t>
      </w:r>
    </w:p>
    <w:p>
      <w:pPr>
        <w:spacing w:after="0" w:line="177"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IN WITNESS WHEREOF, this Addendum has been executed as of the same date as the Note.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ITRON, INC</w:t>
      </w:r>
    </w:p>
    <w:p>
      <w:pPr>
        <w:sectPr>
          <w:pgSz w:w="11900" w:h="16838" w:orient="portrait"/>
          <w:cols w:equalWidth="0" w:num="1">
            <w:col w:w="10227"/>
          </w:cols>
          <w:pgMar w:left="232" w:top="638" w:right="1440" w:bottom="1440" w:gutter="0" w:footer="0" w:header="0"/>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VP &amp; CFO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48" w:space="260"/>
            <w:col w:w="9419"/>
          </w:cols>
          <w:pgMar w:left="232" w:top="638" w:right="1440" w:bottom="1440" w:gutter="0" w:footer="0" w:header="0"/>
          <w:type w:val="continuous"/>
        </w:sectPr>
      </w:pPr>
    </w:p>
    <w:p>
      <w:pPr>
        <w:spacing w:after="0" w:line="151" w:lineRule="exact"/>
        <w:rPr>
          <w:sz w:val="20"/>
          <w:szCs w:val="20"/>
          <w:color w:val="auto"/>
        </w:rPr>
      </w:pPr>
    </w:p>
    <w:p>
      <w:pPr>
        <w:ind w:left="3508"/>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27"/>
          </w:cols>
          <w:pgMar w:left="232" w:top="638" w:right="1440" w:bottom="1440" w:gutter="0" w:footer="0" w:header="0"/>
          <w:type w:val="continuous"/>
        </w:sectPr>
      </w:pPr>
    </w:p>
    <w:bookmarkStart w:id="92" w:name="page93"/>
    <w:bookmarkEnd w:id="92"/>
    <w:p>
      <w:pPr>
        <w:ind w:left="8"/>
        <w:spacing w:after="0"/>
        <w:tabs>
          <w:tab w:leader="none" w:pos="4487" w:val="left"/>
        </w:tabs>
        <w:rPr>
          <w:sz w:val="20"/>
          <w:szCs w:val="20"/>
          <w:color w:val="auto"/>
        </w:rPr>
      </w:pPr>
      <w:r>
        <w:rPr>
          <w:rFonts w:ascii="Courier New" w:cs="Courier New" w:eastAsia="Courier New" w:hAnsi="Courier New"/>
          <w:sz w:val="15"/>
          <w:szCs w:val="15"/>
          <w:color w:val="auto"/>
        </w:rPr>
        <w:t>WELLS FARGO BANK</w:t>
      </w:r>
      <w:r>
        <w:rPr>
          <w:sz w:val="20"/>
          <w:szCs w:val="20"/>
          <w:color w:val="auto"/>
        </w:rPr>
        <w:tab/>
      </w:r>
      <w:r>
        <w:rPr>
          <w:rFonts w:ascii="Courier New" w:cs="Courier New" w:eastAsia="Courier New" w:hAnsi="Courier New"/>
          <w:sz w:val="14"/>
          <w:szCs w:val="14"/>
          <w:color w:val="auto"/>
        </w:rPr>
        <w:t>REVOLOVING LINE OF CREDIT NOTE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80" w:type="dxa"/>
            <w:vAlign w:val="bottom"/>
          </w:tcPr>
          <w:p>
            <w:pPr>
              <w:jc w:val="right"/>
              <w:ind w:right="2045"/>
              <w:spacing w:after="0"/>
              <w:rPr>
                <w:sz w:val="20"/>
                <w:szCs w:val="20"/>
                <w:color w:val="auto"/>
              </w:rPr>
            </w:pPr>
            <w:r>
              <w:rPr>
                <w:rFonts w:ascii="Courier New" w:cs="Courier New" w:eastAsia="Courier New" w:hAnsi="Courier New"/>
                <w:sz w:val="15"/>
                <w:szCs w:val="15"/>
                <w:color w:val="auto"/>
                <w:w w:val="98"/>
              </w:rPr>
              <w:t>$35,000,000.00</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Spokane, Washington</w:t>
            </w:r>
          </w:p>
        </w:tc>
      </w:tr>
      <w:tr>
        <w:trPr>
          <w:trHeight w:val="173"/>
        </w:trPr>
        <w:tc>
          <w:tcPr>
            <w:tcW w:w="33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February 15, 2002</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VALUE RECEIVED, the undersigned ITRON, INC. ("Borrower") promises to pay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order of WELLS FARGO BANK, NATIONAL ASSOCIATION ("Bank") at its office at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Inland Northwest RCBO, 221 North Wall, Suite 310, Spokane, WA 99201, or at such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place as the holder hereof may designate, in lawful money of the United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States of America and in immediately available funds, the principal sum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$35,000,000.00, or so much thereof as may be advanced and be outstanding, with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thereon, to be computed on each advance from the date of its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disbursement as set forth herein.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As used herein, the following terms shall have the meanings set forth after each, and any other term defined in this Note shall have the meaning set forth at the place defined:</w:t>
      </w:r>
    </w:p>
    <w:p>
      <w:pPr>
        <w:spacing w:after="0" w:line="175" w:lineRule="exact"/>
        <w:rPr>
          <w:sz w:val="20"/>
          <w:szCs w:val="20"/>
          <w:color w:val="auto"/>
        </w:rPr>
      </w:pPr>
    </w:p>
    <w:p>
      <w:pPr>
        <w:ind w:left="8" w:right="3019" w:hanging="8"/>
        <w:spacing w:after="0" w:line="278" w:lineRule="auto"/>
        <w:tabs>
          <w:tab w:leader="none" w:pos="36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means any day except a Saturday, Sunday or any other day on which commercial banks in Washington are authorized or required by law to close.</w:t>
      </w:r>
    </w:p>
    <w:p>
      <w:pPr>
        <w:spacing w:after="0" w:line="152"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Rate Term" means a period commencing on a Business Day and continuing for See Pricing Grid, as designated by Borrower, during which all or a portion of the outstanding principal balance of this Note bears interest determined in relation to LIBOR; provided however, that no Fixed Rate Term may be selected for a principal amount less than $100,000.00; and provided further, that no Fixed Rate Term shall extend beyond the scheduled maturity date hereof. If any Fixed Rate Term would end on a day which is not a Business Day, then such Fixed Rate Term shall be extended to the next succeeding Business Day.</w:t>
      </w:r>
    </w:p>
    <w:p>
      <w:pPr>
        <w:spacing w:after="0" w:line="178" w:lineRule="exact"/>
        <w:rPr>
          <w:rFonts w:ascii="Courier New" w:cs="Courier New" w:eastAsia="Courier New" w:hAnsi="Courier New"/>
          <w:sz w:val="15"/>
          <w:szCs w:val="15"/>
          <w:color w:val="auto"/>
        </w:rPr>
      </w:pPr>
    </w:p>
    <w:p>
      <w:pPr>
        <w:ind w:left="8" w:right="3459" w:hanging="8"/>
        <w:spacing w:after="0" w:line="244" w:lineRule="auto"/>
        <w:tabs>
          <w:tab w:leader="none" w:pos="36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means the rate per annum (rounded upward, if necessary, to the nearest whole 1/8 of 1 %) determined by dividing Base LIBOR by a percentage equal to 100% less any LIBOR Reserve Percentage.</w:t>
      </w:r>
    </w:p>
    <w:p>
      <w:pPr>
        <w:spacing w:after="0" w:line="175" w:lineRule="exact"/>
        <w:rPr>
          <w:sz w:val="20"/>
          <w:szCs w:val="20"/>
          <w:color w:val="auto"/>
        </w:rPr>
      </w:pPr>
    </w:p>
    <w:p>
      <w:pPr>
        <w:ind w:left="8" w:right="3019" w:hanging="8"/>
        <w:spacing w:after="0" w:line="263" w:lineRule="auto"/>
        <w:tabs>
          <w:tab w:leader="none" w:pos="36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LIBOR" means the rate per annum for United States dollar deposits quoted by Bank as the Inter-Bank Market Offered Rate, with the understanding that such rate is quoted by Bank for the purpose of calculating effective rates of interest for loans making reference thereto, on the first day of a Fixed Rate Term for delivery of funds on said date for a period of time approximately equal to the number of days in such Fixed Rate Term and in an amount approximately equal to the principal amount to which such Fixed Rate Term applies. Borrower understands and agrees that Bank may base its quotation of the Inter-Bank Market Offered Rate upon such offers or other market indicators of the Inter-Bank Market as Bank in its discretion deems appropriate including, but not limited to, the rate offered for U.S. dollar deposits on the London Inter-Bank Market.</w:t>
      </w:r>
    </w:p>
    <w:p>
      <w:pPr>
        <w:spacing w:after="0" w:line="168" w:lineRule="exact"/>
        <w:rPr>
          <w:rFonts w:ascii="Courier New" w:cs="Courier New" w:eastAsia="Courier New" w:hAnsi="Courier New"/>
          <w:sz w:val="14"/>
          <w:szCs w:val="14"/>
          <w:color w:val="auto"/>
        </w:rPr>
      </w:pPr>
    </w:p>
    <w:p>
      <w:pPr>
        <w:ind w:left="8" w:right="3199" w:hanging="8"/>
        <w:spacing w:after="0" w:line="244" w:lineRule="auto"/>
        <w:tabs>
          <w:tab w:leader="none" w:pos="45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Reserve Percentage" means the reserve percentage prescribed by the Board of Governors of the Federal Reserve System (or any successor) for "Eurocurrency Liabilities" (as defined in Regulation D of the Federal Reserve Board, as amended), adjusted by Bank for expected changes in such reserve percentage during the applicable Fixed Rate Term.</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8" w:right="1440" w:bottom="1440" w:gutter="0" w:footer="0" w:header="0"/>
        </w:sectPr>
      </w:pPr>
    </w:p>
    <w:bookmarkStart w:id="93" w:name="page94"/>
    <w:bookmarkEnd w:id="93"/>
    <w:p>
      <w:pPr>
        <w:ind w:left="8" w:right="3019" w:hanging="8"/>
        <w:spacing w:after="0" w:line="265" w:lineRule="auto"/>
        <w:tabs>
          <w:tab w:leader="none" w:pos="36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"Prime Rate" means at any time the rate of interest most recently announced within Bank at its principal office as its Prime Rate, with the understanding that the Prime Rate is one of Bank's base rates and serves as the basis upon which effective rates of interest are calculated for those loans making reference thereto, and is evidenced by the recording thereof after its announcement in such internal publication or publications as Bank may designate.</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w:t>
      </w:r>
    </w:p>
    <w:p>
      <w:pPr>
        <w:spacing w:after="0" w:line="178" w:lineRule="exact"/>
        <w:rPr>
          <w:sz w:val="20"/>
          <w:szCs w:val="20"/>
          <w:color w:val="auto"/>
        </w:rPr>
      </w:pPr>
    </w:p>
    <w:p>
      <w:pPr>
        <w:ind w:left="8" w:right="3019" w:hanging="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 outstanding principal balance of this Note shall bear interest (computed on the basis of a 360-day year, actual days elapsed) either (i) at a fluctuating rate per annum equal to the Prime Rate in effect from time to time, or 00 at a fixed rate per annum determined by Bank to be 1.50000% above LIBOR in effect on the first day of the applicable Fixed Rate Term. When interest is determined in relation to the Prime Rate, each change in the rate of interest hereunder shall become effective on the date each Prime Rate change is announced within Bank. With respect to each LIBOR selection option selected hereunder, Bank is hereby authorized to note the date, principal amount, interest rate and Fixed Rate Term applicable thereto and any payments made thereon on Bank's books and records (either manually or by electronic entry) and/or on any schedule attached to this Note, which notations shall be prima facie evidence of the accuracy of the information noted.</w:t>
      </w:r>
    </w:p>
    <w:p>
      <w:pPr>
        <w:spacing w:after="0" w:line="181"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Interest Rate Options. At any time any portion of this Note bears interest determined in relation to LIBOR, it may be continued by Borrower at the end of the Fixed Rate Term applicable thereto so that all or a portion thereof bears interest determined in relation to the Prime Rate or to LIBOR for a new Fixed Rate Term designated by Borrower. At any time any portion of this Note bears interest determined in relation to the Prime Rate, Borrower may convert all or a portion thereof so that it bears interest determined in relation to LIBOR for a Fixed Rate Term designated by Borrower. At such time as Borrower requests an advance hereunder or wishes to select a LIBOR option for all or a portion of the outstanding principal balance hereof, and at the end of each Fixed Rate Term, Borrower shall give Bank notice specifying: (i) the interest rate option selected by Borrower; (ii) the principal amount subject thereto; and (iii) for each LIBOR selection, the length of the applicable Fixed Rate Term. Any such notice may be given by telephone (or such other electronic method as Bank may permit) so long as, with respect to each LIBOR selection, (A) if requested by Bank, Borrower provides to Bank written confirmation thereof not later than three (3) Business Days after such notice is given, and (B) such notice is given to Bank prior to 10:00 a.m. on the first day of the Fixed Rate Term, or at a later time during any Business Day if Bank, at it's sole option but without obligation to do so, accepts Borrower's notice and quotes a fixed rate to Borrower. If Borrower does not immediately accept a fixed rate when quoted by Bank, the quoted rate shall expire and any subsequent LIBOR request from Borrower shall be subject to a redetermination by Bank of the applicable fixed rate. If no specific designation of interest is made at the time any advance is requested hereunder or at the end of any Fixed Rate Term, Borrower shall be deemed to have made a Prime Rate interest selection for such advance or the principal amount to which such Fixed Rate Term applied.</w:t>
      </w:r>
    </w:p>
    <w:p>
      <w:pPr>
        <w:spacing w:after="0" w:line="190"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 Regulatory Costs. Borrower shall pay to Bank immediately upon demand, in addition to any other amounts due or to become due hereunder, any and all (i) withholdings, interest equalization taxes, stamp taxes or other taxes (except income and franchise taxes) imposed by any domestic or foreign governmental authority and related in any manner to LIBOR, and 00 future, supplemental, emergency or other changes in the LIBOR Reserve Percentage, assessment rates imposed by the Federal Deposit Insurance Corporation, or similar requirements or costs imposed by any domestic or foreign governmental authority or</w:t>
      </w:r>
    </w:p>
    <w:p>
      <w:pPr>
        <w:spacing w:after="0" w:line="35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8" w:right="1440" w:bottom="1440" w:gutter="0" w:footer="0" w:header="0"/>
        </w:sectPr>
      </w:pPr>
    </w:p>
    <w:bookmarkStart w:id="94" w:name="page95"/>
    <w:bookmarkEnd w:id="94"/>
    <w:p>
      <w:pPr>
        <w:ind w:left="8" w:right="3019"/>
        <w:spacing w:after="0" w:line="265" w:lineRule="auto"/>
        <w:rPr>
          <w:sz w:val="20"/>
          <w:szCs w:val="20"/>
          <w:color w:val="auto"/>
        </w:rPr>
      </w:pPr>
      <w:r>
        <w:rPr>
          <w:rFonts w:ascii="Courier New" w:cs="Courier New" w:eastAsia="Courier New" w:hAnsi="Courier New"/>
          <w:sz w:val="14"/>
          <w:szCs w:val="14"/>
          <w:color w:val="auto"/>
        </w:rPr>
        <w:t>resulting from compliance by Bank with any request or directive (whether or not having the force of law) from any central bank or other governmental authority and related in any manner to LIBOR to the extent they are not included in the calculation of LIBOR. In determining which of the foregoing are attributable to any LIBOR option available to Borrower hereunder, any reasonable allocation made by Bank among its operations shall be conclusive and binding upon Borrower.</w:t>
      </w:r>
    </w:p>
    <w:p>
      <w:pPr>
        <w:spacing w:after="0" w:line="163" w:lineRule="exact"/>
        <w:rPr>
          <w:sz w:val="20"/>
          <w:szCs w:val="20"/>
          <w:color w:val="auto"/>
        </w:rPr>
      </w:pPr>
    </w:p>
    <w:p>
      <w:pPr>
        <w:ind w:left="8" w:right="3199" w:hanging="8"/>
        <w:spacing w:after="0" w:line="243"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Interest. Interest accrued on this Note shall be payable on the 15th day of each month, commencing March 15, 2002.</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Interest. From and after the maturity date of this Note, or such earlier date as all principal owing hereunder becomes due and payable by acceleration or otherwise, the outstanding principal balance of this Note shall bear interest until paid in full at an increased rate per annum (computed on the basis of a 360-day year, actual days elapsed) equal to 4% above the rate of interest from time to time applicable to this Note.</w:t>
      </w:r>
    </w:p>
    <w:p>
      <w:pPr>
        <w:spacing w:after="0" w:line="177"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Payments. Borrower authorizes Bank to collect all interest due hereunder by charging Borrower's deposit account number 4311265953 with Bank, or any other deposit account maintained by any Borrower with Bank, for the full amount thereof. Should there be insufficient funds in any such deposit account to pay all such sums when due, the full amount of such deficiency shall be immediately due and payable by Borrower.</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BORROWING AND REPAYMENT:</w:t>
      </w:r>
    </w:p>
    <w:p>
      <w:pPr>
        <w:spacing w:after="0" w:line="178" w:lineRule="exact"/>
        <w:rPr>
          <w:sz w:val="20"/>
          <w:szCs w:val="20"/>
          <w:color w:val="auto"/>
        </w:rPr>
      </w:pPr>
    </w:p>
    <w:p>
      <w:pPr>
        <w:ind w:left="8" w:right="3019" w:hanging="8"/>
        <w:spacing w:after="0" w:line="244" w:lineRule="auto"/>
        <w:tabs>
          <w:tab w:leader="none" w:pos="3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and Repayment. Borrower may from time to time during the term of this Note borrow, partially or wholly repay its outstanding borrowings, and reborrow, subject to all of the limitations, terms and conditions of this Note and of the Credit Agreement between Borrower and Bank defined below; provided however, that the total outstanding borrowings under this Note shall not at any time exceed the principal amount stated above. The unpaid principal balance of this obligation at any time shall be the total amounts advanced hereunder by the holder hereof less the amount of principal payments made hereon by or for any Borrower, which balance may be endorsed hereon from time to time by the holder. The outstanding principal balance of this Note shall be due and payable in full on May 31, 2003.</w:t>
      </w:r>
    </w:p>
    <w:p>
      <w:pPr>
        <w:spacing w:after="0" w:line="180" w:lineRule="exact"/>
        <w:rPr>
          <w:rFonts w:ascii="Courier New" w:cs="Courier New" w:eastAsia="Courier New" w:hAnsi="Courier New"/>
          <w:sz w:val="15"/>
          <w:szCs w:val="15"/>
          <w:color w:val="auto"/>
        </w:rPr>
      </w:pPr>
    </w:p>
    <w:p>
      <w:pPr>
        <w:ind w:left="8" w:right="3019" w:hanging="8"/>
        <w:spacing w:after="0" w:line="262" w:lineRule="auto"/>
        <w:tabs>
          <w:tab w:leader="none" w:pos="36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Advances hereunder, to the total amount of the principal sum available hereunder, may be made by the holder at the oral or written request of</w:t>
      </w:r>
    </w:p>
    <w:p>
      <w:pPr>
        <w:ind w:left="8" w:right="3019" w:hanging="8"/>
        <w:spacing w:after="0" w:line="244" w:lineRule="auto"/>
        <w:tabs>
          <w:tab w:leader="none" w:pos="36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G. REMINGTON, LEROY NOSBAUM, ROB NEILSON, any one acting alone, who are authorized to request advances and direct the disposition of any advances until written notice of the revocation of such authority is received by the holder at the office designated above, or (ii) any person, with respect to advances deposited to the credit of any deposit account of any Borrower, which advances, when so deposited, shall be conclusively presumed to have been made to or for the benefit of each Borrower regardless of the fact that persons other than those authorized to request advances may have authority to draw against such account. [Except as requested by (b) (i) above]. The holder shall have no obligation to determine whether any person requesting an advance is or has been an authorized by any Borrower.</w:t>
      </w:r>
    </w:p>
    <w:p>
      <w:pPr>
        <w:spacing w:after="0" w:line="180"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 Each payment made on this Note shall be credited first, to any interest then due and second, to the outstanding principal balance hereof. All payments credited to principal shall be applied first, to the outstanding principal balance of this Note which bears interest determined in relation to the Prime Rate, if any, and second, to the outstanding principal</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8" w:right="1440" w:bottom="1440" w:gutter="0" w:footer="0" w:header="0"/>
        </w:sectPr>
      </w:pPr>
    </w:p>
    <w:bookmarkStart w:id="95" w:name="page96"/>
    <w:bookmarkEnd w:id="95"/>
    <w:p>
      <w:pPr>
        <w:ind w:left="8" w:right="3099"/>
        <w:spacing w:after="0" w:line="243" w:lineRule="auto"/>
        <w:rPr>
          <w:sz w:val="20"/>
          <w:szCs w:val="20"/>
          <w:color w:val="auto"/>
        </w:rPr>
      </w:pPr>
      <w:r>
        <w:rPr>
          <w:rFonts w:ascii="Courier New" w:cs="Courier New" w:eastAsia="Courier New" w:hAnsi="Courier New"/>
          <w:sz w:val="15"/>
          <w:szCs w:val="15"/>
          <w:color w:val="auto"/>
        </w:rPr>
        <w:t>balance of this Note which bears interest determined in relation to LIBOR, with such payments applied to the oldest Fixed Rate Term first.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PREPAYMENT:</w:t>
      </w:r>
    </w:p>
    <w:p>
      <w:pPr>
        <w:spacing w:after="0" w:line="178" w:lineRule="exact"/>
        <w:rPr>
          <w:sz w:val="20"/>
          <w:szCs w:val="20"/>
          <w:color w:val="auto"/>
        </w:rPr>
      </w:pPr>
    </w:p>
    <w:p>
      <w:pPr>
        <w:ind w:left="8" w:right="3099" w:hanging="8"/>
        <w:spacing w:after="0" w:line="244" w:lineRule="auto"/>
        <w:tabs>
          <w:tab w:leader="none" w:pos="36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Borrower may prepay principal on any portion of this Note which bears interest determined in relation to the Prime Rate at any time, in any amount and without penalty.</w:t>
      </w:r>
    </w:p>
    <w:p>
      <w:pPr>
        <w:spacing w:after="0" w:line="175"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Borrower may prepay principal on any portion of this Note which bears interest determined in relation to LIBOR at any time and in the minimum amount of $100,000.00; provided however, that if the outstanding principal balance of such portion of this Note is less than said amount, the minimum prepayment amount shall be the entire outstanding principal balance thereof. In consideration of Bank providing this prepayment option to Borrower, or if any such portion of this Note shall P6come due and payable at any time prior to the last day of the Fixed Rate Term applicable thereto by acceleration or otherwise, Borrower shall pay to Bank immediately upon demand a fee which is the sum of the discounted monthly differences for each month from the month of prepayment through the month in which such Fixed Rate Term matures, calculated as follows for each such month:</w:t>
      </w:r>
    </w:p>
    <w:p>
      <w:pPr>
        <w:spacing w:after="0" w:line="181" w:lineRule="exact"/>
        <w:rPr>
          <w:sz w:val="20"/>
          <w:szCs w:val="20"/>
          <w:color w:val="auto"/>
        </w:rPr>
      </w:pPr>
    </w:p>
    <w:p>
      <w:pPr>
        <w:ind w:left="8" w:right="3099" w:hanging="8"/>
        <w:spacing w:after="0" w:line="244" w:lineRule="auto"/>
        <w:tabs>
          <w:tab w:leader="none" w:pos="36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amount of interest which would have accrued each month on the amount prepaid at the interest rate applicable to such amount had it remained outstanding until the last day of the Fixed Rate Term applicable thereto.</w:t>
      </w:r>
    </w:p>
    <w:p>
      <w:pPr>
        <w:spacing w:after="0" w:line="175" w:lineRule="exact"/>
        <w:rPr>
          <w:rFonts w:ascii="Courier New" w:cs="Courier New" w:eastAsia="Courier New" w:hAnsi="Courier New"/>
          <w:sz w:val="15"/>
          <w:szCs w:val="15"/>
          <w:color w:val="auto"/>
        </w:rPr>
      </w:pPr>
    </w:p>
    <w:p>
      <w:pPr>
        <w:ind w:left="8" w:right="3199" w:hanging="8"/>
        <w:spacing w:after="0" w:line="244" w:lineRule="auto"/>
        <w:tabs>
          <w:tab w:leader="none" w:pos="45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 from the amount determined in (i) above the amount of interest which would have accrued for the same month on the amount prepaid for the remaining term of such Fixed Rate Term at LIBOR in effect on the date of prepayment for new loans made for such term and in a principal amount equal to the amount prepaid.</w:t>
      </w:r>
    </w:p>
    <w:p>
      <w:pPr>
        <w:spacing w:after="0" w:line="176" w:lineRule="exact"/>
        <w:rPr>
          <w:rFonts w:ascii="Courier New" w:cs="Courier New" w:eastAsia="Courier New" w:hAnsi="Courier New"/>
          <w:sz w:val="15"/>
          <w:szCs w:val="15"/>
          <w:color w:val="auto"/>
        </w:rPr>
      </w:pPr>
    </w:p>
    <w:p>
      <w:pPr>
        <w:ind w:left="8" w:right="3019" w:hanging="8"/>
        <w:spacing w:after="0" w:line="263" w:lineRule="auto"/>
        <w:tabs>
          <w:tab w:leader="none" w:pos="54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result obtained in (ii) for any month is greater than zero, discount that difference by LIBOR used in (ii) above. Each Borrower acknowledges that prepayment of such amount may result in Bank incurring additional costs, expenses and/or liabilities, and that it is difficult to ascertain the full extent of such costs, expenses and/or liabilities. Each Borrower, therefore, agrees to pay the above-described prepayment fee and agrees that said amount represents a reasonable estimate of the prepayment costs, expenses and/or liabilities of Bank. If Borrower fails to pay any prepayment fee when due, the amount of such prepayment fee shall thereafter bear interest until paid at a rate per annum 2.000% above the Prime Rate in effect from time to time (computed on the basis of a 360-day year, actual days elapsed). Each change in the rate of interest on any such past due prepayment fee shall become effective on the date each Prime Rate change is announced within Bank.</w:t>
      </w:r>
    </w:p>
    <w:p>
      <w:pPr>
        <w:spacing w:after="0" w:line="34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This Note is made pursuant to and is subject to the terms and conditions of that certain Credit Agreement between Borrower and Bank dated as of February 15, 2002, as amended from time to time (the "Credit Agreement"). Any default in the payment or performance of any obligation under this Note, or any defined event of default under the Credit Agreement, shall constitute an "Event of Default" under this Note.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MISCELLANEOUS:</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8" w:right="1440" w:bottom="1440" w:gutter="0" w:footer="0" w:header="0"/>
        </w:sectPr>
      </w:pPr>
    </w:p>
    <w:bookmarkStart w:id="96" w:name="page97"/>
    <w:bookmarkEnd w:id="96"/>
    <w:p>
      <w:pPr>
        <w:ind w:left="8" w:right="3019" w:hanging="8"/>
        <w:spacing w:after="0" w:line="244" w:lineRule="auto"/>
        <w:tabs>
          <w:tab w:leader="none" w:pos="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of any Event of Default, the holder of this Note, at the holder's option, may declare all sums of principal and interest outstanding hereunder to be immediately due and payable without presentment, demand, notice of nonperformance, notice of protest, protest or notice of dishonor, all of which are expressly waived by each Borrower, and-the obligation, if any, of the holder to extend any further credit hereunder shall immediately cease and terminate. Each Borrower shall pay to the holder immediately upon demand the full amount of all payments, advances, charges, costs and expenses, including reasonable attorneys' fees (to include outside counsel fees and all allocated costs of the holder's in-house counsel), expended or incurred by the holder in connection with the enforcement of the holder's rights and/or the collection of any amounts which become due to the holder under this Note, and the prosecution or defense of any action in any way related to this Note,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any Borrower or any other person or entity.</w:t>
      </w:r>
    </w:p>
    <w:p>
      <w:pPr>
        <w:spacing w:after="0" w:line="185" w:lineRule="exact"/>
        <w:rPr>
          <w:rFonts w:ascii="Courier New" w:cs="Courier New" w:eastAsia="Courier New" w:hAnsi="Courier New"/>
          <w:sz w:val="15"/>
          <w:szCs w:val="15"/>
          <w:color w:val="auto"/>
        </w:rPr>
      </w:pPr>
    </w:p>
    <w:p>
      <w:pPr>
        <w:jc w:val="both"/>
        <w:ind w:left="8" w:right="3279" w:hanging="8"/>
        <w:spacing w:after="0" w:line="244" w:lineRule="auto"/>
        <w:tabs>
          <w:tab w:leader="none" w:pos="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Joint and Several. Should more than one person or entity sign this Note as a Borrower, the obligations of each such Borrower shall be joint and several.</w:t>
      </w:r>
    </w:p>
    <w:p>
      <w:pPr>
        <w:spacing w:after="0" w:line="175" w:lineRule="exact"/>
        <w:rPr>
          <w:rFonts w:ascii="Courier New" w:cs="Courier New" w:eastAsia="Courier New" w:hAnsi="Courier New"/>
          <w:sz w:val="15"/>
          <w:szCs w:val="15"/>
          <w:color w:val="auto"/>
        </w:rPr>
      </w:pPr>
    </w:p>
    <w:p>
      <w:pPr>
        <w:ind w:left="8" w:right="3279" w:hanging="8"/>
        <w:spacing w:after="0" w:line="243" w:lineRule="auto"/>
        <w:tabs>
          <w:tab w:leader="none" w:pos="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Note shall be governed by and construed in accordance with the laws of the State of Washington.</w:t>
      </w:r>
    </w:p>
    <w:p>
      <w:pPr>
        <w:spacing w:after="0" w:line="176" w:lineRule="exact"/>
        <w:rPr>
          <w:sz w:val="20"/>
          <w:szCs w:val="20"/>
          <w:color w:val="auto"/>
        </w:rPr>
      </w:pPr>
    </w:p>
    <w:p>
      <w:pPr>
        <w:ind w:left="8" w:right="3199"/>
        <w:spacing w:after="0" w:line="278" w:lineRule="auto"/>
        <w:rPr>
          <w:sz w:val="20"/>
          <w:szCs w:val="20"/>
          <w:color w:val="auto"/>
        </w:rPr>
      </w:pPr>
      <w:r>
        <w:rPr>
          <w:rFonts w:ascii="Courier New" w:cs="Courier New" w:eastAsia="Courier New" w:hAnsi="Courier New"/>
          <w:sz w:val="14"/>
          <w:szCs w:val="14"/>
          <w:color w:val="auto"/>
        </w:rPr>
        <w:t>ORAL AGREEMENTS OR ORAL COMMITMENTS TO LOAN MONEY, EXTEND CREDIT OR TO FORBEAR ENFORCING REPAYMENT OF A DEBT ARE NOT ENFORCEABLE UNDER WASHINGTON LAW.</w:t>
      </w:r>
    </w:p>
    <w:p>
      <w:pPr>
        <w:spacing w:after="0" w:line="153"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IN WITNESS WHEREOF, the undersigned has executed this Note as of the date first written above.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ITRON, INC.</w:t>
      </w:r>
    </w:p>
    <w:p>
      <w:pPr>
        <w:sectPr>
          <w:pgSz w:w="11900" w:h="16838" w:orient="portrait"/>
          <w:cols w:equalWidth="0" w:num="1">
            <w:col w:w="10227"/>
          </w:cols>
          <w:pgMar w:left="232" w:top="638" w:right="1440" w:bottom="1440" w:gutter="0" w:footer="0" w:header="0"/>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VP &amp; CFO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48" w:space="260"/>
            <w:col w:w="941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CONTINUING SECURITY AGREEMENT: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RIGHTS TO PAYMENT AND INVENTORY</w:t>
      </w:r>
    </w:p>
    <w:p>
      <w:pPr>
        <w:spacing w:after="0" w:line="178" w:lineRule="exact"/>
        <w:rPr>
          <w:sz w:val="20"/>
          <w:szCs w:val="20"/>
          <w:color w:val="auto"/>
        </w:rPr>
      </w:pPr>
    </w:p>
    <w:p>
      <w:pPr>
        <w:ind w:left="8" w:right="3019" w:hanging="8"/>
        <w:spacing w:after="0" w:line="244" w:lineRule="auto"/>
        <w:tabs>
          <w:tab w:leader="none" w:pos="27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SECURITY INTEREST. For valuable consideration, the undersigned ITRON, INC., a Washington corporation, or any of them ("Debtor"), hereby grants and transfers to WELLS FARGO BANK, NATIONAL ASSOCIATION ("Bank") a security interest in all accounts, deposit accounts, chattel paper (whether electronic or tangible), instruments, promissory notes, documents, general intangibles (other than intellectual property), payment intangibles, letter or credit rights, health-care insurance receivables and other rights to payment (collectively called "Rights to Payment"), now existing or at any time hereafter, and prior to the termination hereof, arising (whether they arise from the sale, lease or other disposition of inventory or from performance of contracts for service, manufacture, construction, repair or otherwise or from any other source whatsoever), including all securities, guaranties, warranties, indemnity agreements, insurance policies, supporting obligations and other agreements pertaining to the same or the property described therein, and in all goods returned by or repossessed from Debtor's customers, together with a security interest in all inventory, goods</w:t>
      </w:r>
    </w:p>
    <w:p>
      <w:pPr>
        <w:spacing w:after="0" w:line="35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8" w:right="1440" w:bottom="1440" w:gutter="0" w:footer="0" w:header="0"/>
          <w:type w:val="continuous"/>
        </w:sectPr>
      </w:pPr>
    </w:p>
    <w:bookmarkStart w:id="97" w:name="page98"/>
    <w:bookmarkEnd w:id="97"/>
    <w:p>
      <w:pPr>
        <w:ind w:left="8" w:right="3019"/>
        <w:spacing w:after="0" w:line="263" w:lineRule="auto"/>
        <w:rPr>
          <w:sz w:val="20"/>
          <w:szCs w:val="20"/>
          <w:color w:val="auto"/>
        </w:rPr>
      </w:pPr>
      <w:r>
        <w:rPr>
          <w:rFonts w:ascii="Courier New" w:cs="Courier New" w:eastAsia="Courier New" w:hAnsi="Courier New"/>
          <w:sz w:val="14"/>
          <w:szCs w:val="14"/>
          <w:color w:val="auto"/>
        </w:rPr>
        <w:t>held for sale or lease or to be furnished under contracts for service, goods so leased or furnished, raw materials, component parts and embedded software, work in process or materials used or consumed in Debtor's business and all warehouse receipts, bills of lading and other documents evidencing goods owned or acquired by Debtor, and all goods covered thereby, now or at any time hereafter, and prior to the termination hereof, owned or acquired by Debtor, wherever located, and all products thereof (collectively called "Inventory"), whether in the possession of Debtor, warehousemen, bailees or any other person, or in process of delivery, and whether located at Debtor's places of business or elsewhere (with all Rights to Payment and Inventory referred to herein collectively as the "Collateral"), together with whatever is receivable or received when any of the Collateral or proceeds thereof are sold, leased, collected, exchanged or otherwise disposed of, whether such disposition is voluntary or involuntary, including without limitation, all Rights to Payment, including returned premiums, with respect to any insurance relating to any of the foregoing, and all Rights to Payment with respect to any claim or cause of action affecting or relating to any of the foregoing (hereinafter called "Proceeds").</w:t>
      </w:r>
    </w:p>
    <w:p>
      <w:pPr>
        <w:spacing w:after="0" w:line="340" w:lineRule="exact"/>
        <w:rPr>
          <w:sz w:val="20"/>
          <w:szCs w:val="20"/>
          <w:color w:val="auto"/>
        </w:rPr>
      </w:pPr>
    </w:p>
    <w:p>
      <w:pPr>
        <w:ind w:left="8" w:right="3019" w:hanging="8"/>
        <w:spacing w:after="0" w:line="244" w:lineRule="auto"/>
        <w:tabs>
          <w:tab w:leader="none" w:pos="27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SECURED. The obligations secured hereby are the payment and performance of: (a) all present and future Indebtedness of Debtor to Bank; (b) all obligations of Debtor and rights of Bank under this Agreement; and (c) all present and future obligations of Debtor to Bank of other kinds. The word "Indebtedness" is used herein in its most comprehensive sense and includes any and all advances, debts, obligations and liabilities of Debtor, or any of them, heretofore, now or hereafter made, incurred or created, whether voluntary or involuntary and however arising, whether due or not due, absolute or contingent, liquidated or unliquidated, determined or undetermined, and whether Debtor may be liable individually or jointly with others, or whether recovery upon such Indebtedness may be or hereafter becomes unenforceable.</w:t>
      </w:r>
    </w:p>
    <w:p>
      <w:pPr>
        <w:spacing w:after="0" w:line="180" w:lineRule="exact"/>
        <w:rPr>
          <w:rFonts w:ascii="Courier New" w:cs="Courier New" w:eastAsia="Courier New" w:hAnsi="Courier New"/>
          <w:sz w:val="15"/>
          <w:szCs w:val="15"/>
          <w:color w:val="auto"/>
        </w:rPr>
      </w:pPr>
    </w:p>
    <w:p>
      <w:pPr>
        <w:ind w:left="8" w:right="3099" w:hanging="8"/>
        <w:spacing w:after="0" w:line="244" w:lineRule="auto"/>
        <w:tabs>
          <w:tab w:leader="none" w:pos="27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will terminate upon the performance of all obligations of Debtor to Bank, including without limitation, the payment of all Indebtedness of Debtor to Bank, and the termination of all commitments of Bank to extend credit to Debtor, existing at the time Bank receives written notice from Debtor of the termination of this Agreement.</w:t>
      </w:r>
    </w:p>
    <w:p>
      <w:pPr>
        <w:spacing w:after="0" w:line="176" w:lineRule="exact"/>
        <w:rPr>
          <w:rFonts w:ascii="Courier New" w:cs="Courier New" w:eastAsia="Courier New" w:hAnsi="Courier New"/>
          <w:sz w:val="15"/>
          <w:szCs w:val="15"/>
          <w:color w:val="auto"/>
        </w:rPr>
      </w:pPr>
    </w:p>
    <w:p>
      <w:pPr>
        <w:ind w:left="8" w:right="3099" w:hanging="8"/>
        <w:spacing w:after="0" w:line="244" w:lineRule="auto"/>
        <w:tabs>
          <w:tab w:leader="none" w:pos="27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BANK. Bank has no obligation to make any loans hereunder. Any money received by Bank in respect of the Collateral may be deposited, at Bank's option, into a non-interest bearing account over which Debtor shall have no control, and the same shall, for all purposes, be deemed Collateral hereunder.</w:t>
      </w:r>
    </w:p>
    <w:p>
      <w:pPr>
        <w:spacing w:after="0" w:line="175"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Debtor represents and warrants to Bank that:</w:t>
      </w:r>
    </w:p>
    <w:p>
      <w:pPr>
        <w:spacing w:after="0" w:line="4" w:lineRule="exact"/>
        <w:rPr>
          <w:rFonts w:ascii="Courier New" w:cs="Courier New" w:eastAsia="Courier New" w:hAnsi="Courier New"/>
          <w:sz w:val="15"/>
          <w:szCs w:val="15"/>
          <w:color w:val="auto"/>
        </w:rPr>
      </w:pPr>
    </w:p>
    <w:p>
      <w:pPr>
        <w:ind w:left="8" w:right="301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Debtor's legal name is exactly as set forth on the first page of this Agreement, and all of Debtor's organizational documents or agreements delivered to Bank are complete and accurate in every respect; (b) Debtor is the owner and has possession or control of the Collateral and Proceeds; (c) Debtor has the exclusive right to grant a security interest in the Collateral and Proceeds; (d) all Collateral and Proceeds are genuine, free from liens, adverse claims, setoffs, default, prepayment, defenses and conditions precedent of any kind or character, except the lien created hereby or as otherwise agreed to by Bank, or as heretofore disclosed by Debtor to Bank, in writing; (e) all statements contained herein and, when made and where applicable, in the Collateral are true and complete in all material respects; (f) no financing statement covering any of the Collateral or Proceeds, and naming any secured party other than Bank, is on file in any public office; (g) all persons appearing to be obligated on Rights to Payment and Proceeds have and will continue to have authority and capacity to contract and are and will be bound as they appear to be; (h) all property subject to chattel paper has been properly registered and filed</w:t>
      </w:r>
    </w:p>
    <w:p>
      <w:pPr>
        <w:spacing w:after="0" w:line="200" w:lineRule="exact"/>
        <w:rPr>
          <w:sz w:val="20"/>
          <w:szCs w:val="20"/>
          <w:color w:val="auto"/>
        </w:rPr>
      </w:pPr>
    </w:p>
    <w:p>
      <w:pPr>
        <w:spacing w:after="0" w:line="31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8" w:right="1440" w:bottom="1440" w:gutter="0" w:footer="0" w:header="0"/>
        </w:sectPr>
      </w:pPr>
    </w:p>
    <w:bookmarkStart w:id="98" w:name="page99"/>
    <w:bookmarkEnd w:id="98"/>
    <w:p>
      <w:pPr>
        <w:ind w:left="8" w:right="3019"/>
        <w:spacing w:after="0" w:line="244" w:lineRule="auto"/>
        <w:rPr>
          <w:sz w:val="20"/>
          <w:szCs w:val="20"/>
          <w:color w:val="auto"/>
        </w:rPr>
      </w:pPr>
      <w:r>
        <w:rPr>
          <w:rFonts w:ascii="Courier New" w:cs="Courier New" w:eastAsia="Courier New" w:hAnsi="Courier New"/>
          <w:sz w:val="15"/>
          <w:szCs w:val="15"/>
          <w:color w:val="auto"/>
        </w:rPr>
        <w:t>in compliance with law and to perfect the interest of Debtor in such property; and (i) all Rights to Payment and Proceeds comply and will comply with all applicable laws concerning form, content and manner of preparation and execution, including where applicable Federal Reserve Regulation Z and any State consumer credit laws.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 COVENANTS OF DEBTOR.</w:t>
      </w:r>
    </w:p>
    <w:p>
      <w:pPr>
        <w:spacing w:after="0" w:line="177" w:lineRule="exact"/>
        <w:rPr>
          <w:sz w:val="20"/>
          <w:szCs w:val="20"/>
          <w:color w:val="auto"/>
        </w:rPr>
      </w:pPr>
    </w:p>
    <w:p>
      <w:pPr>
        <w:ind w:left="368" w:hanging="368"/>
        <w:spacing w:after="0"/>
        <w:tabs>
          <w:tab w:leader="none" w:pos="36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Debtor agrees in general: (i) to pay Indebtedness secured hereby when due;</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Bank against all losses, claims, demands, liabilities and</w:t>
      </w:r>
    </w:p>
    <w:p>
      <w:pPr>
        <w:spacing w:after="0" w:line="4"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every kind caused by property subject hereto; (iii) to pay all costs and expenses, including reasonable attorneys' fees, incurred by Bank in the perfection and preservation of the Collateral or Bank's interest therein and/or the realization, enforcement and exercise of Bank's rights, powers and remedies hereunder; (iv) to permit Bank to exercise its powers; (v) to execute and deliver such documents as Bank deems necessary to create, perfect and continue the security interests contemplated hereby; (vi) not to change its name, and as applicable, its chief executive office, its principal residence or the jurisdiction in which it is organized and/or registered without giving Bank prior written notice thereof; (vii) not to change the places where Debtor keeps any Collateral or Debtor's records concerning the Collateral and Proceeds without giving Bank prior written notice of the address to which Debtor is moving same; and (viii) to cooperate with Bank in perfecting all security interests granted herein and in obtaining such agreements from third parties as Bank deems necessary, proper or convenient in connection with the preservation, perfection or enforcement of any of its rights hereunder.</w:t>
      </w:r>
    </w:p>
    <w:p>
      <w:pPr>
        <w:spacing w:after="0" w:line="183" w:lineRule="exact"/>
        <w:rPr>
          <w:rFonts w:ascii="Courier New" w:cs="Courier New" w:eastAsia="Courier New" w:hAnsi="Courier New"/>
          <w:sz w:val="15"/>
          <w:szCs w:val="15"/>
          <w:color w:val="auto"/>
        </w:rPr>
      </w:pPr>
    </w:p>
    <w:p>
      <w:pPr>
        <w:ind w:left="8" w:right="3019" w:hanging="8"/>
        <w:spacing w:after="0" w:line="262" w:lineRule="auto"/>
        <w:tabs>
          <w:tab w:leader="none" w:pos="3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Debtor agrees with regard to the Collateral and Proceeds, unless Bank agrees otherwise in writing: (i) that Bank is authorized to file financing statements in the name of Debtor to perfect Bank's security interest in Collateral and Proceeds; (ii) to insure Inventory and, where applicable, Rights to Payment with Bank as loss payee, in form, substance and amounts, under agreements, against risks and liabilities, and with insurance companies satisfactory to Bank; (iii) not to use any Inventory for any unlawful purpose or in any way that would void any insurance required to be carried in connection therewith; (iv) not to remove Inventory from Debtor's premises, except in the ordinary course of Debtor's business and except Inventory which consists of mobile goods as defined in the Washington Uniform Commercial Code, in which case Debtor agrees not to remove or permit the removal of the Inventory from its state of domicile for a period in excess of thirty (30) calendar days; (v) not to permit any senior lien on the Collateral or Proceeds, including without limitation, liens arising from the storage of Inventory, except in favor of Bank; (vi) not to sell, hypothecate or dispose of, nor permit the transfer by operation of law of, any of the Collateral or Proceeds or any interest therein, except sales or dispositions of Inventory in the ordinary course of Debtor's business; (vii) to furnish reports to Bank of all acquisitions, returns, sales and other dispositions of Inventory in such form and detail and at such times as Bank may require; (viii) to permit Bank to inspect the Collateral at any time; (ix) to keep, in accordance with generally accepted accounting principles, complete and accurate records regarding all Collateral and Proceeds, and to permit Bank to inspect the same and make copies thereof at any reasonable time; (x) if requested by Bank, to receive and use reasonable diligence to collect Rights to Payment and Proceeds, in trust and as the property of Bank, and to immediately endorse as appropriate and deliver such Rights to Payment and Proceeds to Bank daily in the exact form in which they are received together with a collection report in form satisfactory to Bank; (xi) not to commingle Rights to Payment, Proceeds or collections thereunder with other property; (xii) to give only normal allowances and credits and to advise Bank thereof immediately in writing if they affect any Rights to Payment or Proceeds in any material respect; (xiii) on demand, to deliver to Bank returned property resulting from, or payment equal to, such allowances or credits on any Rights to Payment or Proceeds 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638" w:right="1440" w:bottom="1440" w:gutter="0" w:footer="0" w:header="0"/>
        </w:sectPr>
      </w:pPr>
    </w:p>
    <w:bookmarkStart w:id="99" w:name="page100"/>
    <w:bookmarkEnd w:id="99"/>
    <w:p>
      <w:pPr>
        <w:ind w:left="8" w:right="3019"/>
        <w:spacing w:after="0" w:line="244" w:lineRule="auto"/>
        <w:rPr>
          <w:sz w:val="20"/>
          <w:szCs w:val="20"/>
          <w:color w:val="auto"/>
        </w:rPr>
      </w:pPr>
      <w:r>
        <w:rPr>
          <w:rFonts w:ascii="Courier New" w:cs="Courier New" w:eastAsia="Courier New" w:hAnsi="Courier New"/>
          <w:sz w:val="15"/>
          <w:szCs w:val="15"/>
          <w:color w:val="auto"/>
        </w:rPr>
        <w:t>to execute such documents and do such other things as Bank may reasonably request for the purpose of perfecting, preserving and enforcing its security interest in such returned property; (xiv) from time to time, when requested by Bank, to prepare and deliver a schedule of all Collateral and Proceeds subject to this Agreement and to assign in writing and deliver to Bank all accounts, contracts, leases and other chattel paper, instruments, documents and other evidences thereof; (xv) in the event Bank elects to receive payments of Rights to Payment or Proceeds hereunder, to pay all expenses incurred by Bank in connection therewith, including expenses of accounting, correspondence, collection efforts, reporting to account or contract debtors, filing, recording, record keeping and expenses incidental thereto; and (xvi) to provide any service and do any other acts which may be necessary to maintain, preserve and protect all Collateral and, as appropriate and applicable, to keep all Collateral in good and saleable condition, to deal with the Collateral in accordance with the standards and practices adhered to generally by users and manufacturers of like property, and to keep all Collateral and Proceeds free and clear of all defenses, rights of offset and counterclaims.</w:t>
      </w:r>
    </w:p>
    <w:p>
      <w:pPr>
        <w:spacing w:after="0" w:line="184" w:lineRule="exact"/>
        <w:rPr>
          <w:sz w:val="20"/>
          <w:szCs w:val="20"/>
          <w:color w:val="auto"/>
        </w:rPr>
      </w:pPr>
    </w:p>
    <w:p>
      <w:pPr>
        <w:ind w:left="8" w:right="3019" w:hanging="8"/>
        <w:spacing w:after="0" w:line="244" w:lineRule="auto"/>
        <w:tabs>
          <w:tab w:leader="none" w:pos="27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BANK. Debtor appoints Bank its true attorney in fact to perform any of the following powers, which are coupled with an interest, are irrevocable until termination of this Agreement and may be exercised from time to time by Bank's officers and employees, or any of them, after the occurrence of a default: (a) to perform any obligation of Debtor hereunder in Debtor's name or otherwise; (b) to enforce or forbear from enforcing Bank's rights in the Collateral and Proceeds, and make extension or modification agreements with respect thereto; (c) to release or substitute persons liable on the Collateral or Proceeds and to give receipts and acquittances and compromise disputes in connection therewith; (d) to release or substitute security; (e) to resort to security in any order; (f) to receive, open and read mail addressed to Debtor;</w:t>
      </w:r>
    </w:p>
    <w:p>
      <w:pPr>
        <w:spacing w:after="0" w:line="6"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 to endorse, collect, deliver and receive payment under instruments for the payment of money constituting or relating to Proceeds; (h) to exercise all rights, powers and remedies which Debtor would have, but for this Agreement, with respect to all the Collateral and Proceeds subject hereto; (n) to make withdrawals from and to close deposit accounts or other accounts with any financial institution, wherever located, into which Proceeds may have been deposited, and to apply funds so withdrawn to payment of the Indebtedness; (i) to preserve or release the interest evidenced by chattel paper to which Bank is entitled hereunder and to endorse and deliver any evidence of title incidental thereto; and j) to do all acts and things and execute all documents in the name of Debtor or otherwise, deemed by Bank as necessary, proper and convenient in connection with the enforcement of its rights hereunder.</w:t>
      </w:r>
    </w:p>
    <w:p>
      <w:pPr>
        <w:spacing w:after="0" w:line="18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Debtor appoints Bank its true attorney in fact to perform any of the following powers, which are coupled with an interest, are irrevocable until termination of this Agreement and may be exercised from time to time by Bank's officers and employees, or any of them, whether or not Debtor is in default: (a) to prepare, execute, file, record or deliver notes, assignments, schedules, designation statements, financing statements, continuation statements, termination statements, statements of assignment, applications for registration or like papers to perfect, preserve or release Bank's interest in the Collateral and Proceeds; (b) to take cash, instruments for the payment of money and other property to which Bank is entitled; (c) to verify facts concerning the Collateral and Proceeds by inquiry of obligors thereon, or otherwise, in its own name or a fictitious name; (d) to prepare, adjust, execute, deliver and receive payment under insurance claims with respect to any Collateral, and to collect and receive payment of and endorse any instrument in payment of loss or returned premiums or any other insurance refund or return, and to apply such amounts received by Bank, at Bank's sole option, toward repayment of the Indebtedness or replacement of the Collateral; (e) to enter onto Debtor's premises in inspecting the Collateral; (f) to give notice to account debtors or others of Bank's rights in the Collateral and Proceeds; and (g) to do all acts and things and execute all</w:t>
      </w:r>
    </w:p>
    <w:p>
      <w:pPr>
        <w:spacing w:after="0" w:line="35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638" w:right="1440" w:bottom="1440" w:gutter="0" w:footer="0" w:header="0"/>
        </w:sectPr>
      </w:pPr>
    </w:p>
    <w:bookmarkStart w:id="100" w:name="page101"/>
    <w:bookmarkEnd w:id="100"/>
    <w:p>
      <w:pPr>
        <w:ind w:left="8" w:right="3199"/>
        <w:spacing w:after="0" w:line="244" w:lineRule="auto"/>
        <w:rPr>
          <w:sz w:val="20"/>
          <w:szCs w:val="20"/>
          <w:color w:val="auto"/>
        </w:rPr>
      </w:pPr>
      <w:r>
        <w:rPr>
          <w:rFonts w:ascii="Courier New" w:cs="Courier New" w:eastAsia="Courier New" w:hAnsi="Courier New"/>
          <w:sz w:val="15"/>
          <w:szCs w:val="15"/>
          <w:color w:val="auto"/>
        </w:rPr>
        <w:t>documents in the name of Debtor or otherwise, deemed by Bank as necessary, proper and convenient in connection with the preservation or perfection of its rights hereunder.</w:t>
      </w:r>
    </w:p>
    <w:p>
      <w:pPr>
        <w:spacing w:after="0" w:line="175" w:lineRule="exact"/>
        <w:rPr>
          <w:sz w:val="20"/>
          <w:szCs w:val="20"/>
          <w:color w:val="auto"/>
        </w:rPr>
      </w:pPr>
    </w:p>
    <w:p>
      <w:pPr>
        <w:ind w:left="8" w:right="3019" w:hanging="8"/>
        <w:spacing w:after="0" w:line="264" w:lineRule="auto"/>
        <w:tabs>
          <w:tab w:leader="none" w:pos="27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PREMIUMS, TAXES, CHARGES, LIENS AND ASSESSMENTS. Debtor agrees to pay, prior to delinquency, all insurance premiums, taxes, charges, liens and assessments against the Collateral and Proceeds, and upon the failure of Debtor to do so, Bank at its option may pay any of them and shall be the sole judge of the legality or validity thereof and the amount necessary to discharge the same. Any such payments made by Bank shall be obligations of Debtor to Bank, due and payable immediately upon demand, together with interest at a rate determined in accordance with the provisions of Section 15 hereof, and shall be secured by the Collateral and Proceeds, subject to all terms and conditions of this Agreement.</w:t>
      </w:r>
    </w:p>
    <w:p>
      <w:pPr>
        <w:spacing w:after="0" w:line="163" w:lineRule="exact"/>
        <w:rPr>
          <w:rFonts w:ascii="Courier New" w:cs="Courier New" w:eastAsia="Courier New" w:hAnsi="Courier New"/>
          <w:sz w:val="14"/>
          <w:szCs w:val="14"/>
          <w:color w:val="auto"/>
        </w:rPr>
      </w:pPr>
    </w:p>
    <w:p>
      <w:pPr>
        <w:ind w:left="8" w:right="3019" w:hanging="8"/>
        <w:spacing w:after="0" w:line="244" w:lineRule="auto"/>
        <w:tabs>
          <w:tab w:leader="none" w:pos="27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The occurrence of any of the following shall constitute an "Event of Default" under this Agreement: (a) any representation or warranty made by Debtor herein shall prove to be incorrect, false or misleading in any matey6l respect when made; (b) Debtor shall fail to observe or perform any obligation or agreement contained herein beyond any cure period as set forth in the Credit Agreement (as hereinafter defined), (c) any defined Event of Default as set forth in the Credit Agreement; (d) any material impairment in the rights of Bank in any Collateral or Proceeds, and (e) Bank, in good faith, believes all or any material portion of the Collateral and/or Proceeds to be in danger of misuse, dissipation, commingling, loss, theft, damage or destruction, or otherwise in jeopardy or unsatisfactory in character or value.</w:t>
      </w:r>
    </w:p>
    <w:p>
      <w:pPr>
        <w:spacing w:after="0" w:line="180" w:lineRule="exact"/>
        <w:rPr>
          <w:rFonts w:ascii="Courier New" w:cs="Courier New" w:eastAsia="Courier New" w:hAnsi="Courier New"/>
          <w:sz w:val="15"/>
          <w:szCs w:val="15"/>
          <w:color w:val="auto"/>
        </w:rPr>
      </w:pPr>
    </w:p>
    <w:p>
      <w:pPr>
        <w:ind w:left="8" w:right="3019" w:hanging="8"/>
        <w:spacing w:after="0" w:line="262" w:lineRule="auto"/>
        <w:tabs>
          <w:tab w:leader="none" w:pos="36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Upon the occurrence of any Event of Default, Bank shall have the right to declare immediately due and payable all or any Indebtedness secured hereby and to terminate any commitments to make loans or otherwise extend credit to Debtor. Bank shall have all other rights, powers, privileges and remedies granted to a secured party upon default under the Washington Uniform Commercial Code or otherwise provided by law, including without limitation, the right (a) to contact all persons obligated to Debtor on any Collateral or Proceeds and to instruct such persons to deliver all Collateral and/or Proceeds directly to Bank, and (b) to sell, lease, license or otherwise dispose of any or all Collateral. All rights, powers, privileges and remedies of Bank shall be cumulative. No delay, failure or discontinuance of Bank in exercising any right, power, privilege or remedy hereunder shall affect or operate as a waiver of such right, power, privilege or remedy; nor shall any single or partial exercise of any such right, power, privilege or remedy preclude, waive or otherwise affect any other or further exercise thereof or the exercise of any other right, power, privilege or remedy. Any waiver, permit, consent or approval of any kind by Bank of any default hereunder, or any such waiver of any provisions or conditions hereof, must be in writing and shall be effective only to the extent set forth in writing. It is agreed that public or private sales or other dispositions, for cash or on credit, to a wholesaler or retailer or investor, or user of property of the types subject to this Agreement, or public auctions, are all commercially reasonable since differences in the prices generally realized in the different kinds of dispositions are ordinarily offset by the differences in the costs and credit risks of such dispositions. While an Event of Default exists: (a) Debtor will deliver to Bank from time to time, as requested by Bank, current lists of all Collateral and Proceeds; (b) Debtor will not dispose of any Collateral or Proceeds except on terms approved by Bank; (c) at Bank's request, Debtor will assemble and deliver all Collateral and Proceeds, and books and records pertaining thereto, to Bank at a reasonably convenient place designated by Bank; and (d) Bank may, without notice to Debtor, enter onto Debtor's premises and take possession of the Collateral. With respect to any sale by Bank of any Collateral subject to this Agreement, Debtor hereby expressly grants to Bank the right to sell such Collateral using any or all of Debtor's trademarks, trade names, trade name rights and/or proprietary labels or marks. Debtor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638" w:right="1440" w:bottom="1440" w:gutter="0" w:footer="0" w:header="0"/>
        </w:sectPr>
      </w:pPr>
    </w:p>
    <w:bookmarkStart w:id="101" w:name="page102"/>
    <w:bookmarkEnd w:id="101"/>
    <w:p>
      <w:pPr>
        <w:ind w:left="8" w:right="3459"/>
        <w:spacing w:after="0" w:line="243" w:lineRule="auto"/>
        <w:rPr>
          <w:sz w:val="20"/>
          <w:szCs w:val="20"/>
          <w:color w:val="auto"/>
        </w:rPr>
      </w:pPr>
      <w:r>
        <w:rPr>
          <w:rFonts w:ascii="Courier New" w:cs="Courier New" w:eastAsia="Courier New" w:hAnsi="Courier New"/>
          <w:sz w:val="15"/>
          <w:szCs w:val="15"/>
          <w:color w:val="auto"/>
        </w:rPr>
        <w:t>further agrees that Bank shall have no obligation to process or prepare any Collateral for sale or other disposition.</w:t>
      </w:r>
    </w:p>
    <w:p>
      <w:pPr>
        <w:spacing w:after="0" w:line="176" w:lineRule="exact"/>
        <w:rPr>
          <w:sz w:val="20"/>
          <w:szCs w:val="20"/>
          <w:color w:val="auto"/>
        </w:rPr>
      </w:pPr>
    </w:p>
    <w:p>
      <w:pPr>
        <w:ind w:left="8" w:right="3019" w:hanging="8"/>
        <w:spacing w:after="0" w:line="244" w:lineRule="auto"/>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COLLATERAL AND PROCEEDS; TRANSFER OF INDEBTEDNESS. In disposing of Collateral hereunder, Bank may disclaim all warranties of title, possession, quiet enjoyment and the like. Any proceeds of any disposition of any Collateral or Proceeds, or any part thereof, may be applied by Bank to the payment of expenses incurred by Bank in connection with the foregoing, including reasonable attorneys' fees, and the balance of such proceeds may be applied by Bank toward the payment of the Indebtedness in such order of application as Bank may from time to time elect. Upon the transfer of all or any part of the Indebtedness, Bank may transfer all or any part of the Collateral or Proceeds and shall be fully discharged thereafter from all liability and responsibility with respect to any of the foregoing so transferred, and the transferee shall be vested with all rights and powers of Bank hereunder with respect to any of the foregoing so transferred; but with respect to any Collateral or Proceeds not so transferred, Bank shall retain all rights, powers,' privileges and remedies herein given.</w:t>
      </w:r>
    </w:p>
    <w:p>
      <w:pPr>
        <w:spacing w:after="0" w:line="182"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STATUTE OF LIMITATIONS. Until all Indebtedness shall have been paid in full and all commitments by Bank to extend credit to Debtor have been terminated, the power of sale or other disposition and all other rights, powers, privileges and remedies granted to Bank hereunder shall continue to exist and may be exercised by Bank at any time and from time to time irrespective of the fact that the Indebtedness or any part thereof may have become barred by any statute of limitations, or that the personal liability of Debtor may have ceased, unless such liability shall have ceased due to the payment in full of all Indebtedness secured hereunder.</w:t>
      </w:r>
    </w:p>
    <w:p>
      <w:pPr>
        <w:spacing w:after="0" w:line="179" w:lineRule="exact"/>
        <w:rPr>
          <w:rFonts w:ascii="Courier New" w:cs="Courier New" w:eastAsia="Courier New" w:hAnsi="Courier New"/>
          <w:sz w:val="15"/>
          <w:szCs w:val="15"/>
          <w:color w:val="auto"/>
        </w:rPr>
      </w:pPr>
    </w:p>
    <w:p>
      <w:pPr>
        <w:ind w:left="8" w:right="3019" w:hanging="8"/>
        <w:spacing w:after="0" w:line="262" w:lineRule="auto"/>
        <w:tabs>
          <w:tab w:leader="none" w:pos="36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When there is more than one Debtor named herein: (a) the word "Debtor" shall mean all or any one or more of them as the context requires; (b) the obligations of each Debtor hereunder are joint and several; and (c) until all Indebtedness shall have been paid in full, no Debtor shall have any right of subrogation or contribution, and each Debtor hereby waives any benefit of or right to participate in any of the Collateral or Proceeds or any other security now or hereafter held by Bank. Debtor hereby waives any right to require Bank to</w:t>
      </w:r>
    </w:p>
    <w:p>
      <w:pPr>
        <w:spacing w:after="0" w:line="1"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proceed against Debtor or any other person, (ii) proceed against or exhaust any security from Debtor or any other person, (iii) perform any obligation of Debtor with respect to any Collateral or Proceeds, and (d) make any presentment or demand, or give any notice of nonpayment or nonperformance, protest, notice of protest or notice of dishonor hereunder or in connection with any Collateral or Proceeds. Debtor further waives any right to direct the application of payments or security for any Indebtedness of Debtor or indebtedness of customers of Debtor.</w:t>
      </w:r>
    </w:p>
    <w:p>
      <w:pPr>
        <w:spacing w:after="0" w:line="177" w:lineRule="exact"/>
        <w:rPr>
          <w:rFonts w:ascii="Courier New" w:cs="Courier New" w:eastAsia="Courier New" w:hAnsi="Courier New"/>
          <w:sz w:val="14"/>
          <w:szCs w:val="14"/>
          <w:color w:val="auto"/>
        </w:rPr>
      </w:pPr>
    </w:p>
    <w:p>
      <w:pPr>
        <w:ind w:left="368" w:hanging="368"/>
        <w:spacing w:after="0"/>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demands required under this Agreement</w:t>
      </w:r>
    </w:p>
    <w:p>
      <w:pPr>
        <w:spacing w:after="0" w:line="4" w:lineRule="exact"/>
        <w:rPr>
          <w:rFonts w:ascii="Courier New" w:cs="Courier New" w:eastAsia="Courier New" w:hAnsi="Courier New"/>
          <w:sz w:val="15"/>
          <w:szCs w:val="15"/>
          <w:color w:val="auto"/>
        </w:rPr>
      </w:pPr>
    </w:p>
    <w:p>
      <w:pPr>
        <w:ind w:left="8" w:right="30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must be in writing, addressed to Bank at the address specified in any other loan documents entered into between Debtor and Bank and to Debtor at the address of its chief executive office (or principal residence, if applicable) specified below or to such other address as any party may designate b y written notice to each other party, and shall be deemed to have been given or made as follows: (a) if personally delivered, upon delivery; (b) if sent by mail, upon the earlier of the date of receipt or three (3) days after deposit in the U.S. mail, first class and postage prepaid; and (c) if sent by telecopy, upon receipt.</w:t>
      </w:r>
    </w:p>
    <w:p>
      <w:pPr>
        <w:spacing w:after="0" w:line="164"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EXPENSES AND ATTORNEYS' FEES. Debtor shall pay to Bank immediately upon demand the full amount of all payments, advances, charges, costs and expenses, including reasonable attorneys' fees (to include outside counsel fees and all allocated costs of Bank's in-house counsel), expended or incurred by Bank in exercising any right, power,</w:t>
      </w: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639" w:right="1440" w:bottom="1440" w:gutter="0" w:footer="0" w:header="0"/>
        </w:sectPr>
      </w:pPr>
    </w:p>
    <w:bookmarkStart w:id="102" w:name="page103"/>
    <w:bookmarkEnd w:id="102"/>
    <w:p>
      <w:pPr>
        <w:ind w:left="8" w:right="3019"/>
        <w:spacing w:after="0" w:line="244" w:lineRule="auto"/>
        <w:rPr>
          <w:sz w:val="20"/>
          <w:szCs w:val="20"/>
          <w:color w:val="auto"/>
        </w:rPr>
      </w:pPr>
      <w:r>
        <w:rPr>
          <w:rFonts w:ascii="Courier New" w:cs="Courier New" w:eastAsia="Courier New" w:hAnsi="Courier New"/>
          <w:sz w:val="15"/>
          <w:szCs w:val="15"/>
          <w:color w:val="auto"/>
        </w:rPr>
        <w:t>privilege or remedy conferred by this Agreement or in the enforcement thereof,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Debtor or in any way affecting any of the Collateral or Bank's ability to exercise any of its rights or remedies with respect thereto. All of the foregoing shall be paid by Debtor with interest from the date of demand until paid in full at a rate per annum equal to the greater of ten percent (10%) or Bank's Prime Rate in effect from time to time.</w:t>
      </w:r>
    </w:p>
    <w:p>
      <w:pPr>
        <w:spacing w:after="0" w:line="180" w:lineRule="exact"/>
        <w:rPr>
          <w:sz w:val="20"/>
          <w:szCs w:val="20"/>
          <w:color w:val="auto"/>
        </w:rPr>
      </w:pPr>
    </w:p>
    <w:p>
      <w:pPr>
        <w:ind w:left="8" w:right="3019" w:hanging="8"/>
        <w:spacing w:after="0" w:line="244" w:lineRule="auto"/>
        <w:tabs>
          <w:tab w:leader="none" w:pos="3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ASSIGNS; AMENDMENT; CREDIT AGREEMENT. This Agreement shall be binding upon and inure to the benefit of the heirs, executors, administrators, legal representatives, successors and assigns of the parties, and may be amended or modified only in writing signed by Bank and Debtor. This Agreement is made in connection with that certain Credit Agreement between Debtor and Bank dated as of February 5th, 2002, as amended, restated or replaced from time to time (the "Credit Agreement"). Nothing in this Agreement is intended to be inconsistent with the terms of the Credit Agreement. To the extent of any direct conflict between this Agreement and the Credit Agreement, the Credit Agreement shall govern and prevail.</w:t>
      </w:r>
    </w:p>
    <w:p>
      <w:pPr>
        <w:spacing w:after="0" w:line="179"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MARRIED PERSONS. Any married person who signs this Agreement as Debtor hereby expressly agrees that recourse may be had against his or her separate property for all his or her Indebtedness to Bank secured by the Collateral and Proceeds under this Agreement.</w:t>
      </w:r>
    </w:p>
    <w:p>
      <w:pPr>
        <w:spacing w:after="0" w:line="175"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PROVISIONS. If any provision of this Agreement shall be held to be prohibited by or invalid under applicable law, such provision shall be ineffective only to the extent of such prohibition or invalidity, without invalidating the remainder of such provision or any remaining provisions of this Agreement.</w:t>
      </w:r>
    </w:p>
    <w:p>
      <w:pPr>
        <w:spacing w:after="0" w:line="176" w:lineRule="exact"/>
        <w:rPr>
          <w:rFonts w:ascii="Courier New" w:cs="Courier New" w:eastAsia="Courier New" w:hAnsi="Courier New"/>
          <w:sz w:val="15"/>
          <w:szCs w:val="15"/>
          <w:color w:val="auto"/>
        </w:rPr>
      </w:pPr>
    </w:p>
    <w:p>
      <w:pPr>
        <w:ind w:left="8" w:right="3819" w:hanging="8"/>
        <w:spacing w:after="0" w:line="243" w:lineRule="auto"/>
        <w:tabs>
          <w:tab w:leader="none" w:pos="3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Washington.</w:t>
      </w:r>
    </w:p>
    <w:p>
      <w:pPr>
        <w:spacing w:after="0" w:line="176"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Debtor warrants that Debtor is an organization registered under the laws of the State of Washington.</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Debtor warrants that its chief executive office (or principal residence, if applicable) is located at the following address: 2818 N. Sullivan Rd., Spokane, WA 99216.</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Debtor warrants that the Collateral (except goods in transit) is located or domiciled at the following additional addresses: 2401 N. State Street Waseca, MN 56093: 120 17th Avenue NE, Waseca, MN 56093.</w:t>
      </w:r>
    </w:p>
    <w:p>
      <w:pPr>
        <w:spacing w:after="0" w:line="175"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IN WITNESS WHEREOF, this Agreement has been duly executed as of February 15, 2002.</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ITRON, INC.</w:t>
      </w:r>
    </w:p>
    <w:p>
      <w:pPr>
        <w:sectPr>
          <w:pgSz w:w="11900" w:h="16838" w:orient="portrait"/>
          <w:cols w:equalWidth="0" w:num="1">
            <w:col w:w="10227"/>
          </w:cols>
          <w:pgMar w:left="232" w:top="638" w:right="1440" w:bottom="1440" w:gutter="0" w:footer="0" w:header="0"/>
        </w:sectPr>
      </w:pP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68" w:space="540"/>
            <w:col w:w="941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VP &amp; CFO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548" w:space="260"/>
            <w:col w:w="9419"/>
          </w:cols>
          <w:pgMar w:left="232" w:top="638" w:right="1440" w:bottom="1440" w:gutter="0" w:footer="0" w:header="0"/>
          <w:type w:val="continuous"/>
        </w:sectPr>
      </w:pPr>
    </w:p>
    <w:p>
      <w:pPr>
        <w:ind w:left="3508"/>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27"/>
          </w:cols>
          <w:pgMar w:left="232" w:top="638" w:right="1440" w:bottom="1440" w:gutter="0" w:footer="0" w:header="0"/>
          <w:type w:val="continuous"/>
        </w:sectPr>
      </w:pPr>
    </w:p>
    <w:bookmarkStart w:id="103" w:name="page104"/>
    <w:bookmarkEnd w:id="103"/>
    <w:p>
      <w:pPr>
        <w:ind w:left="6300"/>
        <w:spacing w:after="0"/>
        <w:rPr>
          <w:sz w:val="20"/>
          <w:szCs w:val="20"/>
          <w:color w:val="auto"/>
        </w:rPr>
      </w:pPr>
      <w:r>
        <w:rPr>
          <w:rFonts w:ascii="Courier New" w:cs="Courier New" w:eastAsia="Courier New" w:hAnsi="Courier New"/>
          <w:sz w:val="15"/>
          <w:szCs w:val="15"/>
          <w:color w:val="auto"/>
        </w:rPr>
        <w:t>Exhibit 12</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COMPUTATION OF RATIOS</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67"/>
        </w:trPr>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00" w:type="dxa"/>
            <w:vAlign w:val="bottom"/>
            <w:gridSpan w:val="3"/>
          </w:tcPr>
          <w:p>
            <w:pPr>
              <w:jc w:val="right"/>
              <w:ind w:right="925"/>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spacing w:after="0"/>
              <w:rPr>
                <w:sz w:val="24"/>
                <w:szCs w:val="24"/>
                <w:color w:val="auto"/>
              </w:rPr>
            </w:pPr>
          </w:p>
        </w:tc>
      </w:tr>
      <w:tr>
        <w:trPr>
          <w:trHeight w:val="173"/>
        </w:trPr>
        <w:tc>
          <w:tcPr>
            <w:tcW w:w="6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4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2001</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2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300" w:type="dxa"/>
            <w:vAlign w:val="bottom"/>
            <w:gridSpan w:val="3"/>
          </w:tcPr>
          <w:p>
            <w:pPr>
              <w:jc w:val="right"/>
              <w:ind w:right="845"/>
              <w:spacing w:after="0"/>
              <w:rPr>
                <w:sz w:val="20"/>
                <w:szCs w:val="20"/>
                <w:color w:val="auto"/>
              </w:rPr>
            </w:pPr>
            <w:r>
              <w:rPr>
                <w:rFonts w:ascii="Courier New" w:cs="Courier New" w:eastAsia="Courier New" w:hAnsi="Courier New"/>
                <w:sz w:val="15"/>
                <w:szCs w:val="15"/>
                <w:color w:val="auto"/>
              </w:rPr>
              <w:t>(in thousands, except ratios)</w:t>
            </w:r>
          </w:p>
        </w:tc>
        <w:tc>
          <w:tcPr>
            <w:tcW w:w="1240" w:type="dxa"/>
            <w:vAlign w:val="bottom"/>
          </w:tcPr>
          <w:p>
            <w:pPr>
              <w:spacing w:after="0"/>
              <w:rPr>
                <w:sz w:val="15"/>
                <w:szCs w:val="15"/>
                <w:color w:val="auto"/>
              </w:rPr>
            </w:pPr>
          </w:p>
        </w:tc>
      </w:tr>
      <w:tr>
        <w:trPr>
          <w:trHeight w:val="347"/>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3"/>
        </w:trPr>
        <w:tc>
          <w:tcPr>
            <w:tcW w:w="62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Pre-tax income (loss)</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21,366</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6,924</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(100,266)</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(10,045)</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1,635</w:t>
            </w:r>
          </w:p>
        </w:tc>
      </w:tr>
      <w:tr>
        <w:trPr>
          <w:trHeight w:val="347"/>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3"/>
        </w:trPr>
        <w:tc>
          <w:tcPr>
            <w:tcW w:w="62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Convertible debt amortization</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w:t>
            </w:r>
          </w:p>
        </w:tc>
      </w:tr>
      <w:tr>
        <w:trPr>
          <w:trHeight w:val="173"/>
        </w:trPr>
        <w:tc>
          <w:tcPr>
            <w:tcW w:w="62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Interest capitalized</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994</w:t>
            </w:r>
          </w:p>
        </w:tc>
      </w:tr>
      <w:tr>
        <w:trPr>
          <w:trHeight w:val="173"/>
        </w:trPr>
        <w:tc>
          <w:tcPr>
            <w:tcW w:w="62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Interest expense, gross</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5,199</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5,608</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6,405</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6,557</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3,834</w:t>
            </w:r>
          </w:p>
        </w:tc>
      </w:tr>
      <w:tr>
        <w:trPr>
          <w:trHeight w:val="173"/>
        </w:trPr>
        <w:tc>
          <w:tcPr>
            <w:tcW w:w="6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2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Fixed charges</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5,428</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5,867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6,716</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7,243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5,185</w:t>
            </w:r>
          </w:p>
        </w:tc>
      </w:tr>
      <w:tr>
        <w:trPr>
          <w:trHeight w:val="173"/>
        </w:trPr>
        <w:tc>
          <w:tcPr>
            <w:tcW w:w="6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2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Earnings for ratio</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26,794</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12,791</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(93,550)</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(2,802)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6,820</w:t>
            </w:r>
          </w:p>
        </w:tc>
      </w:tr>
      <w:tr>
        <w:trPr>
          <w:trHeight w:val="347"/>
        </w:trPr>
        <w:tc>
          <w:tcPr>
            <w:tcW w:w="62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3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3"/>
        </w:trPr>
        <w:tc>
          <w:tcPr>
            <w:tcW w:w="62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Earnings to fixed charges (b/a)</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1520"/>
          </w:cols>
          <w:pgMar w:left="240" w:top="487" w:right="139" w:bottom="1440" w:gutter="0" w:footer="0" w:header="0"/>
        </w:sectPr>
      </w:pPr>
    </w:p>
    <w:bookmarkStart w:id="104" w:name="page105"/>
    <w:bookmarkEnd w:id="104"/>
    <w:p>
      <w:pPr>
        <w:ind w:left="6300"/>
        <w:spacing w:after="0"/>
        <w:rPr>
          <w:sz w:val="20"/>
          <w:szCs w:val="20"/>
          <w:color w:val="auto"/>
        </w:rPr>
      </w:pPr>
      <w:r>
        <w:rPr>
          <w:rFonts w:ascii="Courier New" w:cs="Courier New" w:eastAsia="Courier New" w:hAnsi="Courier New"/>
          <w:sz w:val="15"/>
          <w:szCs w:val="15"/>
          <w:color w:val="auto"/>
        </w:rPr>
        <w:t>Exhibit 21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Domestic Subsidiaries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Corporate Headquarters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2818 N. Sullivan Rd.</w:t>
      </w:r>
    </w:p>
    <w:p>
      <w:pPr>
        <w:spacing w:after="0" w:line="3"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Spokane, WA</w:t>
      </w:r>
      <w:r>
        <w:rPr>
          <w:sz w:val="20"/>
          <w:szCs w:val="20"/>
          <w:color w:val="auto"/>
        </w:rPr>
        <w:tab/>
      </w:r>
      <w:r>
        <w:rPr>
          <w:rFonts w:ascii="Courier New" w:cs="Courier New" w:eastAsia="Courier New" w:hAnsi="Courier New"/>
          <w:sz w:val="14"/>
          <w:szCs w:val="14"/>
          <w:color w:val="auto"/>
        </w:rPr>
        <w:t>99216-1897</w:t>
      </w:r>
    </w:p>
    <w:p>
      <w:pPr>
        <w:spacing w:after="0" w:line="177" w:lineRule="exact"/>
        <w:rPr>
          <w:sz w:val="20"/>
          <w:szCs w:val="20"/>
          <w:color w:val="auto"/>
        </w:rPr>
      </w:pPr>
    </w:p>
    <w:p>
      <w:pPr>
        <w:ind w:left="800"/>
        <w:spacing w:after="0"/>
        <w:tabs>
          <w:tab w:leader="none" w:pos="3400" w:val="left"/>
        </w:tabs>
        <w:rPr>
          <w:sz w:val="20"/>
          <w:szCs w:val="20"/>
          <w:color w:val="auto"/>
        </w:rPr>
      </w:pPr>
      <w:r>
        <w:rPr>
          <w:rFonts w:ascii="Courier New" w:cs="Courier New" w:eastAsia="Courier New" w:hAnsi="Courier New"/>
          <w:sz w:val="15"/>
          <w:szCs w:val="15"/>
          <w:color w:val="auto"/>
        </w:rPr>
        <w:t>P.O. Box 15288, Spokane, WA</w:t>
      </w:r>
      <w:r>
        <w:rPr>
          <w:sz w:val="20"/>
          <w:szCs w:val="20"/>
          <w:color w:val="auto"/>
        </w:rPr>
        <w:tab/>
      </w:r>
      <w:r>
        <w:rPr>
          <w:rFonts w:ascii="Courier New" w:cs="Courier New" w:eastAsia="Courier New" w:hAnsi="Courier New"/>
          <w:sz w:val="14"/>
          <w:szCs w:val="14"/>
          <w:color w:val="auto"/>
        </w:rPr>
        <w:t>99215-5288</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Genesis Services Pittsburgh, Inc.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2818 N. Sullivan Rd.</w:t>
      </w:r>
    </w:p>
    <w:p>
      <w:pPr>
        <w:spacing w:after="0" w:line="3"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Spokane, WA</w:t>
      </w:r>
      <w:r>
        <w:rPr>
          <w:sz w:val="20"/>
          <w:szCs w:val="20"/>
          <w:color w:val="auto"/>
        </w:rPr>
        <w:tab/>
      </w:r>
      <w:r>
        <w:rPr>
          <w:rFonts w:ascii="Courier New" w:cs="Courier New" w:eastAsia="Courier New" w:hAnsi="Courier New"/>
          <w:sz w:val="14"/>
          <w:szCs w:val="14"/>
          <w:color w:val="auto"/>
        </w:rPr>
        <w:t>99216-1897</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International, Inc.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2818 N. Sullivan Rd.</w:t>
      </w:r>
    </w:p>
    <w:p>
      <w:pPr>
        <w:spacing w:after="0" w:line="3"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Spokane, WA</w:t>
      </w:r>
      <w:r>
        <w:rPr>
          <w:sz w:val="20"/>
          <w:szCs w:val="20"/>
          <w:color w:val="auto"/>
        </w:rPr>
        <w:tab/>
      </w:r>
      <w:r>
        <w:rPr>
          <w:rFonts w:ascii="Courier New" w:cs="Courier New" w:eastAsia="Courier New" w:hAnsi="Courier New"/>
          <w:sz w:val="14"/>
          <w:szCs w:val="14"/>
          <w:color w:val="auto"/>
        </w:rPr>
        <w:t>99216-1897</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Finance, Inc.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2818 N. Sullivan Rd.</w:t>
      </w:r>
    </w:p>
    <w:p>
      <w:pPr>
        <w:spacing w:after="0" w:line="3"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Spokane, WA</w:t>
      </w:r>
      <w:r>
        <w:rPr>
          <w:sz w:val="20"/>
          <w:szCs w:val="20"/>
          <w:color w:val="auto"/>
        </w:rPr>
        <w:tab/>
      </w:r>
      <w:r>
        <w:rPr>
          <w:rFonts w:ascii="Courier New" w:cs="Courier New" w:eastAsia="Courier New" w:hAnsi="Courier New"/>
          <w:sz w:val="14"/>
          <w:szCs w:val="14"/>
          <w:color w:val="auto"/>
        </w:rPr>
        <w:t>99216-1897</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Connecticut Finance, Inc.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2818 N. Sullivan Rd.</w:t>
      </w:r>
    </w:p>
    <w:p>
      <w:pPr>
        <w:spacing w:after="0" w:line="3"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Spokane, WA</w:t>
      </w:r>
      <w:r>
        <w:rPr>
          <w:sz w:val="20"/>
          <w:szCs w:val="20"/>
          <w:color w:val="auto"/>
        </w:rPr>
        <w:tab/>
      </w:r>
      <w:r>
        <w:rPr>
          <w:rFonts w:ascii="Courier New" w:cs="Courier New" w:eastAsia="Courier New" w:hAnsi="Courier New"/>
          <w:sz w:val="14"/>
          <w:szCs w:val="14"/>
          <w:color w:val="auto"/>
        </w:rPr>
        <w:t>99216-1897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International Subsidiaries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S.A.</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Espace St. Germain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30 Avenue du General Leclerc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38208 Vienne, Cedex</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FRANCE</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Ltd.</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Kilnbrook House, Rose Kiln Lane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Reading, Berkshire RG2 0BY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UNITED KINGDOM</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Itron Australasia Pty. Ltd.</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Level 5, 33 Erskine Street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Sydney, NSW 2000</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AUSTRALIA</w:t>
      </w:r>
    </w:p>
    <w:p>
      <w:pPr>
        <w:sectPr>
          <w:pgSz w:w="11900" w:h="16838" w:orient="portrait"/>
          <w:cols w:equalWidth="0" w:num="1">
            <w:col w:w="10219"/>
          </w:cols>
          <w:pgMar w:left="240" w:top="661"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6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333-28933, 333-63147, 333-04685, 333-86581, 333-40356, 333-81925, and 333-86196 of Itron, Inc. and subsidiaries on Form S-8 of our report dated February 12, 2002, and March 18, 2002, as to Note 18, (which expresses an unqualified opinion and includes an explanatory paragraph relating to the change in the method of accounting for revenues in 2000) appearing in this Annual Report on Form 10-K of Itron, Inc. and subsidiaries for the year ended December 31,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2002</w:t>
      </w:r>
    </w:p>
    <w:sectPr>
      <w:pgSz w:w="11900" w:h="16838" w:orient="portrait"/>
      <w:cols w:equalWidth="0" w:num="1">
        <w:col w:w="10219"/>
      </w:cols>
      <w:pgMar w:left="2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upperLetter"/>
      <w:start w:val="24"/>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2"/>
    </w:lvl>
  </w:abstractNum>
  <w:abstractNum w:abstractNumId="13">
    <w:nsid w:val="3855585C"/>
    <w:multiLevelType w:val="hybridMultilevel"/>
    <w:lvl w:ilvl="0">
      <w:lvlJc w:val="left"/>
      <w:lvlText w:val="-"/>
      <w:numFmt w:val="bullet"/>
      <w:start w:val="1"/>
    </w:lvl>
    <w:lvl w:ilvl="1">
      <w:lvlJc w:val="left"/>
      <w:lvlText w:val="%2"/>
      <w:numFmt w:val="decimal"/>
      <w:start w:val="21"/>
    </w:lvl>
  </w:abstractNum>
  <w:abstractNum w:abstractNumId="14">
    <w:nsid w:val="70A64E2A"/>
    <w:multiLevelType w:val="hybridMultilevel"/>
    <w:lvl w:ilvl="0">
      <w:lvlJc w:val="left"/>
      <w:lvlText w:val="-"/>
      <w:numFmt w:val="bullet"/>
      <w:start w:val="1"/>
    </w:lvl>
    <w:lvl w:ilvl="1">
      <w:lvlJc w:val="left"/>
      <w:lvlText w:val="%2"/>
      <w:numFmt w:val="decimal"/>
      <w:start w:val="23"/>
    </w:lvl>
  </w:abstractNum>
  <w:abstractNum w:abstractNumId="15">
    <w:nsid w:val="6A2342EC"/>
    <w:multiLevelType w:val="hybridMultilevel"/>
    <w:lvl w:ilvl="0">
      <w:lvlJc w:val="left"/>
      <w:lvlText w:val="(%1)"/>
      <w:numFmt w:val="upperLetter"/>
      <w:start w:val="1"/>
    </w:lvl>
  </w:abstractNum>
  <w:abstractNum w:abstractNumId="16">
    <w:nsid w:val="2A487CB0"/>
    <w:multiLevelType w:val="hybridMultilevel"/>
    <w:lvl w:ilvl="0">
      <w:lvlJc w:val="left"/>
      <w:lvlText w:val="-"/>
      <w:numFmt w:val="bullet"/>
      <w:start w:val="1"/>
    </w:lvl>
    <w:lvl w:ilvl="1">
      <w:lvlJc w:val="left"/>
      <w:lvlText w:val="%2"/>
      <w:numFmt w:val="upperLetter"/>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2"/>
    </w:lvl>
  </w:abstractNum>
  <w:abstractNum w:abstractNumId="25">
    <w:nsid w:val="38437FDB"/>
    <w:multiLevelType w:val="hybridMultilevel"/>
    <w:lvl w:ilvl="0">
      <w:lvlJc w:val="left"/>
      <w:lvlText w:val="-"/>
      <w:numFmt w:val="bullet"/>
      <w:start w:val="1"/>
    </w:lvl>
    <w:lvl w:ilvl="1">
      <w:lvlJc w:val="left"/>
      <w:lvlText w:val="%2"/>
      <w:numFmt w:val="decimal"/>
      <w:start w:val="21"/>
    </w:lvl>
  </w:abstractNum>
  <w:abstractNum w:abstractNumId="26">
    <w:nsid w:val="7644A45C"/>
    <w:multiLevelType w:val="hybridMultilevel"/>
    <w:lvl w:ilvl="0">
      <w:lvlJc w:val="left"/>
      <w:lvlText w:val="-"/>
      <w:numFmt w:val="bullet"/>
      <w:start w:val="1"/>
    </w:lvl>
    <w:lvl w:ilvl="1">
      <w:lvlJc w:val="left"/>
      <w:lvlText w:val="%2"/>
      <w:numFmt w:val="decimal"/>
      <w:start w:val="23"/>
    </w:lvl>
  </w:abstractNum>
  <w:abstractNum w:abstractNumId="27">
    <w:nsid w:val="32FFF902"/>
    <w:multiLevelType w:val="hybridMultilevel"/>
    <w:lvl w:ilvl="0">
      <w:lvlJc w:val="left"/>
      <w:lvlText w:val="(%1)"/>
      <w:numFmt w:val="upperLetter"/>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3"/>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3"/>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1"/>
    </w:lvl>
    <w:lvl w:ilvl="1">
      <w:lvlJc w:val="left"/>
      <w:lvlText w:val="(%2)"/>
      <w:numFmt w:val="lowerRoman"/>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3"/>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3"/>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4"/>
    </w:lvl>
  </w:abstractNum>
  <w:abstractNum w:abstractNumId="44">
    <w:nsid w:val="1CF10FD8"/>
    <w:multiLevelType w:val="hybridMultilevel"/>
    <w:lvl w:ilvl="0">
      <w:lvlJc w:val="left"/>
      <w:lvlText w:val="%1"/>
      <w:numFmt w:val="lowerLetter"/>
      <w:start w:val="1"/>
    </w:lvl>
    <w:lvl w:ilvl="1">
      <w:lvlJc w:val="left"/>
      <w:lvlText w:val="(%2)"/>
      <w:numFmt w:val="lowerLetter"/>
      <w:start w:val="1"/>
    </w:lvl>
  </w:abstractNum>
  <w:abstractNum w:abstractNumId="45">
    <w:nsid w:val="180115BE"/>
    <w:multiLevelType w:val="hybridMultilevel"/>
    <w:lvl w:ilvl="0">
      <w:lvlJc w:val="left"/>
      <w:lvlText w:val="(%1)"/>
      <w:numFmt w:val="lowerLetter"/>
      <w:start w:val="35"/>
    </w:lvl>
    <w:lvl w:ilvl="1">
      <w:lvlJc w:val="left"/>
      <w:lvlText w:val="%2"/>
      <w:numFmt w:val="lowerLetter"/>
      <w:start w:val="1"/>
    </w:lvl>
  </w:abstractNum>
  <w:abstractNum w:abstractNumId="46">
    <w:nsid w:val="235BA861"/>
    <w:multiLevelType w:val="hybridMultilevel"/>
    <w:lvl w:ilvl="0">
      <w:lvlJc w:val="left"/>
      <w:lvlText w:val="(%1)"/>
      <w:numFmt w:val="lowerLetter"/>
      <w:start w:val="3"/>
    </w:lvl>
  </w:abstractNum>
  <w:abstractNum w:abstractNumId="47">
    <w:nsid w:val="47398C89"/>
    <w:multiLevelType w:val="hybridMultilevel"/>
    <w:lvl w:ilvl="0">
      <w:lvlJc w:val="left"/>
      <w:lvlText w:val="%1"/>
      <w:numFmt w:val="upperLetter"/>
      <w:start w:val="1"/>
    </w:lvl>
    <w:lvl w:ilvl="1">
      <w:lvlJc w:val="left"/>
      <w:lvlText w:val="(%2)"/>
      <w:numFmt w:val="lowerLetter"/>
      <w:start w:val="6"/>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Roman"/>
      <w:start w:val="1"/>
    </w:lvl>
  </w:abstractNum>
  <w:abstractNum w:abstractNumId="51">
    <w:nsid w:val="D34B6A8"/>
    <w:multiLevelType w:val="hybridMultilevel"/>
    <w:lvl w:ilvl="0">
      <w:lvlJc w:val="left"/>
      <w:lvlText w:val="(%1)"/>
      <w:numFmt w:val="lowerLetter"/>
      <w:start w:val="4"/>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4"/>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9"/>
    </w:lvl>
  </w:abstractNum>
  <w:abstractNum w:abstractNumId="56">
    <w:nsid w:val="77AE35EB"/>
    <w:multiLevelType w:val="hybridMultilevel"/>
    <w:lvl w:ilvl="0">
      <w:lvlJc w:val="left"/>
      <w:lvlText w:val="(%1)"/>
      <w:numFmt w:val="lowerLetter"/>
      <w:start w:val="3"/>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2"/>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lowerLetter"/>
      <w:start w:val="35"/>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1."/>
      <w:numFmt w:val="decimal"/>
      <w:start w:val="7"/>
    </w:lvl>
  </w:abstractNum>
  <w:abstractNum w:abstractNumId="66">
    <w:nsid w:val="5DB70AE5"/>
    <w:multiLevelType w:val="hybridMultilevel"/>
    <w:lvl w:ilvl="0">
      <w:lvlJc w:val="left"/>
      <w:lvlText w:val="%1."/>
      <w:numFmt w:val="decimal"/>
      <w:start w:val="8"/>
    </w:lvl>
  </w:abstractNum>
  <w:abstractNum w:abstractNumId="67">
    <w:nsid w:val="100F8FCA"/>
    <w:multiLevelType w:val="hybridMultilevel"/>
    <w:lvl w:ilvl="0">
      <w:lvlJc w:val="left"/>
      <w:lvlText w:val="%1."/>
      <w:numFmt w:val="decimal"/>
      <w:start w:val="11"/>
    </w:lvl>
  </w:abstractNum>
  <w:abstractNum w:abstractNumId="68">
    <w:nsid w:val="6590700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2019-12-13T15:15:13Z</dcterms:created>
  <dcterms:modified xsi:type="dcterms:W3CDTF">2019-12-13T15:15:13Z</dcterms:modified>
</cp:coreProperties>
</file>